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240D" w14:textId="77777777" w:rsidR="00F30D6B" w:rsidRPr="008207E9" w:rsidRDefault="00F30D6B" w:rsidP="008F1334">
      <w:pPr>
        <w:jc w:val="center"/>
        <w:rPr>
          <w:rFonts w:ascii="Times New Roman" w:hAnsi="Times New Roman" w:cs="Times New Roman"/>
          <w:b/>
        </w:rPr>
      </w:pPr>
    </w:p>
    <w:p w14:paraId="2D789B64" w14:textId="4F368333" w:rsidR="008F1334" w:rsidRPr="00235672" w:rsidRDefault="008F1334" w:rsidP="002518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5672">
        <w:rPr>
          <w:rFonts w:ascii="Times New Roman" w:hAnsi="Times New Roman" w:cs="Times New Roman"/>
          <w:b/>
          <w:sz w:val="22"/>
          <w:szCs w:val="22"/>
        </w:rPr>
        <w:t>Sajtóközlemény</w:t>
      </w:r>
    </w:p>
    <w:p w14:paraId="27D9B8D8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9A9B5D" w14:textId="77777777" w:rsidR="00E875F7" w:rsidRPr="004B1580" w:rsidRDefault="00E875F7" w:rsidP="00E875F7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1580">
        <w:rPr>
          <w:rFonts w:ascii="Times New Roman" w:hAnsi="Times New Roman" w:cs="Times New Roman"/>
          <w:b/>
          <w:sz w:val="22"/>
          <w:szCs w:val="22"/>
        </w:rPr>
        <w:t>Új lendületet kap a MAHOP Plusz megvalósítása</w:t>
      </w:r>
    </w:p>
    <w:p w14:paraId="6695091D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4B3A6BA" w14:textId="0645D5E3" w:rsidR="008F1334" w:rsidRDefault="00F16FF4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2025.04.2</w:t>
      </w:r>
      <w:r w:rsidR="00725DFB">
        <w:rPr>
          <w:rFonts w:ascii="Times New Roman" w:hAnsi="Times New Roman" w:cs="Times New Roman"/>
          <w:sz w:val="22"/>
          <w:szCs w:val="22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14:paraId="499730C2" w14:textId="48365BF1" w:rsidR="00F16FF4" w:rsidRDefault="00F16FF4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D560F0F" w14:textId="28A423BD" w:rsidR="00F16FF4" w:rsidRPr="00F16FF4" w:rsidRDefault="00F16FF4" w:rsidP="00F16F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0"/>
        <w:jc w:val="left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Az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Agrárminisztérium</w:t>
      </w:r>
      <w:r w:rsidRPr="00F16FF4">
        <w:rPr>
          <w:rFonts w:ascii="Times New Roman" w:hAnsi="Times New Roman" w:cs="Times New Roman"/>
          <w:sz w:val="22"/>
          <w:szCs w:val="24"/>
        </w:rPr>
        <w:t xml:space="preserve"> 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MAHOP Plusz-3.1.1-24-2024-00001</w:t>
      </w:r>
      <w:r w:rsidRPr="00F16FF4">
        <w:rPr>
          <w:rFonts w:ascii="Times New Roman" w:hAnsi="Times New Roman" w:cs="Times New Roman"/>
          <w:sz w:val="22"/>
          <w:szCs w:val="24"/>
        </w:rPr>
        <w:t xml:space="preserve"> azonosítószámú,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„A MAHOP Plusz megvalósítását szolgáló Technikai Segítségnyújtás Projekt”</w:t>
      </w:r>
      <w:r w:rsidRPr="00F16FF4">
        <w:rPr>
          <w:rFonts w:ascii="Times New Roman" w:hAnsi="Times New Roman" w:cs="Times New Roman"/>
          <w:sz w:val="22"/>
          <w:szCs w:val="24"/>
        </w:rPr>
        <w:t xml:space="preserve"> című kiemelt projekt keretében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bruttó 1,168 milliárd forint vissza nem térítendő támogatásban</w:t>
      </w:r>
      <w:r w:rsidRPr="00F16FF4">
        <w:rPr>
          <w:rFonts w:ascii="Times New Roman" w:hAnsi="Times New Roman" w:cs="Times New Roman"/>
          <w:sz w:val="22"/>
          <w:szCs w:val="24"/>
        </w:rPr>
        <w:t xml:space="preserve"> részesült</w:t>
      </w:r>
      <w:r w:rsidR="00BA564C">
        <w:rPr>
          <w:rFonts w:ascii="Times New Roman" w:hAnsi="Times New Roman" w:cs="Times New Roman"/>
          <w:sz w:val="22"/>
          <w:szCs w:val="24"/>
        </w:rPr>
        <w:t xml:space="preserve"> európai uniós forrásból, hazai társfinanszírozás</w:t>
      </w:r>
      <w:r w:rsidR="00610FAD">
        <w:rPr>
          <w:rFonts w:ascii="Times New Roman" w:hAnsi="Times New Roman" w:cs="Times New Roman"/>
          <w:sz w:val="22"/>
          <w:szCs w:val="24"/>
        </w:rPr>
        <w:t>sal</w:t>
      </w:r>
      <w:r w:rsidRPr="00F16FF4">
        <w:rPr>
          <w:rFonts w:ascii="Times New Roman" w:hAnsi="Times New Roman" w:cs="Times New Roman"/>
          <w:sz w:val="22"/>
          <w:szCs w:val="24"/>
        </w:rPr>
        <w:t xml:space="preserve">. A projekt megvalósítási időszaka lefedi 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2021–2027-es támogatási ciklust</w:t>
      </w:r>
      <w:r w:rsidRPr="00F16FF4">
        <w:rPr>
          <w:rFonts w:ascii="Times New Roman" w:hAnsi="Times New Roman" w:cs="Times New Roman"/>
          <w:sz w:val="22"/>
          <w:szCs w:val="24"/>
        </w:rPr>
        <w:t xml:space="preserve">, és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2024. január 1-jétől 2029. december 31-ig</w:t>
      </w:r>
      <w:r w:rsidRPr="00F16FF4">
        <w:rPr>
          <w:rFonts w:ascii="Times New Roman" w:hAnsi="Times New Roman" w:cs="Times New Roman"/>
          <w:sz w:val="22"/>
          <w:szCs w:val="24"/>
        </w:rPr>
        <w:t xml:space="preserve"> tart.</w:t>
      </w:r>
    </w:p>
    <w:p w14:paraId="09A1C02C" w14:textId="77777777" w:rsidR="00F16FF4" w:rsidRPr="00235672" w:rsidRDefault="00F16FF4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0AC7AE48" w14:textId="16F1CCD1" w:rsid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Az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Európai Tengerügyi, Halászati és Akvakultúra-alap</w:t>
      </w:r>
      <w:r w:rsidRPr="00F16FF4">
        <w:rPr>
          <w:rFonts w:ascii="Times New Roman" w:hAnsi="Times New Roman" w:cs="Times New Roman"/>
          <w:sz w:val="22"/>
          <w:szCs w:val="24"/>
        </w:rPr>
        <w:t xml:space="preserve"> (ETHAA) létrehozásáról szóló (EU) 2021/1139 rendelet 5. cikke, valamint az EU 2021/1060 rendelet alapján az alap technikai segítséget nyújthat a források hatékony kezeléséhez és felhasználásához.</w:t>
      </w:r>
    </w:p>
    <w:p w14:paraId="554B37E1" w14:textId="77777777" w:rsidR="00F16FF4" w:rsidRPr="00F16FF4" w:rsidRDefault="00F16FF4" w:rsidP="00F16FF4">
      <w:pPr>
        <w:widowControl/>
        <w:autoSpaceDE/>
        <w:autoSpaceDN/>
        <w:adjustRightInd/>
        <w:spacing w:after="0"/>
        <w:jc w:val="left"/>
        <w:rPr>
          <w:rFonts w:ascii="Times New Roman" w:hAnsi="Times New Roman" w:cs="Times New Roman"/>
          <w:sz w:val="22"/>
          <w:szCs w:val="24"/>
        </w:rPr>
      </w:pPr>
    </w:p>
    <w:p w14:paraId="2975B369" w14:textId="41AB974B" w:rsid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 projekt célja 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2021–2027 közötti időszakra vonatkozó, az Európai Bizottság által jóváhagyott Magyar Halgazdálkodási Operatív Program Plusz (MAHOP Plusz)</w:t>
      </w:r>
      <w:r w:rsidRPr="00F16FF4">
        <w:rPr>
          <w:rFonts w:ascii="Times New Roman" w:hAnsi="Times New Roman" w:cs="Times New Roman"/>
          <w:sz w:val="22"/>
          <w:szCs w:val="24"/>
        </w:rPr>
        <w:t xml:space="preserve"> hatékony, eredményes, szabályszerű és átlátható végrehajtásának támogatása, valamint a végrehajtásért felelős intézményrendszer magas színvonalú működésének biztosítása.</w:t>
      </w:r>
    </w:p>
    <w:p w14:paraId="6ED7E8F1" w14:textId="77777777" w:rsidR="00F16FF4" w:rsidRPr="00F16FF4" w:rsidRDefault="00F16FF4" w:rsidP="00F16FF4">
      <w:pPr>
        <w:widowControl/>
        <w:autoSpaceDE/>
        <w:autoSpaceDN/>
        <w:adjustRightInd/>
        <w:spacing w:after="0"/>
        <w:jc w:val="left"/>
        <w:rPr>
          <w:rFonts w:ascii="Times New Roman" w:hAnsi="Times New Roman" w:cs="Times New Roman"/>
          <w:sz w:val="22"/>
          <w:szCs w:val="24"/>
        </w:rPr>
      </w:pPr>
    </w:p>
    <w:p w14:paraId="23707FEA" w14:textId="2AE5F79B" w:rsidR="00F16FF4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 projekt keretében az Irányító Hatóság az operatív program megvalósításához szükséges előkészítő, monitoring, adminisztratív, technikai segítségnyújtási, értékelési, tájékoztatási, kommunikációs, panaszkezelési, valamint audit- és kontrolltevékenységeket finanszírozza. </w:t>
      </w:r>
    </w:p>
    <w:p w14:paraId="2DE7F366" w14:textId="77777777" w:rsidR="00F16FF4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 projekt során elkészülnek a MAHOP Plusz végrehajtásához szükséges tanulmányok, stratégiák, tervek, értékelések, valamint a következő támogatási ciklus előkészítését szolgáló dokumentumok.</w:t>
      </w:r>
    </w:p>
    <w:p w14:paraId="36715D28" w14:textId="77777777" w:rsidR="00F16FF4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Kiemelt figyelmet kap:</w:t>
      </w:r>
    </w:p>
    <w:p w14:paraId="360F9DD9" w14:textId="77777777" w:rsidR="00F16FF4" w:rsidRPr="00F16FF4" w:rsidRDefault="00F16FF4" w:rsidP="00F16FF4">
      <w:pPr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az információk terjesztése,</w:t>
      </w:r>
    </w:p>
    <w:p w14:paraId="10277144" w14:textId="77777777" w:rsidR="00F16FF4" w:rsidRPr="00F16FF4" w:rsidRDefault="00F16FF4" w:rsidP="00F16FF4">
      <w:pPr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 hálózatépítés támogatása,</w:t>
      </w:r>
    </w:p>
    <w:p w14:paraId="5430F29A" w14:textId="77777777" w:rsidR="00F16FF4" w:rsidRPr="00F16FF4" w:rsidRDefault="00F16FF4" w:rsidP="00F16FF4">
      <w:pPr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 kommunikációs tevékenységek végrehajtása,</w:t>
      </w:r>
    </w:p>
    <w:p w14:paraId="74D7E0EC" w14:textId="77777777" w:rsidR="00F16FF4" w:rsidRPr="00F16FF4" w:rsidRDefault="00F16FF4" w:rsidP="00F16FF4">
      <w:pPr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 tudatosság növelése,</w:t>
      </w:r>
    </w:p>
    <w:p w14:paraId="18DCBBEB" w14:textId="77777777" w:rsidR="00F16FF4" w:rsidRPr="00F16FF4" w:rsidRDefault="00F16FF4" w:rsidP="00F16FF4">
      <w:pPr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valamint az együttműködés és a tapasztalatcsere ösztönzése.</w:t>
      </w:r>
    </w:p>
    <w:p w14:paraId="49F7677C" w14:textId="77777777" w:rsid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</w:p>
    <w:p w14:paraId="6721D559" w14:textId="6C105770" w:rsidR="00F16FF4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>A projekt biztosítja az operatív program sikeres megvalósításához szükséges megfelelő intézményi és adminisztratív keretrendszert. A megvalósítás során sor kerül speciális, külső szakértői feladatok elvégzésére is, amelyek konkrét intézkedésekhez és feladatokhoz kapcsolódnak.</w:t>
      </w:r>
    </w:p>
    <w:p w14:paraId="159D50EF" w14:textId="5358ACD4" w:rsidR="00E875F7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Az intézkedés fedezi 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monitoring bizottság</w:t>
      </w:r>
      <w:r w:rsidRPr="00F16FF4">
        <w:rPr>
          <w:rFonts w:ascii="Times New Roman" w:hAnsi="Times New Roman" w:cs="Times New Roman"/>
          <w:sz w:val="22"/>
          <w:szCs w:val="24"/>
        </w:rPr>
        <w:t xml:space="preserve"> működtetésének költségeit, amelyben a partnerszervezetek képviselői is részt vesznek, valamint biztosítja a számukra szervezett rendezvények és szakmai programok lebonyolítását is.</w:t>
      </w:r>
    </w:p>
    <w:p w14:paraId="3AA3FBD0" w14:textId="77777777" w:rsidR="00F16FF4" w:rsidRPr="00F16FF4" w:rsidRDefault="00F16FF4" w:rsidP="00F16FF4">
      <w:pPr>
        <w:widowControl/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4"/>
        </w:rPr>
      </w:pPr>
      <w:r w:rsidRPr="00F16FF4">
        <w:rPr>
          <w:rFonts w:ascii="Times New Roman" w:hAnsi="Times New Roman" w:cs="Times New Roman"/>
          <w:sz w:val="22"/>
          <w:szCs w:val="24"/>
        </w:rPr>
        <w:t xml:space="preserve">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tájékoztatási tevékenységek</w:t>
      </w:r>
      <w:r w:rsidRPr="00F16FF4">
        <w:rPr>
          <w:rFonts w:ascii="Times New Roman" w:hAnsi="Times New Roman" w:cs="Times New Roman"/>
          <w:sz w:val="22"/>
          <w:szCs w:val="24"/>
        </w:rPr>
        <w:t xml:space="preserve"> keretében ismertetésre kerülnek a támogatási és fejlesztési lehetőségek, illetve bemutatásra kerülnek a program eredményei, megvalósult projektek jó gyakorlatai. A lakosság felé irányuló kommunikáció hatékonyságának növelése, valamint az erőteljesebb szinergiák kialakítása érdekében az Irányító Hatóság hozzájárul a </w:t>
      </w:r>
      <w:r w:rsidRPr="00F16FF4">
        <w:rPr>
          <w:rFonts w:ascii="Times New Roman" w:hAnsi="Times New Roman" w:cs="Times New Roman"/>
          <w:b/>
          <w:bCs/>
          <w:sz w:val="22"/>
          <w:szCs w:val="24"/>
        </w:rPr>
        <w:t>halgazdálkodási támogatások népszerűsítését</w:t>
      </w:r>
      <w:r w:rsidRPr="00F16FF4">
        <w:rPr>
          <w:rFonts w:ascii="Times New Roman" w:hAnsi="Times New Roman" w:cs="Times New Roman"/>
          <w:sz w:val="22"/>
          <w:szCs w:val="24"/>
        </w:rPr>
        <w:t xml:space="preserve"> szolgáló rendezvények, kiadványok és marketingtevékenységek megvalósításához is.</w:t>
      </w:r>
    </w:p>
    <w:p w14:paraId="71E21EFE" w14:textId="77777777" w:rsidR="00F16FF4" w:rsidRDefault="00F16FF4" w:rsidP="00F16FF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5318B8D" w14:textId="132C67B9" w:rsidR="00F16FF4" w:rsidRDefault="00F16FF4" w:rsidP="002518AB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sectPr w:rsidR="00F16FF4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AB33" w14:textId="77777777" w:rsidR="00F2587E" w:rsidRDefault="00F2587E" w:rsidP="00F30D6B">
      <w:pPr>
        <w:spacing w:after="0"/>
      </w:pPr>
      <w:r>
        <w:separator/>
      </w:r>
    </w:p>
  </w:endnote>
  <w:endnote w:type="continuationSeparator" w:id="0">
    <w:p w14:paraId="0F89651D" w14:textId="77777777" w:rsidR="00F2587E" w:rsidRDefault="00F2587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25CD" w14:textId="77777777" w:rsidR="00F2587E" w:rsidRDefault="00F2587E" w:rsidP="00F30D6B">
      <w:pPr>
        <w:spacing w:after="0"/>
      </w:pPr>
      <w:r>
        <w:separator/>
      </w:r>
    </w:p>
  </w:footnote>
  <w:footnote w:type="continuationSeparator" w:id="0">
    <w:p w14:paraId="11245079" w14:textId="77777777" w:rsidR="00F2587E" w:rsidRDefault="00F2587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75A0"/>
    <w:multiLevelType w:val="multilevel"/>
    <w:tmpl w:val="AFE6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4"/>
    <w:rsid w:val="0017455A"/>
    <w:rsid w:val="00182253"/>
    <w:rsid w:val="00235672"/>
    <w:rsid w:val="002518AB"/>
    <w:rsid w:val="00252631"/>
    <w:rsid w:val="002628F5"/>
    <w:rsid w:val="004833A3"/>
    <w:rsid w:val="00490283"/>
    <w:rsid w:val="004B1580"/>
    <w:rsid w:val="00531F0B"/>
    <w:rsid w:val="00566829"/>
    <w:rsid w:val="005E6F47"/>
    <w:rsid w:val="00610FAD"/>
    <w:rsid w:val="006E15C8"/>
    <w:rsid w:val="007114AD"/>
    <w:rsid w:val="00725DFB"/>
    <w:rsid w:val="00745F1C"/>
    <w:rsid w:val="008207E9"/>
    <w:rsid w:val="0084308F"/>
    <w:rsid w:val="00850615"/>
    <w:rsid w:val="0086363D"/>
    <w:rsid w:val="008F1334"/>
    <w:rsid w:val="009364F4"/>
    <w:rsid w:val="009964BE"/>
    <w:rsid w:val="00AF0672"/>
    <w:rsid w:val="00B96C7D"/>
    <w:rsid w:val="00BA564C"/>
    <w:rsid w:val="00BF6A89"/>
    <w:rsid w:val="00C011D9"/>
    <w:rsid w:val="00CB1B5A"/>
    <w:rsid w:val="00DF7932"/>
    <w:rsid w:val="00E26608"/>
    <w:rsid w:val="00E875F7"/>
    <w:rsid w:val="00EB546A"/>
    <w:rsid w:val="00F16FF4"/>
    <w:rsid w:val="00F2587E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6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64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Diána</dc:creator>
  <cp:lastModifiedBy>Hermann Gábor István</cp:lastModifiedBy>
  <cp:revision>3</cp:revision>
  <dcterms:created xsi:type="dcterms:W3CDTF">2025-04-24T13:39:00Z</dcterms:created>
  <dcterms:modified xsi:type="dcterms:W3CDTF">2025-04-29T06:55:00Z</dcterms:modified>
</cp:coreProperties>
</file>