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977FA" w14:textId="77777777" w:rsidR="00A94EFE" w:rsidRPr="00377D59" w:rsidRDefault="4600C643" w:rsidP="4600C643">
      <w:pPr>
        <w:tabs>
          <w:tab w:val="center" w:pos="4536"/>
        </w:tabs>
        <w:bidi/>
        <w:spacing w:after="120" w:line="240" w:lineRule="auto"/>
        <w:ind w:left="-142" w:right="-1" w:firstLine="142"/>
        <w:rPr>
          <w:rFonts w:ascii="Times New Roman" w:eastAsia="Times New Roman" w:hAnsi="Times New Roman" w:cs="Times New Roman"/>
          <w:b/>
          <w:bCs/>
          <w:smallCaps/>
          <w:sz w:val="32"/>
          <w:szCs w:val="32"/>
          <w:lang w:eastAsia="hu-HU"/>
        </w:rPr>
      </w:pPr>
      <w:r w:rsidRPr="4600C643">
        <w:rPr>
          <w:rFonts w:ascii="Times New Roman" w:eastAsia="Times New Roman" w:hAnsi="Times New Roman" w:cs="Times New Roman"/>
          <w:b/>
          <w:bCs/>
          <w:smallCaps/>
          <w:sz w:val="32"/>
          <w:szCs w:val="32"/>
          <w:lang w:eastAsia="hu-HU"/>
        </w:rPr>
        <w:t>Nemzetgazdasági Minisztérium</w:t>
      </w:r>
    </w:p>
    <w:p w14:paraId="36F33C9C" w14:textId="77777777" w:rsidR="001E689B" w:rsidRPr="00377D59" w:rsidRDefault="001E689B"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5"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6"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7"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8"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9"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26"/>
          <w:szCs w:val="26"/>
          <w:lang w:eastAsia="hu-HU"/>
        </w:rPr>
      </w:pPr>
    </w:p>
    <w:p w14:paraId="7B7689EB" w14:textId="74BA5630" w:rsidR="00B155FE" w:rsidRDefault="00B155FE" w:rsidP="000A4839">
      <w:pPr>
        <w:keepNext/>
        <w:widowControl w:val="0"/>
        <w:tabs>
          <w:tab w:val="left" w:pos="1995"/>
        </w:tabs>
        <w:spacing w:after="120" w:line="240" w:lineRule="auto"/>
        <w:jc w:val="center"/>
        <w:rPr>
          <w:rFonts w:ascii="Times New Roman" w:eastAsia="Times New Roman" w:hAnsi="Times New Roman" w:cs="Times New Roman"/>
          <w:caps/>
          <w:spacing w:val="60"/>
          <w:sz w:val="32"/>
          <w:szCs w:val="20"/>
          <w:lang w:eastAsia="hu-HU"/>
        </w:rPr>
      </w:pPr>
    </w:p>
    <w:p w14:paraId="4EE6826E" w14:textId="77777777" w:rsidR="000A4839" w:rsidRPr="00377D59" w:rsidRDefault="000A4839" w:rsidP="000A4839">
      <w:pPr>
        <w:keepNext/>
        <w:widowControl w:val="0"/>
        <w:tabs>
          <w:tab w:val="left" w:pos="1995"/>
        </w:tabs>
        <w:spacing w:after="120" w:line="240" w:lineRule="auto"/>
        <w:jc w:val="center"/>
        <w:rPr>
          <w:rFonts w:ascii="Times New Roman" w:eastAsia="Times New Roman" w:hAnsi="Times New Roman" w:cs="Times New Roman"/>
          <w:caps/>
          <w:spacing w:val="60"/>
          <w:sz w:val="32"/>
          <w:szCs w:val="20"/>
          <w:lang w:eastAsia="hu-HU"/>
        </w:rPr>
      </w:pPr>
    </w:p>
    <w:p w14:paraId="7B7689EC"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D"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E"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F" w14:textId="77777777" w:rsidR="00B155FE" w:rsidRPr="00377D59" w:rsidRDefault="00B155FE" w:rsidP="4600C643">
      <w:pPr>
        <w:keepNext/>
        <w:widowControl w:val="0"/>
        <w:spacing w:after="120" w:line="240" w:lineRule="auto"/>
        <w:jc w:val="center"/>
        <w:rPr>
          <w:rFonts w:ascii="Times New Roman" w:eastAsia="Times New Roman" w:hAnsi="Times New Roman" w:cs="Times New Roman"/>
          <w:b/>
          <w:bCs/>
          <w:caps/>
          <w:sz w:val="32"/>
          <w:szCs w:val="32"/>
          <w:lang w:eastAsia="hu-HU"/>
        </w:rPr>
      </w:pPr>
      <w:r w:rsidRPr="00377D59">
        <w:rPr>
          <w:rFonts w:ascii="Times New Roman" w:eastAsia="Times New Roman" w:hAnsi="Times New Roman" w:cs="Times New Roman"/>
          <w:b/>
          <w:bCs/>
          <w:caps/>
          <w:spacing w:val="60"/>
          <w:sz w:val="32"/>
          <w:szCs w:val="32"/>
          <w:lang w:eastAsia="hu-HU"/>
        </w:rPr>
        <w:t>Tájékoztató</w:t>
      </w:r>
    </w:p>
    <w:p w14:paraId="5AE02B14" w14:textId="16713D13" w:rsidR="00B94CCA" w:rsidRPr="00377D59" w:rsidRDefault="4600C643" w:rsidP="4600C643">
      <w:pPr>
        <w:keepNext/>
        <w:tabs>
          <w:tab w:val="left" w:pos="2694"/>
        </w:tabs>
        <w:spacing w:after="120" w:line="240" w:lineRule="auto"/>
        <w:ind w:right="-1"/>
        <w:jc w:val="center"/>
        <w:outlineLvl w:val="1"/>
        <w:rPr>
          <w:rFonts w:ascii="Times New Roman" w:eastAsia="Times New Roman" w:hAnsi="Times New Roman" w:cs="Times New Roman"/>
          <w:b/>
          <w:bCs/>
          <w:i/>
          <w:iCs/>
          <w:sz w:val="26"/>
          <w:szCs w:val="26"/>
          <w:lang w:eastAsia="hu-HU"/>
        </w:rPr>
      </w:pPr>
      <w:r w:rsidRPr="4600C643">
        <w:rPr>
          <w:rFonts w:ascii="Times New Roman" w:eastAsia="Times New Roman" w:hAnsi="Times New Roman" w:cs="Times New Roman"/>
          <w:b/>
          <w:bCs/>
          <w:i/>
          <w:iCs/>
          <w:sz w:val="26"/>
          <w:szCs w:val="26"/>
          <w:lang w:eastAsia="hu-HU"/>
        </w:rPr>
        <w:t>az államháztartás központi alrendszerének</w:t>
      </w:r>
      <w:r w:rsidR="1EAC8E60">
        <w:br/>
      </w:r>
      <w:r w:rsidRPr="4600C643">
        <w:rPr>
          <w:rFonts w:ascii="Times New Roman" w:eastAsia="Times New Roman" w:hAnsi="Times New Roman" w:cs="Times New Roman"/>
          <w:b/>
          <w:bCs/>
          <w:i/>
          <w:iCs/>
          <w:sz w:val="26"/>
          <w:szCs w:val="26"/>
          <w:lang w:eastAsia="hu-HU"/>
        </w:rPr>
        <w:t>2026. február végi helyzetéről</w:t>
      </w:r>
    </w:p>
    <w:p w14:paraId="7B7689F2" w14:textId="2D4563EC" w:rsidR="00B155FE" w:rsidRPr="00377D59" w:rsidRDefault="00B155FE"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4A2F8C9F"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1D327E5D"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35267E04"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20BD3D31"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16E13D32"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59F56A13"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7B7689F4" w14:textId="77777777" w:rsidR="00B155FE" w:rsidRPr="00377D59" w:rsidRDefault="00B155FE" w:rsidP="00B155FE">
      <w:pPr>
        <w:tabs>
          <w:tab w:val="left" w:pos="2694"/>
        </w:tabs>
        <w:spacing w:after="120" w:line="240" w:lineRule="auto"/>
        <w:jc w:val="both"/>
        <w:rPr>
          <w:rFonts w:ascii="Times New Roman" w:eastAsia="Times New Roman" w:hAnsi="Times New Roman" w:cs="Times New Roman"/>
          <w:sz w:val="26"/>
          <w:szCs w:val="20"/>
          <w:lang w:eastAsia="hu-HU"/>
        </w:rPr>
      </w:pPr>
    </w:p>
    <w:p w14:paraId="7B7689F6" w14:textId="77777777" w:rsidR="00B155FE" w:rsidRPr="00377D59" w:rsidRDefault="00B155FE" w:rsidP="00B155FE">
      <w:pPr>
        <w:tabs>
          <w:tab w:val="left" w:pos="2694"/>
        </w:tabs>
        <w:spacing w:after="120" w:line="240" w:lineRule="auto"/>
        <w:jc w:val="both"/>
        <w:rPr>
          <w:rFonts w:ascii="Times New Roman" w:eastAsia="Times New Roman" w:hAnsi="Times New Roman" w:cs="Times New Roman"/>
          <w:sz w:val="26"/>
          <w:szCs w:val="20"/>
          <w:lang w:eastAsia="hu-HU"/>
        </w:rPr>
      </w:pPr>
    </w:p>
    <w:p w14:paraId="7B7689F7"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7B7689F8" w14:textId="7C3BEFF0" w:rsidR="00B155FE" w:rsidRPr="00377D59" w:rsidRDefault="00B155FE" w:rsidP="00EA1F58">
      <w:pPr>
        <w:tabs>
          <w:tab w:val="left" w:pos="5685"/>
        </w:tabs>
        <w:spacing w:after="120" w:line="240" w:lineRule="auto"/>
        <w:jc w:val="both"/>
        <w:rPr>
          <w:rFonts w:ascii="Times New Roman" w:eastAsia="Times New Roman" w:hAnsi="Times New Roman" w:cs="Times New Roman"/>
          <w:sz w:val="26"/>
          <w:szCs w:val="20"/>
          <w:lang w:eastAsia="hu-HU"/>
        </w:rPr>
      </w:pPr>
    </w:p>
    <w:p w14:paraId="7B7689F9"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7B7689FA"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7B7689FB"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1CF999E6" w14:textId="66AAF1BA" w:rsidR="00E97147" w:rsidRPr="00377D59" w:rsidRDefault="00B155FE" w:rsidP="4600C643">
      <w:pPr>
        <w:tabs>
          <w:tab w:val="left" w:pos="2694"/>
        </w:tabs>
        <w:spacing w:after="120" w:line="240" w:lineRule="auto"/>
        <w:jc w:val="center"/>
        <w:rPr>
          <w:rFonts w:ascii="Times New Roman" w:eastAsia="Times New Roman" w:hAnsi="Times New Roman" w:cs="Times New Roman"/>
          <w:b/>
          <w:bCs/>
          <w:lang w:eastAsia="hu-HU"/>
        </w:rPr>
        <w:sectPr w:rsidR="00E97147" w:rsidRPr="00377D59" w:rsidSect="007449BF">
          <w:headerReference w:type="default" r:id="rId11"/>
          <w:footerReference w:type="default" r:id="rId12"/>
          <w:footerReference w:type="first" r:id="rId13"/>
          <w:footnotePr>
            <w:numRestart w:val="eachPage"/>
          </w:footnotePr>
          <w:pgSz w:w="11907" w:h="16840" w:code="9"/>
          <w:pgMar w:top="1134" w:right="1134" w:bottom="1418" w:left="1418" w:header="709" w:footer="709" w:gutter="0"/>
          <w:pgNumType w:fmt="numberInDash" w:start="0"/>
          <w:cols w:space="708"/>
          <w:docGrid w:linePitch="354"/>
        </w:sectPr>
      </w:pPr>
      <w:r w:rsidRPr="00377D59">
        <w:rPr>
          <w:rFonts w:ascii="Times New Roman" w:eastAsia="Times New Roman" w:hAnsi="Times New Roman" w:cs="Times New Roman"/>
          <w:b/>
          <w:bCs/>
          <w:noProof/>
          <w:lang w:eastAsia="hu-HU"/>
        </w:rPr>
        <mc:AlternateContent>
          <mc:Choice Requires="wps">
            <w:drawing>
              <wp:anchor distT="0" distB="0" distL="114300" distR="114300" simplePos="0" relativeHeight="251658240" behindDoc="0" locked="0" layoutInCell="1" allowOverlap="1" wp14:anchorId="7B768C6C" wp14:editId="7B768C6D">
                <wp:simplePos x="0" y="0"/>
                <wp:positionH relativeFrom="column">
                  <wp:posOffset>2336732</wp:posOffset>
                </wp:positionH>
                <wp:positionV relativeFrom="paragraph">
                  <wp:posOffset>980217</wp:posOffset>
                </wp:positionV>
                <wp:extent cx="971550" cy="393065"/>
                <wp:effectExtent l="0" t="0" r="0" b="698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393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D87395B">
              <v:rect id="Rectangle 2" style="position:absolute;margin-left:184pt;margin-top:77.2pt;width:76.5pt;height:3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7986F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zDewIAAPo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"/>
            </w:pict>
          </mc:Fallback>
        </mc:AlternateContent>
      </w:r>
      <w:r w:rsidRPr="00377D59">
        <w:rPr>
          <w:rFonts w:ascii="Times New Roman" w:eastAsia="Times New Roman" w:hAnsi="Times New Roman" w:cs="Times New Roman"/>
          <w:b/>
          <w:bCs/>
          <w:lang w:eastAsia="hu-HU"/>
        </w:rPr>
        <w:t>202</w:t>
      </w:r>
      <w:r w:rsidR="00300C27">
        <w:rPr>
          <w:rFonts w:ascii="Times New Roman" w:eastAsia="Times New Roman" w:hAnsi="Times New Roman" w:cs="Times New Roman"/>
          <w:b/>
          <w:bCs/>
          <w:lang w:eastAsia="hu-HU"/>
        </w:rPr>
        <w:t>6</w:t>
      </w:r>
      <w:r w:rsidRPr="00377D59">
        <w:rPr>
          <w:rFonts w:ascii="Times New Roman" w:eastAsia="Times New Roman" w:hAnsi="Times New Roman" w:cs="Times New Roman"/>
          <w:b/>
          <w:bCs/>
          <w:lang w:eastAsia="hu-HU"/>
        </w:rPr>
        <w:t xml:space="preserve">. </w:t>
      </w:r>
      <w:r w:rsidR="00E82327">
        <w:rPr>
          <w:rFonts w:ascii="Times New Roman" w:eastAsia="Times New Roman" w:hAnsi="Times New Roman" w:cs="Times New Roman"/>
          <w:b/>
          <w:bCs/>
          <w:lang w:eastAsia="hu-HU"/>
        </w:rPr>
        <w:t>március</w:t>
      </w:r>
    </w:p>
    <w:p w14:paraId="7B7689FF" w14:textId="77777777" w:rsidR="00B155FE" w:rsidRPr="00377D59" w:rsidRDefault="4600C643" w:rsidP="4600C643">
      <w:pPr>
        <w:keepNext/>
        <w:spacing w:before="240" w:after="120" w:line="360" w:lineRule="auto"/>
        <w:ind w:left="425" w:hanging="425"/>
        <w:jc w:val="center"/>
        <w:outlineLvl w:val="3"/>
        <w:rPr>
          <w:rFonts w:ascii="Times New Roman" w:eastAsia="Times New Roman" w:hAnsi="Times New Roman" w:cs="Times New Roman"/>
          <w:b/>
          <w:bCs/>
          <w:caps/>
          <w:color w:val="000000" w:themeColor="text1"/>
          <w:sz w:val="26"/>
          <w:szCs w:val="26"/>
          <w:lang w:eastAsia="hu-HU"/>
        </w:rPr>
      </w:pPr>
      <w:r w:rsidRPr="4600C643">
        <w:rPr>
          <w:rFonts w:ascii="Times New Roman" w:eastAsia="Times New Roman" w:hAnsi="Times New Roman" w:cs="Times New Roman"/>
          <w:b/>
          <w:bCs/>
          <w:caps/>
          <w:color w:val="000000" w:themeColor="text1"/>
          <w:sz w:val="26"/>
          <w:szCs w:val="26"/>
          <w:lang w:eastAsia="hu-HU"/>
        </w:rPr>
        <w:lastRenderedPageBreak/>
        <w:t>Összefoglalás</w:t>
      </w:r>
    </w:p>
    <w:p w14:paraId="3A66880E" w14:textId="387A4C25" w:rsidR="00A521C7" w:rsidRPr="00A521C7" w:rsidRDefault="00A521C7" w:rsidP="00671F24">
      <w:pPr>
        <w:jc w:val="both"/>
        <w:rPr>
          <w:rFonts w:ascii="Times New Roman" w:eastAsia="Times New Roman" w:hAnsi="Times New Roman" w:cs="Times New Roman"/>
          <w:color w:val="000000" w:themeColor="text1"/>
          <w:sz w:val="25"/>
          <w:szCs w:val="25"/>
          <w:lang w:eastAsia="hu-HU"/>
        </w:rPr>
      </w:pPr>
      <w:r w:rsidRPr="00A521C7">
        <w:rPr>
          <w:rFonts w:ascii="Times New Roman" w:eastAsia="Times New Roman" w:hAnsi="Times New Roman" w:cs="Times New Roman"/>
          <w:color w:val="000000" w:themeColor="text1"/>
          <w:sz w:val="25"/>
          <w:szCs w:val="25"/>
          <w:lang w:eastAsia="hu-HU"/>
        </w:rPr>
        <w:t>A 2026-os költségvetés a háború elhúzódása és a negatív külső gazdasági környezet ellenére is minden szükséges forrást biztosít a családokat, nyugdíjasokat és hazai kkv-kat támogató kormányzati programokhoz. Amit vállaltunk azt teljesítjük: januártól 11 százalékkal emeltük a minimálbért, megemeltük a közszférában dolgozók bérét, megvédtük a 13. havi és bevezettük a 14. havi nyugdíjat.</w:t>
      </w:r>
    </w:p>
    <w:p w14:paraId="37EB914B" w14:textId="77777777" w:rsidR="00A521C7" w:rsidRPr="00A521C7" w:rsidRDefault="00A521C7" w:rsidP="00A521C7">
      <w:pPr>
        <w:jc w:val="both"/>
        <w:rPr>
          <w:rFonts w:ascii="Times New Roman" w:eastAsia="Times New Roman" w:hAnsi="Times New Roman" w:cs="Times New Roman"/>
          <w:color w:val="000000" w:themeColor="text1"/>
          <w:sz w:val="25"/>
          <w:szCs w:val="25"/>
          <w:lang w:eastAsia="hu-HU"/>
        </w:rPr>
      </w:pPr>
      <w:r w:rsidRPr="00A521C7">
        <w:rPr>
          <w:rFonts w:ascii="Times New Roman" w:eastAsia="Times New Roman" w:hAnsi="Times New Roman" w:cs="Times New Roman"/>
          <w:color w:val="000000" w:themeColor="text1"/>
          <w:sz w:val="25"/>
          <w:szCs w:val="25"/>
          <w:lang w:eastAsia="hu-HU"/>
        </w:rPr>
        <w:t>Adómentességet adtunk a 40 év alatti kétgyermekes anyáknak, valamint megdupláztuk a családi adókedvezményt. Magyarország pénzügyei rendezettek, a költségvetés stabilitásának megőrzése mellett folytatjuk a béremeléseket, az adócsökkentéseket és az áremelések elleni harcot, mert a magyarok pénzét nem a háborúra és Ukrajnára, hanem a magyar családokra és a hazai kkv-kra kell fordítani.</w:t>
      </w:r>
    </w:p>
    <w:p w14:paraId="6331CE80" w14:textId="77777777" w:rsidR="00A521C7" w:rsidRPr="00A521C7" w:rsidRDefault="00A521C7" w:rsidP="00A521C7">
      <w:pPr>
        <w:jc w:val="both"/>
        <w:rPr>
          <w:rFonts w:ascii="Times New Roman" w:eastAsia="Times New Roman" w:hAnsi="Times New Roman" w:cs="Times New Roman"/>
          <w:color w:val="000000" w:themeColor="text1"/>
          <w:sz w:val="25"/>
          <w:szCs w:val="25"/>
          <w:lang w:eastAsia="hu-HU"/>
        </w:rPr>
      </w:pPr>
      <w:r w:rsidRPr="00A521C7">
        <w:rPr>
          <w:rFonts w:ascii="Times New Roman" w:eastAsia="Times New Roman" w:hAnsi="Times New Roman" w:cs="Times New Roman"/>
          <w:color w:val="000000" w:themeColor="text1"/>
          <w:sz w:val="25"/>
          <w:szCs w:val="25"/>
          <w:lang w:eastAsia="hu-HU"/>
        </w:rPr>
        <w:t>Február végéig az államháztartás központi alrendszere 2106,8 milliárd forintos hiánnyal zárt. A központi alrendszeren belül a központi költségvetés 2010,1 milliárd forintos hiányt, az elkülönített állami pénzalapok 32,9 milliárd forintos többletet, a társadalombiztosítás pénzügyi alapjai pedig 129,6 milliárd forintos hiányt mutattak.</w:t>
      </w:r>
    </w:p>
    <w:p w14:paraId="08CBDFB1" w14:textId="77777777" w:rsidR="00A521C7" w:rsidRPr="00A521C7" w:rsidRDefault="00A521C7" w:rsidP="00A521C7">
      <w:pPr>
        <w:jc w:val="both"/>
        <w:rPr>
          <w:rFonts w:ascii="Times New Roman" w:eastAsia="Times New Roman" w:hAnsi="Times New Roman" w:cs="Times New Roman"/>
          <w:color w:val="000000" w:themeColor="text1"/>
          <w:sz w:val="25"/>
          <w:szCs w:val="25"/>
          <w:lang w:eastAsia="hu-HU"/>
        </w:rPr>
      </w:pPr>
      <w:r w:rsidRPr="00A521C7">
        <w:rPr>
          <w:rFonts w:ascii="Times New Roman" w:eastAsia="Times New Roman" w:hAnsi="Times New Roman" w:cs="Times New Roman"/>
          <w:color w:val="000000" w:themeColor="text1"/>
          <w:sz w:val="25"/>
          <w:szCs w:val="25"/>
          <w:lang w:eastAsia="hu-HU"/>
        </w:rPr>
        <w:t>A központi alrendszer adó- és járulékbevételei az előző év azonos időszakához viszonyítva 8,8 százalékkal magasabban alakultak.</w:t>
      </w:r>
    </w:p>
    <w:p w14:paraId="10513EF4" w14:textId="77777777" w:rsidR="00A521C7" w:rsidRPr="00A521C7" w:rsidRDefault="00A521C7" w:rsidP="00A521C7">
      <w:pPr>
        <w:jc w:val="both"/>
        <w:rPr>
          <w:rFonts w:ascii="Times New Roman" w:eastAsia="Times New Roman" w:hAnsi="Times New Roman" w:cs="Times New Roman"/>
          <w:color w:val="000000" w:themeColor="text1"/>
          <w:sz w:val="25"/>
          <w:szCs w:val="25"/>
          <w:lang w:eastAsia="hu-HU"/>
        </w:rPr>
      </w:pPr>
      <w:r w:rsidRPr="00A521C7">
        <w:rPr>
          <w:rFonts w:ascii="Times New Roman" w:eastAsia="Times New Roman" w:hAnsi="Times New Roman" w:cs="Times New Roman"/>
          <w:color w:val="000000" w:themeColor="text1"/>
          <w:sz w:val="25"/>
          <w:szCs w:val="25"/>
          <w:lang w:eastAsia="hu-HU"/>
        </w:rPr>
        <w:t>Meghaladták a tavalyi összeget a nyugellátásokra és gyógyító-megelőző ellátásokra fordított kiadások is. Február végéig a nyugellátásokra és nyugdíjszerű ellátásokra összesen 1922,4 milliárd forintot biztosított a költségvetés, ebből a 13. havi nyugdíj és ellátások 579,3 milliárd forintot, a 14. havi nyugdíj és ellátások egy heti része pedig 144,8 milliárd forintot tett ki.</w:t>
      </w:r>
    </w:p>
    <w:p w14:paraId="17E8CC38" w14:textId="77777777" w:rsidR="00A521C7" w:rsidRPr="00A521C7" w:rsidRDefault="00A521C7" w:rsidP="00A521C7">
      <w:pPr>
        <w:jc w:val="both"/>
        <w:rPr>
          <w:rFonts w:ascii="Times New Roman" w:eastAsia="Times New Roman" w:hAnsi="Times New Roman" w:cs="Times New Roman"/>
          <w:color w:val="000000" w:themeColor="text1"/>
          <w:sz w:val="25"/>
          <w:szCs w:val="25"/>
          <w:lang w:eastAsia="hu-HU"/>
        </w:rPr>
      </w:pPr>
      <w:r w:rsidRPr="00A521C7">
        <w:rPr>
          <w:rFonts w:ascii="Times New Roman" w:eastAsia="Times New Roman" w:hAnsi="Times New Roman" w:cs="Times New Roman"/>
          <w:color w:val="000000" w:themeColor="text1"/>
          <w:sz w:val="25"/>
          <w:szCs w:val="25"/>
          <w:lang w:eastAsia="hu-HU"/>
        </w:rPr>
        <w:t>Februárban (egy hónap alatt) a központi alrendszer 2139,1 milliárd forint hiánnyal zárt, szemben az előző évi azonos havi 1655,0 milliárd forintos hiánnyal.</w:t>
      </w:r>
    </w:p>
    <w:p w14:paraId="58EF2EF3" w14:textId="77777777" w:rsidR="00A521C7" w:rsidRPr="00A521C7" w:rsidRDefault="00A521C7" w:rsidP="00A521C7">
      <w:pPr>
        <w:jc w:val="both"/>
        <w:rPr>
          <w:rFonts w:ascii="Times New Roman" w:eastAsia="Times New Roman" w:hAnsi="Times New Roman" w:cs="Times New Roman"/>
          <w:color w:val="000000" w:themeColor="text1"/>
          <w:sz w:val="25"/>
          <w:szCs w:val="25"/>
          <w:lang w:eastAsia="hu-HU"/>
        </w:rPr>
      </w:pPr>
      <w:r w:rsidRPr="00A521C7">
        <w:rPr>
          <w:rFonts w:ascii="Times New Roman" w:eastAsia="Times New Roman" w:hAnsi="Times New Roman" w:cs="Times New Roman"/>
          <w:color w:val="000000" w:themeColor="text1"/>
          <w:sz w:val="25"/>
          <w:szCs w:val="25"/>
          <w:lang w:eastAsia="hu-HU"/>
        </w:rPr>
        <w:t>Az előző év azonos időszakához képest a bevételi oldalon jelentős, tartós kedvezmények lettek bevezetve. Ilyen a két és háromgyerekes anyák személyi jövedelemadó kedvezménye, a CSED, GYED és örökbefogadói díj kedvezménye, vagy a családi kedvezmény gyermekek után járó mértékének duplájára emelése. Az előbbi kedvezmények februárban közel 60 milliárd forintot hagytak a családoknál az előző év azonos időszakához képest.</w:t>
      </w:r>
    </w:p>
    <w:p w14:paraId="6AE8F95D" w14:textId="01D76155" w:rsidR="00A521C7" w:rsidRPr="00A521C7" w:rsidRDefault="00A521C7" w:rsidP="00A521C7">
      <w:pPr>
        <w:jc w:val="both"/>
        <w:rPr>
          <w:rFonts w:ascii="Times New Roman" w:eastAsia="Times New Roman" w:hAnsi="Times New Roman" w:cs="Times New Roman"/>
          <w:color w:val="000000" w:themeColor="text1"/>
          <w:sz w:val="25"/>
          <w:szCs w:val="25"/>
          <w:lang w:eastAsia="hu-HU"/>
        </w:rPr>
      </w:pPr>
      <w:r w:rsidRPr="00A521C7">
        <w:rPr>
          <w:rFonts w:ascii="Times New Roman" w:eastAsia="Times New Roman" w:hAnsi="Times New Roman" w:cs="Times New Roman"/>
          <w:color w:val="000000" w:themeColor="text1"/>
          <w:sz w:val="25"/>
          <w:szCs w:val="25"/>
          <w:lang w:eastAsia="hu-HU"/>
        </w:rPr>
        <w:t>Az idei évi februári költségvetési egyenlegét az otthontámogatások kifizetései is jelentősen befolyásolják. 2026. januártól az állami és közfoglalkoztatottak évente nettó legfeljebb 1 millió forint támogatást kaphatnak, lakásvásárlás esetén az önerő kiegészítésére, vagy a már meglévő lakáshitel esetén a törlesztőrészletek csökkentésére. Idén februárban az erre a célra fordított kiadások mintegy 160 milliárd forintot tesznek ki.</w:t>
      </w:r>
    </w:p>
    <w:p w14:paraId="02CBEE7C" w14:textId="06B363DE" w:rsidR="00A521C7" w:rsidRPr="00A521C7" w:rsidRDefault="00A521C7" w:rsidP="00A521C7">
      <w:pPr>
        <w:jc w:val="both"/>
        <w:rPr>
          <w:rFonts w:ascii="Times New Roman" w:eastAsia="Times New Roman" w:hAnsi="Times New Roman" w:cs="Times New Roman"/>
          <w:color w:val="000000" w:themeColor="text1"/>
          <w:sz w:val="25"/>
          <w:szCs w:val="25"/>
          <w:lang w:eastAsia="hu-HU"/>
        </w:rPr>
      </w:pPr>
      <w:r w:rsidRPr="00A521C7">
        <w:rPr>
          <w:rFonts w:ascii="Times New Roman" w:eastAsia="Times New Roman" w:hAnsi="Times New Roman" w:cs="Times New Roman"/>
          <w:color w:val="000000" w:themeColor="text1"/>
          <w:sz w:val="25"/>
          <w:szCs w:val="25"/>
          <w:lang w:eastAsia="hu-HU"/>
        </w:rPr>
        <w:t>A kormány idén is jelentősen emeli a közszférában dolgozók bérét, 2026. januártól emelkedik a pedagógusok, a szakképzésben oktatók, a kormányhivatali foglalkoztatottak, az önkormányzati tisztviselők, valamint az igazságügyi-, vízügyi-, szociális- és kulturális ágazatban dolgozók bére is, melynek első havi pénzforgalmi hatása a februári költségvetési kiadásokban jelentkezik.</w:t>
      </w:r>
    </w:p>
    <w:p w14:paraId="7B768A0B" w14:textId="72B0C871" w:rsidR="005171E0" w:rsidRDefault="00920F4D" w:rsidP="4600C643">
      <w:pPr>
        <w:widowControl w:val="0"/>
        <w:spacing w:after="120" w:line="254" w:lineRule="auto"/>
        <w:jc w:val="both"/>
        <w:rPr>
          <w:rFonts w:ascii="Times New Roman" w:eastAsia="Times New Roman" w:hAnsi="Times New Roman" w:cs="Times New Roman"/>
          <w:sz w:val="26"/>
          <w:szCs w:val="26"/>
          <w:lang w:eastAsia="hu-HU"/>
        </w:rPr>
      </w:pPr>
      <w:r>
        <w:rPr>
          <w:rFonts w:ascii="Times New Roman" w:eastAsia="Times New Roman" w:hAnsi="Times New Roman" w:cs="Times New Roman"/>
          <w:sz w:val="26"/>
          <w:szCs w:val="26"/>
          <w:lang w:eastAsia="hu-HU"/>
        </w:rPr>
        <w:br w:type="column"/>
      </w:r>
      <w:r w:rsidR="639E9B9B" w:rsidRPr="639E9B9B">
        <w:rPr>
          <w:rFonts w:ascii="Times New Roman" w:eastAsia="Times New Roman" w:hAnsi="Times New Roman" w:cs="Times New Roman"/>
          <w:sz w:val="26"/>
          <w:szCs w:val="26"/>
          <w:lang w:eastAsia="hu-HU"/>
        </w:rPr>
        <w:lastRenderedPageBreak/>
        <w:t xml:space="preserve">Az államháztartás központi </w:t>
      </w:r>
      <w:r w:rsidR="639E9B9B" w:rsidRPr="00456EAE">
        <w:rPr>
          <w:rFonts w:ascii="Times New Roman" w:eastAsia="Times New Roman" w:hAnsi="Times New Roman" w:cs="Times New Roman"/>
          <w:sz w:val="26"/>
          <w:szCs w:val="26"/>
          <w:lang w:eastAsia="hu-HU"/>
        </w:rPr>
        <w:t>alrendszerének 202</w:t>
      </w:r>
      <w:r w:rsidR="00EB62E4">
        <w:rPr>
          <w:rFonts w:ascii="Times New Roman" w:eastAsia="Times New Roman" w:hAnsi="Times New Roman" w:cs="Times New Roman"/>
          <w:sz w:val="26"/>
          <w:szCs w:val="26"/>
          <w:lang w:eastAsia="hu-HU"/>
        </w:rPr>
        <w:t>6</w:t>
      </w:r>
      <w:r w:rsidR="639E9B9B" w:rsidRPr="00456EAE">
        <w:rPr>
          <w:rFonts w:ascii="Times New Roman" w:eastAsia="Times New Roman" w:hAnsi="Times New Roman" w:cs="Times New Roman"/>
          <w:sz w:val="26"/>
          <w:szCs w:val="26"/>
          <w:lang w:eastAsia="hu-HU"/>
        </w:rPr>
        <w:t>.</w:t>
      </w:r>
      <w:r w:rsidR="00A673CC" w:rsidRPr="00456EAE">
        <w:rPr>
          <w:rFonts w:ascii="Times New Roman" w:eastAsia="Times New Roman" w:hAnsi="Times New Roman" w:cs="Times New Roman"/>
          <w:sz w:val="26"/>
          <w:szCs w:val="26"/>
          <w:lang w:eastAsia="hu-HU"/>
        </w:rPr>
        <w:t> </w:t>
      </w:r>
      <w:r w:rsidR="00671F24">
        <w:rPr>
          <w:rFonts w:ascii="Times New Roman" w:eastAsia="Times New Roman" w:hAnsi="Times New Roman" w:cs="Times New Roman"/>
          <w:sz w:val="26"/>
          <w:szCs w:val="26"/>
          <w:lang w:eastAsia="hu-HU"/>
        </w:rPr>
        <w:t>február</w:t>
      </w:r>
      <w:r w:rsidR="00A673CC" w:rsidRPr="00456EAE">
        <w:rPr>
          <w:rFonts w:ascii="Times New Roman" w:eastAsia="Times New Roman" w:hAnsi="Times New Roman" w:cs="Times New Roman"/>
          <w:sz w:val="26"/>
          <w:szCs w:val="26"/>
          <w:lang w:eastAsia="hu-HU"/>
        </w:rPr>
        <w:t> </w:t>
      </w:r>
      <w:r w:rsidR="639E9B9B" w:rsidRPr="00456EAE">
        <w:rPr>
          <w:rFonts w:ascii="Times New Roman" w:eastAsia="Times New Roman" w:hAnsi="Times New Roman" w:cs="Times New Roman"/>
          <w:sz w:val="26"/>
          <w:szCs w:val="26"/>
          <w:lang w:eastAsia="hu-HU"/>
        </w:rPr>
        <w:t>végi főbb</w:t>
      </w:r>
      <w:r w:rsidR="639E9B9B" w:rsidRPr="639E9B9B">
        <w:rPr>
          <w:rFonts w:ascii="Times New Roman" w:eastAsia="Times New Roman" w:hAnsi="Times New Roman" w:cs="Times New Roman"/>
          <w:sz w:val="26"/>
          <w:szCs w:val="26"/>
          <w:lang w:eastAsia="hu-HU"/>
        </w:rPr>
        <w:t xml:space="preserve"> pé</w:t>
      </w:r>
      <w:r w:rsidR="006D5492">
        <w:rPr>
          <w:rFonts w:ascii="Times New Roman" w:eastAsia="Times New Roman" w:hAnsi="Times New Roman" w:cs="Times New Roman"/>
          <w:sz w:val="26"/>
          <w:szCs w:val="26"/>
          <w:lang w:eastAsia="hu-HU"/>
        </w:rPr>
        <w:t>nzforgalmi adatai a következők:</w:t>
      </w:r>
    </w:p>
    <w:tbl>
      <w:tblPr>
        <w:tblW w:w="10064" w:type="dxa"/>
        <w:jc w:val="center"/>
        <w:tblLayout w:type="fixed"/>
        <w:tblCellMar>
          <w:left w:w="70" w:type="dxa"/>
          <w:right w:w="70" w:type="dxa"/>
        </w:tblCellMar>
        <w:tblLook w:val="04A0" w:firstRow="1" w:lastRow="0" w:firstColumn="1" w:lastColumn="0" w:noHBand="0" w:noVBand="1"/>
      </w:tblPr>
      <w:tblGrid>
        <w:gridCol w:w="2047"/>
        <w:gridCol w:w="1067"/>
        <w:gridCol w:w="1134"/>
        <w:gridCol w:w="1217"/>
        <w:gridCol w:w="1103"/>
        <w:gridCol w:w="1224"/>
        <w:gridCol w:w="1275"/>
        <w:gridCol w:w="997"/>
      </w:tblGrid>
      <w:tr w:rsidR="00EB62E4" w:rsidRPr="003D514A" w14:paraId="44D583B1" w14:textId="77777777" w:rsidTr="00671F24">
        <w:trPr>
          <w:trHeight w:val="1440"/>
          <w:jc w:val="center"/>
        </w:trPr>
        <w:tc>
          <w:tcPr>
            <w:tcW w:w="2047"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79E8F169" w14:textId="77777777" w:rsidR="00EB62E4" w:rsidRPr="00602E3C" w:rsidRDefault="4600C643" w:rsidP="4600C643">
            <w:pPr>
              <w:keepNext/>
              <w:keepLines/>
              <w:rPr>
                <w:rFonts w:ascii="Times New Roman" w:hAnsi="Times New Roman" w:cs="Times New Roman"/>
                <w:sz w:val="20"/>
                <w:szCs w:val="20"/>
              </w:rPr>
            </w:pPr>
            <w:r w:rsidRPr="4600C643">
              <w:rPr>
                <w:rFonts w:ascii="Times New Roman" w:hAnsi="Times New Roman" w:cs="Times New Roman"/>
                <w:sz w:val="20"/>
                <w:szCs w:val="20"/>
              </w:rPr>
              <w:t> </w:t>
            </w:r>
          </w:p>
        </w:tc>
        <w:tc>
          <w:tcPr>
            <w:tcW w:w="106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78824DB1" w14:textId="22C0875A" w:rsidR="00EB62E4" w:rsidRDefault="4600C643" w:rsidP="4600C643">
            <w:pPr>
              <w:keepNext/>
              <w:keepLines/>
              <w:spacing w:after="0"/>
              <w:jc w:val="center"/>
              <w:rPr>
                <w:rFonts w:ascii="Times New Roman" w:hAnsi="Times New Roman" w:cs="Times New Roman"/>
                <w:sz w:val="20"/>
                <w:szCs w:val="20"/>
              </w:rPr>
            </w:pPr>
            <w:r w:rsidRPr="4600C643">
              <w:rPr>
                <w:rFonts w:ascii="Times New Roman" w:hAnsi="Times New Roman" w:cs="Times New Roman"/>
                <w:b/>
                <w:bCs/>
                <w:sz w:val="20"/>
                <w:szCs w:val="20"/>
              </w:rPr>
              <w:t xml:space="preserve">2025. évi </w:t>
            </w:r>
            <w:r w:rsidR="1EAC8E60">
              <w:br/>
            </w:r>
            <w:r w:rsidRPr="4600C643">
              <w:rPr>
                <w:rFonts w:ascii="Times New Roman" w:hAnsi="Times New Roman" w:cs="Times New Roman"/>
                <w:b/>
                <w:bCs/>
                <w:sz w:val="20"/>
                <w:szCs w:val="20"/>
              </w:rPr>
              <w:t>előzetes tény</w:t>
            </w:r>
            <w:r w:rsidR="1EAC8E60">
              <w:br/>
            </w:r>
            <w:r w:rsidRPr="4600C643">
              <w:rPr>
                <w:rFonts w:ascii="Times New Roman" w:hAnsi="Times New Roman" w:cs="Times New Roman"/>
                <w:sz w:val="20"/>
                <w:szCs w:val="20"/>
              </w:rPr>
              <w:t>milliárd forintban</w:t>
            </w:r>
          </w:p>
          <w:p w14:paraId="16A4B65C" w14:textId="77777777" w:rsidR="00EB62E4" w:rsidRPr="00602E3C" w:rsidRDefault="4600C643" w:rsidP="4600C643">
            <w:pPr>
              <w:keepNext/>
              <w:keepLines/>
              <w:spacing w:after="0"/>
              <w:jc w:val="center"/>
              <w:rPr>
                <w:rFonts w:ascii="Times New Roman" w:hAnsi="Times New Roman" w:cs="Times New Roman"/>
                <w:sz w:val="20"/>
                <w:szCs w:val="20"/>
              </w:rPr>
            </w:pPr>
            <w:r w:rsidRPr="4600C643">
              <w:rPr>
                <w:rFonts w:ascii="Times New Roman" w:hAnsi="Times New Roman" w:cs="Times New Roman"/>
                <w:sz w:val="20"/>
                <w:szCs w:val="20"/>
              </w:rPr>
              <w:t>(1)</w:t>
            </w:r>
          </w:p>
        </w:tc>
        <w:tc>
          <w:tcPr>
            <w:tcW w:w="1134"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7F4A7DC" w14:textId="63EA7D4D" w:rsidR="00EB62E4" w:rsidRPr="00602E3C" w:rsidRDefault="4600C643" w:rsidP="4600C643">
            <w:pPr>
              <w:keepNext/>
              <w:keepLines/>
              <w:spacing w:after="0"/>
              <w:jc w:val="center"/>
              <w:rPr>
                <w:rFonts w:ascii="Times New Roman" w:hAnsi="Times New Roman" w:cs="Times New Roman"/>
                <w:sz w:val="20"/>
                <w:szCs w:val="20"/>
              </w:rPr>
            </w:pPr>
            <w:r w:rsidRPr="4600C643">
              <w:rPr>
                <w:rFonts w:ascii="Times New Roman" w:hAnsi="Times New Roman" w:cs="Times New Roman"/>
                <w:b/>
                <w:bCs/>
                <w:sz w:val="20"/>
                <w:szCs w:val="20"/>
              </w:rPr>
              <w:t>2025. I</w:t>
            </w:r>
            <w:r w:rsidR="00671F24">
              <w:rPr>
                <w:rFonts w:ascii="Times New Roman" w:hAnsi="Times New Roman" w:cs="Times New Roman"/>
                <w:b/>
                <w:bCs/>
                <w:sz w:val="20"/>
                <w:szCs w:val="20"/>
              </w:rPr>
              <w:t>-II</w:t>
            </w:r>
            <w:r w:rsidRPr="4600C643">
              <w:rPr>
                <w:rFonts w:ascii="Times New Roman" w:hAnsi="Times New Roman" w:cs="Times New Roman"/>
                <w:b/>
                <w:bCs/>
                <w:sz w:val="20"/>
                <w:szCs w:val="20"/>
              </w:rPr>
              <w:t>. hó tény</w:t>
            </w:r>
            <w:r w:rsidR="1EAC8E60">
              <w:br/>
            </w:r>
            <w:r w:rsidRPr="4600C643">
              <w:rPr>
                <w:rFonts w:ascii="Times New Roman" w:hAnsi="Times New Roman" w:cs="Times New Roman"/>
                <w:sz w:val="20"/>
                <w:szCs w:val="20"/>
              </w:rPr>
              <w:t>milliárd forintban</w:t>
            </w:r>
          </w:p>
          <w:p w14:paraId="0FD884DB" w14:textId="77777777" w:rsidR="00EB62E4" w:rsidRPr="00602E3C" w:rsidRDefault="00EB62E4" w:rsidP="0041684E">
            <w:pPr>
              <w:keepNext/>
              <w:keepLines/>
              <w:spacing w:after="0"/>
              <w:jc w:val="center"/>
              <w:rPr>
                <w:rFonts w:ascii="Times New Roman" w:hAnsi="Times New Roman" w:cs="Times New Roman"/>
                <w:sz w:val="20"/>
                <w:szCs w:val="20"/>
              </w:rPr>
            </w:pPr>
          </w:p>
          <w:p w14:paraId="006D888C" w14:textId="77777777" w:rsidR="00EB62E4" w:rsidRPr="00602E3C" w:rsidRDefault="4600C643" w:rsidP="4600C643">
            <w:pPr>
              <w:keepNext/>
              <w:keepLines/>
              <w:spacing w:after="0"/>
              <w:jc w:val="center"/>
              <w:rPr>
                <w:rFonts w:ascii="Times New Roman" w:hAnsi="Times New Roman" w:cs="Times New Roman"/>
                <w:sz w:val="20"/>
                <w:szCs w:val="20"/>
              </w:rPr>
            </w:pPr>
            <w:r w:rsidRPr="4600C643">
              <w:rPr>
                <w:rFonts w:ascii="Times New Roman" w:hAnsi="Times New Roman" w:cs="Times New Roman"/>
                <w:sz w:val="20"/>
                <w:szCs w:val="20"/>
              </w:rPr>
              <w:t>(2)</w:t>
            </w:r>
          </w:p>
        </w:tc>
        <w:tc>
          <w:tcPr>
            <w:tcW w:w="121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051C252D" w14:textId="77777777" w:rsidR="00EB62E4" w:rsidRPr="00602E3C" w:rsidRDefault="4600C643" w:rsidP="4600C643">
            <w:pPr>
              <w:keepNext/>
              <w:keepLines/>
              <w:spacing w:after="0"/>
              <w:jc w:val="center"/>
              <w:rPr>
                <w:rFonts w:ascii="Times New Roman" w:hAnsi="Times New Roman" w:cs="Times New Roman"/>
                <w:sz w:val="20"/>
                <w:szCs w:val="20"/>
              </w:rPr>
            </w:pPr>
            <w:r w:rsidRPr="4600C643">
              <w:rPr>
                <w:rFonts w:ascii="Times New Roman" w:hAnsi="Times New Roman" w:cs="Times New Roman"/>
                <w:sz w:val="20"/>
                <w:szCs w:val="20"/>
              </w:rPr>
              <w:t>éves tény=100%</w:t>
            </w:r>
            <w:r w:rsidR="1EAC8E60">
              <w:br/>
            </w:r>
            <w:r w:rsidRPr="4600C643">
              <w:rPr>
                <w:rFonts w:ascii="Times New Roman" w:hAnsi="Times New Roman" w:cs="Times New Roman"/>
                <w:sz w:val="20"/>
                <w:szCs w:val="20"/>
              </w:rPr>
              <w:t>Index (%)</w:t>
            </w:r>
          </w:p>
          <w:p w14:paraId="23CAD950" w14:textId="77777777" w:rsidR="00EB62E4" w:rsidRDefault="00EB62E4" w:rsidP="0041684E">
            <w:pPr>
              <w:keepNext/>
              <w:keepLines/>
              <w:spacing w:after="0"/>
              <w:jc w:val="center"/>
              <w:rPr>
                <w:rFonts w:ascii="Times New Roman" w:hAnsi="Times New Roman" w:cs="Times New Roman"/>
                <w:sz w:val="20"/>
                <w:szCs w:val="20"/>
              </w:rPr>
            </w:pPr>
          </w:p>
          <w:p w14:paraId="37FF863F" w14:textId="77777777" w:rsidR="00EB62E4" w:rsidRPr="00602E3C" w:rsidRDefault="00EB62E4" w:rsidP="0041684E">
            <w:pPr>
              <w:keepNext/>
              <w:keepLines/>
              <w:spacing w:after="0"/>
              <w:jc w:val="center"/>
              <w:rPr>
                <w:rFonts w:ascii="Times New Roman" w:hAnsi="Times New Roman" w:cs="Times New Roman"/>
                <w:sz w:val="20"/>
                <w:szCs w:val="20"/>
              </w:rPr>
            </w:pPr>
          </w:p>
          <w:p w14:paraId="60CDF192" w14:textId="77777777" w:rsidR="00EB62E4" w:rsidRPr="00602E3C" w:rsidRDefault="4600C643" w:rsidP="4600C643">
            <w:pPr>
              <w:keepNext/>
              <w:keepLines/>
              <w:spacing w:after="0"/>
              <w:jc w:val="center"/>
              <w:rPr>
                <w:rFonts w:ascii="Times New Roman" w:hAnsi="Times New Roman" w:cs="Times New Roman"/>
                <w:sz w:val="20"/>
                <w:szCs w:val="20"/>
              </w:rPr>
            </w:pPr>
            <w:r w:rsidRPr="4600C643">
              <w:rPr>
                <w:rFonts w:ascii="Times New Roman" w:hAnsi="Times New Roman" w:cs="Times New Roman"/>
                <w:sz w:val="20"/>
                <w:szCs w:val="20"/>
              </w:rPr>
              <w:t>(2/1)</w:t>
            </w:r>
          </w:p>
        </w:tc>
        <w:tc>
          <w:tcPr>
            <w:tcW w:w="1103"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57B9458E" w14:textId="2812FA50" w:rsidR="00EB62E4" w:rsidRPr="00602E3C" w:rsidRDefault="4600C643" w:rsidP="4600C643">
            <w:pPr>
              <w:keepNext/>
              <w:keepLines/>
              <w:spacing w:after="0"/>
              <w:jc w:val="center"/>
              <w:rPr>
                <w:rFonts w:ascii="Times New Roman" w:hAnsi="Times New Roman" w:cs="Times New Roman"/>
                <w:sz w:val="20"/>
                <w:szCs w:val="20"/>
              </w:rPr>
            </w:pPr>
            <w:r w:rsidRPr="4600C643">
              <w:rPr>
                <w:rFonts w:ascii="Times New Roman" w:hAnsi="Times New Roman" w:cs="Times New Roman"/>
                <w:b/>
                <w:bCs/>
                <w:sz w:val="20"/>
                <w:szCs w:val="20"/>
              </w:rPr>
              <w:t>2026. évi előirányzat</w:t>
            </w:r>
            <w:r w:rsidR="1EAC8E60">
              <w:br/>
            </w:r>
            <w:r w:rsidRPr="4600C643">
              <w:rPr>
                <w:rFonts w:ascii="Times New Roman" w:hAnsi="Times New Roman" w:cs="Times New Roman"/>
                <w:sz w:val="20"/>
                <w:szCs w:val="20"/>
              </w:rPr>
              <w:t>milliárd forintban</w:t>
            </w:r>
          </w:p>
          <w:p w14:paraId="79AE386B" w14:textId="77777777" w:rsidR="00EB62E4" w:rsidRPr="00602E3C" w:rsidRDefault="00EB62E4" w:rsidP="0041684E">
            <w:pPr>
              <w:keepNext/>
              <w:keepLines/>
              <w:spacing w:after="0"/>
              <w:jc w:val="center"/>
              <w:rPr>
                <w:rFonts w:ascii="Times New Roman" w:hAnsi="Times New Roman" w:cs="Times New Roman"/>
                <w:sz w:val="20"/>
                <w:szCs w:val="20"/>
              </w:rPr>
            </w:pPr>
          </w:p>
          <w:p w14:paraId="2BB746ED" w14:textId="77777777" w:rsidR="00EB62E4" w:rsidRPr="00602E3C" w:rsidRDefault="4600C643" w:rsidP="4600C643">
            <w:pPr>
              <w:keepNext/>
              <w:keepLines/>
              <w:spacing w:after="0"/>
              <w:jc w:val="center"/>
              <w:rPr>
                <w:rFonts w:ascii="Times New Roman" w:hAnsi="Times New Roman" w:cs="Times New Roman"/>
                <w:sz w:val="20"/>
                <w:szCs w:val="20"/>
              </w:rPr>
            </w:pPr>
            <w:r w:rsidRPr="4600C643">
              <w:rPr>
                <w:rFonts w:ascii="Times New Roman" w:hAnsi="Times New Roman" w:cs="Times New Roman"/>
                <w:sz w:val="20"/>
                <w:szCs w:val="20"/>
              </w:rPr>
              <w:t>(3)</w:t>
            </w:r>
          </w:p>
        </w:tc>
        <w:tc>
          <w:tcPr>
            <w:tcW w:w="1224"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128B4DC" w14:textId="39EEFB3F" w:rsidR="00EB62E4" w:rsidRPr="00602E3C" w:rsidRDefault="4600C643" w:rsidP="4600C643">
            <w:pPr>
              <w:keepNext/>
              <w:keepLines/>
              <w:spacing w:after="0"/>
              <w:jc w:val="center"/>
              <w:rPr>
                <w:rFonts w:ascii="Times New Roman" w:hAnsi="Times New Roman" w:cs="Times New Roman"/>
                <w:sz w:val="20"/>
                <w:szCs w:val="20"/>
              </w:rPr>
            </w:pPr>
            <w:r w:rsidRPr="4600C643">
              <w:rPr>
                <w:rFonts w:ascii="Times New Roman" w:hAnsi="Times New Roman" w:cs="Times New Roman"/>
                <w:b/>
                <w:bCs/>
                <w:sz w:val="20"/>
                <w:szCs w:val="20"/>
              </w:rPr>
              <w:t>2026. I</w:t>
            </w:r>
            <w:r w:rsidR="00671F24">
              <w:rPr>
                <w:rFonts w:ascii="Times New Roman" w:hAnsi="Times New Roman" w:cs="Times New Roman"/>
                <w:b/>
                <w:bCs/>
                <w:sz w:val="20"/>
                <w:szCs w:val="20"/>
              </w:rPr>
              <w:t>-II</w:t>
            </w:r>
            <w:r w:rsidRPr="4600C643">
              <w:rPr>
                <w:rFonts w:ascii="Times New Roman" w:hAnsi="Times New Roman" w:cs="Times New Roman"/>
                <w:b/>
                <w:bCs/>
                <w:sz w:val="20"/>
                <w:szCs w:val="20"/>
              </w:rPr>
              <w:t>. hó tény</w:t>
            </w:r>
            <w:r w:rsidR="1EAC8E60">
              <w:br/>
            </w:r>
            <w:r w:rsidRPr="4600C643">
              <w:rPr>
                <w:rFonts w:ascii="Times New Roman" w:hAnsi="Times New Roman" w:cs="Times New Roman"/>
                <w:sz w:val="20"/>
                <w:szCs w:val="20"/>
              </w:rPr>
              <w:t>milliárd forintban</w:t>
            </w:r>
          </w:p>
          <w:p w14:paraId="01AF2FB2" w14:textId="77777777" w:rsidR="00EB62E4" w:rsidRPr="00602E3C" w:rsidRDefault="00EB62E4" w:rsidP="0041684E">
            <w:pPr>
              <w:keepNext/>
              <w:keepLines/>
              <w:spacing w:after="0"/>
              <w:jc w:val="center"/>
              <w:rPr>
                <w:rFonts w:ascii="Times New Roman" w:hAnsi="Times New Roman" w:cs="Times New Roman"/>
                <w:sz w:val="20"/>
                <w:szCs w:val="20"/>
              </w:rPr>
            </w:pPr>
          </w:p>
          <w:p w14:paraId="38C575FD" w14:textId="77777777" w:rsidR="00EB62E4" w:rsidRPr="00602E3C" w:rsidRDefault="4600C643" w:rsidP="4600C643">
            <w:pPr>
              <w:keepNext/>
              <w:keepLines/>
              <w:spacing w:after="0"/>
              <w:jc w:val="center"/>
              <w:rPr>
                <w:rFonts w:ascii="Times New Roman" w:hAnsi="Times New Roman" w:cs="Times New Roman"/>
                <w:sz w:val="20"/>
                <w:szCs w:val="20"/>
              </w:rPr>
            </w:pPr>
            <w:r w:rsidRPr="4600C643">
              <w:rPr>
                <w:rFonts w:ascii="Times New Roman" w:hAnsi="Times New Roman" w:cs="Times New Roman"/>
                <w:sz w:val="20"/>
                <w:szCs w:val="20"/>
              </w:rPr>
              <w:t>(4)</w:t>
            </w:r>
          </w:p>
        </w:tc>
        <w:tc>
          <w:tcPr>
            <w:tcW w:w="1275"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0A4C38D7" w14:textId="77777777" w:rsidR="00EB62E4" w:rsidRPr="00602E3C" w:rsidRDefault="4600C643" w:rsidP="4600C643">
            <w:pPr>
              <w:keepNext/>
              <w:keepLines/>
              <w:spacing w:after="0"/>
              <w:jc w:val="center"/>
              <w:rPr>
                <w:rFonts w:ascii="Times New Roman" w:hAnsi="Times New Roman" w:cs="Times New Roman"/>
                <w:sz w:val="20"/>
                <w:szCs w:val="20"/>
              </w:rPr>
            </w:pPr>
            <w:r w:rsidRPr="4600C643">
              <w:rPr>
                <w:rFonts w:ascii="Times New Roman" w:hAnsi="Times New Roman" w:cs="Times New Roman"/>
                <w:sz w:val="20"/>
                <w:szCs w:val="20"/>
              </w:rPr>
              <w:t>előirányzat=</w:t>
            </w:r>
            <w:r w:rsidR="1EAC8E60">
              <w:br/>
            </w:r>
            <w:r w:rsidRPr="4600C643">
              <w:rPr>
                <w:rFonts w:ascii="Times New Roman" w:hAnsi="Times New Roman" w:cs="Times New Roman"/>
                <w:sz w:val="20"/>
                <w:szCs w:val="20"/>
              </w:rPr>
              <w:t>100%</w:t>
            </w:r>
            <w:r w:rsidR="1EAC8E60">
              <w:br/>
            </w:r>
            <w:r w:rsidRPr="4600C643">
              <w:rPr>
                <w:rFonts w:ascii="Times New Roman" w:hAnsi="Times New Roman" w:cs="Times New Roman"/>
                <w:sz w:val="20"/>
                <w:szCs w:val="20"/>
              </w:rPr>
              <w:t>Index (%)</w:t>
            </w:r>
          </w:p>
          <w:p w14:paraId="292D56FD" w14:textId="77777777" w:rsidR="00EB62E4" w:rsidRDefault="00EB62E4" w:rsidP="0041684E">
            <w:pPr>
              <w:keepNext/>
              <w:keepLines/>
              <w:spacing w:after="0"/>
              <w:jc w:val="center"/>
              <w:rPr>
                <w:rFonts w:ascii="Times New Roman" w:hAnsi="Times New Roman" w:cs="Times New Roman"/>
                <w:sz w:val="20"/>
                <w:szCs w:val="20"/>
              </w:rPr>
            </w:pPr>
          </w:p>
          <w:p w14:paraId="4B6EFB4E" w14:textId="77777777" w:rsidR="00EB62E4" w:rsidRPr="00602E3C" w:rsidRDefault="00EB62E4" w:rsidP="0041684E">
            <w:pPr>
              <w:keepNext/>
              <w:keepLines/>
              <w:spacing w:after="0"/>
              <w:jc w:val="center"/>
              <w:rPr>
                <w:rFonts w:ascii="Times New Roman" w:hAnsi="Times New Roman" w:cs="Times New Roman"/>
                <w:sz w:val="20"/>
                <w:szCs w:val="20"/>
              </w:rPr>
            </w:pPr>
          </w:p>
          <w:p w14:paraId="7BABBF8A" w14:textId="77777777" w:rsidR="00EB62E4" w:rsidRPr="00602E3C" w:rsidRDefault="4600C643" w:rsidP="4600C643">
            <w:pPr>
              <w:keepNext/>
              <w:keepLines/>
              <w:spacing w:after="0"/>
              <w:jc w:val="center"/>
              <w:rPr>
                <w:rFonts w:ascii="Times New Roman" w:hAnsi="Times New Roman" w:cs="Times New Roman"/>
                <w:sz w:val="20"/>
                <w:szCs w:val="20"/>
              </w:rPr>
            </w:pPr>
            <w:r w:rsidRPr="4600C643">
              <w:rPr>
                <w:rFonts w:ascii="Times New Roman" w:hAnsi="Times New Roman" w:cs="Times New Roman"/>
                <w:sz w:val="20"/>
                <w:szCs w:val="20"/>
              </w:rPr>
              <w:t>(4/3)</w:t>
            </w:r>
          </w:p>
        </w:tc>
        <w:tc>
          <w:tcPr>
            <w:tcW w:w="99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06E01A08" w14:textId="77777777" w:rsidR="00EB62E4" w:rsidRPr="00602E3C" w:rsidRDefault="4600C643" w:rsidP="4600C643">
            <w:pPr>
              <w:keepNext/>
              <w:keepLines/>
              <w:spacing w:after="0"/>
              <w:jc w:val="center"/>
              <w:rPr>
                <w:rFonts w:ascii="Times New Roman" w:hAnsi="Times New Roman" w:cs="Times New Roman"/>
                <w:sz w:val="20"/>
                <w:szCs w:val="20"/>
              </w:rPr>
            </w:pPr>
            <w:r w:rsidRPr="4600C643">
              <w:rPr>
                <w:rFonts w:ascii="Times New Roman" w:hAnsi="Times New Roman" w:cs="Times New Roman"/>
                <w:sz w:val="20"/>
                <w:szCs w:val="20"/>
              </w:rPr>
              <w:t>előző év=</w:t>
            </w:r>
            <w:r w:rsidR="1EAC8E60">
              <w:br/>
            </w:r>
            <w:r w:rsidRPr="4600C643">
              <w:rPr>
                <w:rFonts w:ascii="Times New Roman" w:hAnsi="Times New Roman" w:cs="Times New Roman"/>
                <w:sz w:val="20"/>
                <w:szCs w:val="20"/>
              </w:rPr>
              <w:t>100%</w:t>
            </w:r>
            <w:r w:rsidR="1EAC8E60">
              <w:br/>
            </w:r>
            <w:r w:rsidRPr="4600C643">
              <w:rPr>
                <w:rFonts w:ascii="Times New Roman" w:hAnsi="Times New Roman" w:cs="Times New Roman"/>
                <w:sz w:val="20"/>
                <w:szCs w:val="20"/>
              </w:rPr>
              <w:t>Index (%)</w:t>
            </w:r>
          </w:p>
          <w:p w14:paraId="5E5352FC" w14:textId="77777777" w:rsidR="00EB62E4" w:rsidRPr="00602E3C" w:rsidRDefault="00EB62E4" w:rsidP="0041684E">
            <w:pPr>
              <w:keepNext/>
              <w:keepLines/>
              <w:spacing w:after="0"/>
              <w:jc w:val="center"/>
              <w:rPr>
                <w:rFonts w:ascii="Times New Roman" w:hAnsi="Times New Roman" w:cs="Times New Roman"/>
                <w:sz w:val="20"/>
                <w:szCs w:val="20"/>
              </w:rPr>
            </w:pPr>
          </w:p>
          <w:p w14:paraId="3DA38296" w14:textId="77777777" w:rsidR="00EB62E4" w:rsidRPr="00602E3C" w:rsidRDefault="00EB62E4" w:rsidP="4600C643">
            <w:pPr>
              <w:keepNext/>
              <w:keepLines/>
              <w:spacing w:after="0"/>
              <w:jc w:val="center"/>
              <w:rPr>
                <w:rFonts w:ascii="Times New Roman" w:hAnsi="Times New Roman" w:cs="Times New Roman"/>
                <w:sz w:val="20"/>
                <w:szCs w:val="20"/>
              </w:rPr>
            </w:pPr>
            <w:r>
              <w:br/>
            </w:r>
            <w:r w:rsidR="4600C643" w:rsidRPr="4600C643">
              <w:rPr>
                <w:rFonts w:ascii="Times New Roman" w:hAnsi="Times New Roman" w:cs="Times New Roman"/>
                <w:sz w:val="20"/>
                <w:szCs w:val="20"/>
              </w:rPr>
              <w:t>(4/2)</w:t>
            </w:r>
          </w:p>
        </w:tc>
      </w:tr>
      <w:tr w:rsidR="00671F24" w:rsidRPr="003D514A" w14:paraId="07500852" w14:textId="77777777" w:rsidTr="00671F24">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4E29F6EA" w14:textId="77777777" w:rsidR="00671F24" w:rsidRPr="00602E3C" w:rsidRDefault="00671F24" w:rsidP="00671F24">
            <w:pPr>
              <w:keepNext/>
              <w:keepLines/>
              <w:spacing w:before="120" w:after="120"/>
              <w:rPr>
                <w:rFonts w:ascii="Times New Roman" w:hAnsi="Times New Roman" w:cs="Times New Roman"/>
                <w:b/>
                <w:bCs/>
                <w:sz w:val="20"/>
                <w:szCs w:val="20"/>
              </w:rPr>
            </w:pPr>
            <w:r w:rsidRPr="4600C643">
              <w:rPr>
                <w:rFonts w:ascii="Times New Roman" w:hAnsi="Times New Roman" w:cs="Times New Roman"/>
                <w:b/>
                <w:bCs/>
                <w:sz w:val="20"/>
                <w:szCs w:val="20"/>
              </w:rPr>
              <w:t>Központi költségvetés egyenlege</w:t>
            </w:r>
          </w:p>
        </w:tc>
        <w:tc>
          <w:tcPr>
            <w:tcW w:w="1067" w:type="dxa"/>
            <w:tcBorders>
              <w:top w:val="single" w:sz="4" w:space="0" w:color="auto"/>
              <w:left w:val="single" w:sz="4" w:space="0" w:color="auto"/>
              <w:bottom w:val="single" w:sz="4" w:space="0" w:color="auto"/>
              <w:right w:val="single" w:sz="4" w:space="0" w:color="auto"/>
            </w:tcBorders>
            <w:noWrap/>
            <w:vAlign w:val="center"/>
          </w:tcPr>
          <w:p w14:paraId="3AF25223" w14:textId="18F5D11E" w:rsidR="00671F24" w:rsidRPr="007007A3" w:rsidRDefault="00671F24" w:rsidP="00671F24">
            <w:pPr>
              <w:spacing w:before="120" w:after="120"/>
              <w:jc w:val="right"/>
              <w:rPr>
                <w:rFonts w:ascii="Times New Roman" w:hAnsi="Times New Roman" w:cs="Times New Roman"/>
                <w:b/>
                <w:bCs/>
                <w:sz w:val="20"/>
                <w:szCs w:val="20"/>
              </w:rPr>
            </w:pPr>
            <w:r w:rsidRPr="00F55F32">
              <w:rPr>
                <w:rFonts w:ascii="Garamond" w:hAnsi="Garamond"/>
                <w:b/>
                <w:bCs/>
                <w:sz w:val="20"/>
                <w:szCs w:val="20"/>
              </w:rPr>
              <w:t>-5 500,1</w:t>
            </w:r>
          </w:p>
        </w:tc>
        <w:tc>
          <w:tcPr>
            <w:tcW w:w="1134" w:type="dxa"/>
            <w:tcBorders>
              <w:top w:val="single" w:sz="4" w:space="0" w:color="auto"/>
              <w:left w:val="nil"/>
              <w:bottom w:val="single" w:sz="4" w:space="0" w:color="auto"/>
              <w:right w:val="single" w:sz="4" w:space="0" w:color="auto"/>
            </w:tcBorders>
            <w:noWrap/>
            <w:vAlign w:val="center"/>
          </w:tcPr>
          <w:p w14:paraId="7D45EE77" w14:textId="011FF709" w:rsidR="00671F24" w:rsidRPr="007007A3" w:rsidRDefault="00671F24" w:rsidP="00671F24">
            <w:pPr>
              <w:spacing w:before="120" w:after="120"/>
              <w:jc w:val="right"/>
              <w:rPr>
                <w:rFonts w:ascii="Times New Roman" w:hAnsi="Times New Roman" w:cs="Times New Roman"/>
                <w:b/>
                <w:bCs/>
                <w:sz w:val="20"/>
                <w:szCs w:val="20"/>
              </w:rPr>
            </w:pPr>
            <w:r w:rsidRPr="00F55F32">
              <w:rPr>
                <w:rFonts w:ascii="Garamond" w:hAnsi="Garamond"/>
                <w:b/>
                <w:bCs/>
                <w:sz w:val="20"/>
                <w:szCs w:val="20"/>
              </w:rPr>
              <w:t>-1 683,5</w:t>
            </w:r>
          </w:p>
        </w:tc>
        <w:tc>
          <w:tcPr>
            <w:tcW w:w="1217" w:type="dxa"/>
            <w:tcBorders>
              <w:top w:val="single" w:sz="4" w:space="0" w:color="auto"/>
              <w:left w:val="nil"/>
              <w:bottom w:val="single" w:sz="4" w:space="0" w:color="auto"/>
              <w:right w:val="single" w:sz="4" w:space="0" w:color="auto"/>
            </w:tcBorders>
            <w:noWrap/>
            <w:vAlign w:val="center"/>
          </w:tcPr>
          <w:p w14:paraId="7EDA3EB1" w14:textId="46F6194A"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30,6</w:t>
            </w:r>
          </w:p>
        </w:tc>
        <w:tc>
          <w:tcPr>
            <w:tcW w:w="1103" w:type="dxa"/>
            <w:tcBorders>
              <w:top w:val="single" w:sz="4" w:space="0" w:color="auto"/>
              <w:left w:val="nil"/>
              <w:bottom w:val="single" w:sz="4" w:space="0" w:color="auto"/>
              <w:right w:val="single" w:sz="4" w:space="0" w:color="auto"/>
            </w:tcBorders>
            <w:noWrap/>
            <w:vAlign w:val="center"/>
          </w:tcPr>
          <w:p w14:paraId="15A4090F" w14:textId="0CA858B9" w:rsidR="00671F24" w:rsidRPr="007007A3" w:rsidRDefault="00671F24" w:rsidP="00671F24">
            <w:pPr>
              <w:spacing w:before="120" w:after="120"/>
              <w:jc w:val="right"/>
              <w:rPr>
                <w:rFonts w:ascii="Times New Roman" w:hAnsi="Times New Roman" w:cs="Times New Roman"/>
                <w:b/>
                <w:bCs/>
                <w:sz w:val="20"/>
                <w:szCs w:val="20"/>
              </w:rPr>
            </w:pPr>
            <w:r w:rsidRPr="00F55F32">
              <w:rPr>
                <w:rFonts w:ascii="Garamond" w:hAnsi="Garamond"/>
                <w:b/>
                <w:bCs/>
                <w:sz w:val="20"/>
                <w:szCs w:val="20"/>
              </w:rPr>
              <w:t>-4 294,0</w:t>
            </w:r>
          </w:p>
        </w:tc>
        <w:tc>
          <w:tcPr>
            <w:tcW w:w="1224" w:type="dxa"/>
            <w:tcBorders>
              <w:top w:val="single" w:sz="4" w:space="0" w:color="auto"/>
              <w:left w:val="nil"/>
              <w:bottom w:val="single" w:sz="4" w:space="0" w:color="auto"/>
              <w:right w:val="single" w:sz="4" w:space="0" w:color="auto"/>
            </w:tcBorders>
            <w:noWrap/>
            <w:vAlign w:val="center"/>
          </w:tcPr>
          <w:p w14:paraId="50FC488F" w14:textId="59B002FF" w:rsidR="00671F24" w:rsidRPr="007007A3" w:rsidRDefault="00671F24" w:rsidP="00671F24">
            <w:pPr>
              <w:spacing w:before="120" w:after="120"/>
              <w:jc w:val="right"/>
              <w:rPr>
                <w:rFonts w:ascii="Times New Roman" w:hAnsi="Times New Roman" w:cs="Times New Roman"/>
                <w:b/>
                <w:bCs/>
                <w:sz w:val="20"/>
                <w:szCs w:val="20"/>
              </w:rPr>
            </w:pPr>
            <w:r w:rsidRPr="00F55F32">
              <w:rPr>
                <w:rFonts w:ascii="Garamond" w:hAnsi="Garamond"/>
                <w:b/>
                <w:bCs/>
                <w:sz w:val="20"/>
                <w:szCs w:val="20"/>
              </w:rPr>
              <w:t>-2 010,1</w:t>
            </w:r>
          </w:p>
        </w:tc>
        <w:tc>
          <w:tcPr>
            <w:tcW w:w="1275" w:type="dxa"/>
            <w:tcBorders>
              <w:top w:val="single" w:sz="4" w:space="0" w:color="auto"/>
              <w:left w:val="nil"/>
              <w:bottom w:val="single" w:sz="4" w:space="0" w:color="auto"/>
              <w:right w:val="single" w:sz="4" w:space="0" w:color="auto"/>
            </w:tcBorders>
            <w:noWrap/>
            <w:vAlign w:val="center"/>
          </w:tcPr>
          <w:p w14:paraId="7978740E" w14:textId="6C4FD523"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46,8</w:t>
            </w:r>
          </w:p>
        </w:tc>
        <w:tc>
          <w:tcPr>
            <w:tcW w:w="997" w:type="dxa"/>
            <w:tcBorders>
              <w:top w:val="single" w:sz="4" w:space="0" w:color="auto"/>
              <w:left w:val="nil"/>
              <w:bottom w:val="single" w:sz="4" w:space="0" w:color="auto"/>
              <w:right w:val="single" w:sz="4" w:space="0" w:color="auto"/>
            </w:tcBorders>
            <w:noWrap/>
            <w:vAlign w:val="center"/>
          </w:tcPr>
          <w:p w14:paraId="1D0942AF" w14:textId="07E61AE2"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119,4</w:t>
            </w:r>
          </w:p>
        </w:tc>
      </w:tr>
      <w:tr w:rsidR="00671F24" w:rsidRPr="003D514A" w14:paraId="7ED7811A" w14:textId="77777777" w:rsidTr="00671F24">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245BF5FA" w14:textId="77777777" w:rsidR="00671F24" w:rsidRPr="00602E3C" w:rsidRDefault="00671F24" w:rsidP="00671F24">
            <w:pPr>
              <w:keepNext/>
              <w:keepLines/>
              <w:spacing w:before="120" w:after="120"/>
              <w:jc w:val="right"/>
              <w:rPr>
                <w:rFonts w:ascii="Times New Roman" w:hAnsi="Times New Roman" w:cs="Times New Roman"/>
                <w:sz w:val="20"/>
                <w:szCs w:val="20"/>
              </w:rPr>
            </w:pPr>
            <w:r w:rsidRPr="4600C643">
              <w:rPr>
                <w:rFonts w:ascii="Times New Roman" w:hAnsi="Times New Roman" w:cs="Times New Roman"/>
                <w:sz w:val="20"/>
                <w:szCs w:val="20"/>
              </w:rPr>
              <w:t>bevétel:</w:t>
            </w:r>
          </w:p>
        </w:tc>
        <w:tc>
          <w:tcPr>
            <w:tcW w:w="1067" w:type="dxa"/>
            <w:tcBorders>
              <w:top w:val="nil"/>
              <w:left w:val="single" w:sz="4" w:space="0" w:color="auto"/>
              <w:bottom w:val="single" w:sz="4" w:space="0" w:color="auto"/>
              <w:right w:val="single" w:sz="4" w:space="0" w:color="auto"/>
            </w:tcBorders>
            <w:noWrap/>
            <w:vAlign w:val="center"/>
          </w:tcPr>
          <w:p w14:paraId="76F83688" w14:textId="6030ADC5"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27 058,6</w:t>
            </w:r>
          </w:p>
        </w:tc>
        <w:tc>
          <w:tcPr>
            <w:tcW w:w="1134" w:type="dxa"/>
            <w:tcBorders>
              <w:top w:val="nil"/>
              <w:left w:val="nil"/>
              <w:bottom w:val="single" w:sz="4" w:space="0" w:color="auto"/>
              <w:right w:val="single" w:sz="4" w:space="0" w:color="auto"/>
            </w:tcBorders>
            <w:noWrap/>
            <w:vAlign w:val="center"/>
          </w:tcPr>
          <w:p w14:paraId="2B5100E2" w14:textId="5117EB13"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3 876,7</w:t>
            </w:r>
          </w:p>
        </w:tc>
        <w:tc>
          <w:tcPr>
            <w:tcW w:w="1217" w:type="dxa"/>
            <w:tcBorders>
              <w:top w:val="nil"/>
              <w:left w:val="nil"/>
              <w:bottom w:val="single" w:sz="4" w:space="0" w:color="auto"/>
              <w:right w:val="single" w:sz="4" w:space="0" w:color="auto"/>
            </w:tcBorders>
            <w:noWrap/>
            <w:vAlign w:val="center"/>
          </w:tcPr>
          <w:p w14:paraId="5D9BB325" w14:textId="705577C0"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14,3</w:t>
            </w:r>
          </w:p>
        </w:tc>
        <w:tc>
          <w:tcPr>
            <w:tcW w:w="1103" w:type="dxa"/>
            <w:tcBorders>
              <w:top w:val="nil"/>
              <w:left w:val="nil"/>
              <w:bottom w:val="single" w:sz="4" w:space="0" w:color="auto"/>
              <w:right w:val="single" w:sz="4" w:space="0" w:color="auto"/>
            </w:tcBorders>
            <w:noWrap/>
            <w:vAlign w:val="center"/>
          </w:tcPr>
          <w:p w14:paraId="39347280" w14:textId="3E6F6665"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26 702,8</w:t>
            </w:r>
          </w:p>
        </w:tc>
        <w:tc>
          <w:tcPr>
            <w:tcW w:w="1224" w:type="dxa"/>
            <w:tcBorders>
              <w:top w:val="nil"/>
              <w:left w:val="nil"/>
              <w:bottom w:val="single" w:sz="4" w:space="0" w:color="auto"/>
              <w:right w:val="single" w:sz="4" w:space="0" w:color="auto"/>
            </w:tcBorders>
            <w:noWrap/>
            <w:vAlign w:val="center"/>
          </w:tcPr>
          <w:p w14:paraId="2C196D18" w14:textId="793C77CA"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4 738,</w:t>
            </w:r>
            <w:r>
              <w:rPr>
                <w:rFonts w:ascii="Garamond" w:hAnsi="Garamond"/>
                <w:sz w:val="20"/>
                <w:szCs w:val="20"/>
              </w:rPr>
              <w:t>2</w:t>
            </w:r>
          </w:p>
        </w:tc>
        <w:tc>
          <w:tcPr>
            <w:tcW w:w="1275" w:type="dxa"/>
            <w:tcBorders>
              <w:top w:val="nil"/>
              <w:left w:val="nil"/>
              <w:bottom w:val="single" w:sz="4" w:space="0" w:color="auto"/>
              <w:right w:val="single" w:sz="4" w:space="0" w:color="auto"/>
            </w:tcBorders>
            <w:noWrap/>
            <w:vAlign w:val="center"/>
          </w:tcPr>
          <w:p w14:paraId="667B0E54" w14:textId="04D51C01"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17,7</w:t>
            </w:r>
          </w:p>
        </w:tc>
        <w:tc>
          <w:tcPr>
            <w:tcW w:w="997" w:type="dxa"/>
            <w:tcBorders>
              <w:top w:val="nil"/>
              <w:left w:val="nil"/>
              <w:bottom w:val="single" w:sz="4" w:space="0" w:color="auto"/>
              <w:right w:val="single" w:sz="4" w:space="0" w:color="auto"/>
            </w:tcBorders>
            <w:noWrap/>
            <w:vAlign w:val="center"/>
          </w:tcPr>
          <w:p w14:paraId="19E199D7" w14:textId="598617E0"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122,2</w:t>
            </w:r>
          </w:p>
        </w:tc>
      </w:tr>
      <w:tr w:rsidR="00671F24" w:rsidRPr="003D514A" w14:paraId="7AE9D9AD" w14:textId="77777777" w:rsidTr="00671F24">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2C80C4E6" w14:textId="77777777" w:rsidR="00671F24" w:rsidRPr="00602E3C" w:rsidRDefault="00671F24" w:rsidP="00671F24">
            <w:pPr>
              <w:keepNext/>
              <w:keepLines/>
              <w:spacing w:before="120" w:after="120"/>
              <w:jc w:val="right"/>
              <w:rPr>
                <w:rFonts w:ascii="Times New Roman" w:hAnsi="Times New Roman" w:cs="Times New Roman"/>
                <w:sz w:val="20"/>
                <w:szCs w:val="20"/>
              </w:rPr>
            </w:pPr>
            <w:r w:rsidRPr="4600C643">
              <w:rPr>
                <w:rFonts w:ascii="Times New Roman" w:hAnsi="Times New Roman" w:cs="Times New Roman"/>
                <w:sz w:val="20"/>
                <w:szCs w:val="20"/>
              </w:rPr>
              <w:t>kiadás:</w:t>
            </w:r>
          </w:p>
        </w:tc>
        <w:tc>
          <w:tcPr>
            <w:tcW w:w="1067" w:type="dxa"/>
            <w:tcBorders>
              <w:top w:val="nil"/>
              <w:left w:val="single" w:sz="4" w:space="0" w:color="auto"/>
              <w:bottom w:val="single" w:sz="4" w:space="0" w:color="auto"/>
              <w:right w:val="single" w:sz="4" w:space="0" w:color="auto"/>
            </w:tcBorders>
            <w:noWrap/>
            <w:vAlign w:val="center"/>
          </w:tcPr>
          <w:p w14:paraId="630E682B" w14:textId="5202B30C"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32 558,7</w:t>
            </w:r>
          </w:p>
        </w:tc>
        <w:tc>
          <w:tcPr>
            <w:tcW w:w="1134" w:type="dxa"/>
            <w:tcBorders>
              <w:top w:val="nil"/>
              <w:left w:val="nil"/>
              <w:bottom w:val="single" w:sz="4" w:space="0" w:color="auto"/>
              <w:right w:val="single" w:sz="4" w:space="0" w:color="auto"/>
            </w:tcBorders>
            <w:noWrap/>
            <w:vAlign w:val="center"/>
          </w:tcPr>
          <w:p w14:paraId="3ABF37CD" w14:textId="0C58C34E"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5 560,2</w:t>
            </w:r>
          </w:p>
        </w:tc>
        <w:tc>
          <w:tcPr>
            <w:tcW w:w="1217" w:type="dxa"/>
            <w:tcBorders>
              <w:top w:val="nil"/>
              <w:left w:val="nil"/>
              <w:bottom w:val="single" w:sz="4" w:space="0" w:color="auto"/>
              <w:right w:val="single" w:sz="4" w:space="0" w:color="auto"/>
            </w:tcBorders>
            <w:noWrap/>
            <w:vAlign w:val="center"/>
          </w:tcPr>
          <w:p w14:paraId="54CC88D1" w14:textId="48FD4840"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17,1</w:t>
            </w:r>
          </w:p>
        </w:tc>
        <w:tc>
          <w:tcPr>
            <w:tcW w:w="1103" w:type="dxa"/>
            <w:tcBorders>
              <w:top w:val="nil"/>
              <w:left w:val="nil"/>
              <w:bottom w:val="single" w:sz="4" w:space="0" w:color="auto"/>
              <w:right w:val="single" w:sz="4" w:space="0" w:color="auto"/>
            </w:tcBorders>
            <w:noWrap/>
            <w:vAlign w:val="center"/>
          </w:tcPr>
          <w:p w14:paraId="45A98F7E" w14:textId="4D16CC9D"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30 996,9</w:t>
            </w:r>
          </w:p>
        </w:tc>
        <w:tc>
          <w:tcPr>
            <w:tcW w:w="1224" w:type="dxa"/>
            <w:tcBorders>
              <w:top w:val="nil"/>
              <w:left w:val="nil"/>
              <w:bottom w:val="single" w:sz="4" w:space="0" w:color="auto"/>
              <w:right w:val="single" w:sz="4" w:space="0" w:color="auto"/>
            </w:tcBorders>
            <w:noWrap/>
            <w:vAlign w:val="center"/>
          </w:tcPr>
          <w:p w14:paraId="14F2BF40" w14:textId="6B4A4483"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6 748,3</w:t>
            </w:r>
          </w:p>
        </w:tc>
        <w:tc>
          <w:tcPr>
            <w:tcW w:w="1275" w:type="dxa"/>
            <w:tcBorders>
              <w:top w:val="nil"/>
              <w:left w:val="nil"/>
              <w:bottom w:val="single" w:sz="4" w:space="0" w:color="auto"/>
              <w:right w:val="single" w:sz="4" w:space="0" w:color="auto"/>
            </w:tcBorders>
            <w:noWrap/>
            <w:vAlign w:val="center"/>
          </w:tcPr>
          <w:p w14:paraId="3F9FB1FF" w14:textId="1A66AA65"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21,8</w:t>
            </w:r>
          </w:p>
        </w:tc>
        <w:tc>
          <w:tcPr>
            <w:tcW w:w="997" w:type="dxa"/>
            <w:tcBorders>
              <w:top w:val="nil"/>
              <w:left w:val="nil"/>
              <w:bottom w:val="single" w:sz="4" w:space="0" w:color="auto"/>
              <w:right w:val="single" w:sz="4" w:space="0" w:color="auto"/>
            </w:tcBorders>
            <w:noWrap/>
            <w:vAlign w:val="center"/>
          </w:tcPr>
          <w:p w14:paraId="6C7C62DE" w14:textId="725F17CC"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121,4</w:t>
            </w:r>
          </w:p>
        </w:tc>
      </w:tr>
      <w:tr w:rsidR="00671F24" w:rsidRPr="003D514A" w14:paraId="1F6C0145" w14:textId="77777777" w:rsidTr="00671F24">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7850CBF0" w14:textId="77777777" w:rsidR="00671F24" w:rsidRPr="00602E3C" w:rsidRDefault="00671F24" w:rsidP="00671F24">
            <w:pPr>
              <w:keepNext/>
              <w:keepLines/>
              <w:spacing w:before="120" w:after="120"/>
              <w:rPr>
                <w:rFonts w:ascii="Times New Roman" w:hAnsi="Times New Roman" w:cs="Times New Roman"/>
                <w:b/>
                <w:bCs/>
                <w:sz w:val="20"/>
                <w:szCs w:val="20"/>
              </w:rPr>
            </w:pPr>
            <w:r w:rsidRPr="4600C643">
              <w:rPr>
                <w:rFonts w:ascii="Times New Roman" w:hAnsi="Times New Roman" w:cs="Times New Roman"/>
                <w:b/>
                <w:bCs/>
                <w:sz w:val="20"/>
                <w:szCs w:val="20"/>
              </w:rPr>
              <w:t>Elkülönített állami pénzalapok egyenlege</w:t>
            </w:r>
          </w:p>
        </w:tc>
        <w:tc>
          <w:tcPr>
            <w:tcW w:w="1067" w:type="dxa"/>
            <w:tcBorders>
              <w:top w:val="nil"/>
              <w:left w:val="single" w:sz="4" w:space="0" w:color="auto"/>
              <w:bottom w:val="single" w:sz="4" w:space="0" w:color="auto"/>
              <w:right w:val="single" w:sz="4" w:space="0" w:color="auto"/>
            </w:tcBorders>
            <w:noWrap/>
            <w:vAlign w:val="center"/>
          </w:tcPr>
          <w:p w14:paraId="4EACAD66" w14:textId="1BC121DD" w:rsidR="00671F24" w:rsidRPr="007007A3" w:rsidRDefault="00671F24" w:rsidP="00671F24">
            <w:pPr>
              <w:spacing w:before="120" w:after="120"/>
              <w:jc w:val="right"/>
              <w:rPr>
                <w:rFonts w:ascii="Times New Roman" w:hAnsi="Times New Roman" w:cs="Times New Roman"/>
                <w:b/>
                <w:bCs/>
                <w:sz w:val="20"/>
                <w:szCs w:val="20"/>
              </w:rPr>
            </w:pPr>
            <w:r w:rsidRPr="00F55F32">
              <w:rPr>
                <w:rFonts w:ascii="Garamond" w:hAnsi="Garamond"/>
                <w:b/>
                <w:bCs/>
                <w:sz w:val="20"/>
                <w:szCs w:val="20"/>
              </w:rPr>
              <w:t>7,3</w:t>
            </w:r>
          </w:p>
        </w:tc>
        <w:tc>
          <w:tcPr>
            <w:tcW w:w="1134" w:type="dxa"/>
            <w:tcBorders>
              <w:top w:val="nil"/>
              <w:left w:val="nil"/>
              <w:bottom w:val="single" w:sz="4" w:space="0" w:color="auto"/>
              <w:right w:val="single" w:sz="4" w:space="0" w:color="auto"/>
            </w:tcBorders>
            <w:noWrap/>
            <w:vAlign w:val="center"/>
          </w:tcPr>
          <w:p w14:paraId="5184FB98" w14:textId="48253161" w:rsidR="00671F24" w:rsidRPr="007007A3" w:rsidRDefault="00671F24" w:rsidP="00671F24">
            <w:pPr>
              <w:spacing w:before="120" w:after="120"/>
              <w:jc w:val="right"/>
              <w:rPr>
                <w:rFonts w:ascii="Times New Roman" w:hAnsi="Times New Roman" w:cs="Times New Roman"/>
                <w:b/>
                <w:bCs/>
                <w:sz w:val="20"/>
                <w:szCs w:val="20"/>
              </w:rPr>
            </w:pPr>
            <w:r w:rsidRPr="00F55F32">
              <w:rPr>
                <w:rFonts w:ascii="Garamond" w:hAnsi="Garamond"/>
                <w:b/>
                <w:bCs/>
                <w:sz w:val="20"/>
                <w:szCs w:val="20"/>
              </w:rPr>
              <w:t>38,0</w:t>
            </w:r>
          </w:p>
        </w:tc>
        <w:tc>
          <w:tcPr>
            <w:tcW w:w="1217" w:type="dxa"/>
            <w:tcBorders>
              <w:top w:val="nil"/>
              <w:left w:val="nil"/>
              <w:bottom w:val="single" w:sz="4" w:space="0" w:color="auto"/>
              <w:right w:val="single" w:sz="4" w:space="0" w:color="auto"/>
            </w:tcBorders>
            <w:noWrap/>
            <w:vAlign w:val="center"/>
          </w:tcPr>
          <w:p w14:paraId="75B4D261" w14:textId="307F4522"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520,5</w:t>
            </w:r>
          </w:p>
        </w:tc>
        <w:tc>
          <w:tcPr>
            <w:tcW w:w="1103" w:type="dxa"/>
            <w:tcBorders>
              <w:top w:val="nil"/>
              <w:left w:val="nil"/>
              <w:bottom w:val="single" w:sz="4" w:space="0" w:color="auto"/>
              <w:right w:val="single" w:sz="4" w:space="0" w:color="auto"/>
            </w:tcBorders>
            <w:noWrap/>
            <w:vAlign w:val="center"/>
          </w:tcPr>
          <w:p w14:paraId="34F7BD1D" w14:textId="1EC52797" w:rsidR="00671F24" w:rsidRPr="007007A3" w:rsidRDefault="00671F24" w:rsidP="00671F24">
            <w:pPr>
              <w:spacing w:before="120" w:after="120"/>
              <w:jc w:val="right"/>
              <w:rPr>
                <w:rFonts w:ascii="Times New Roman" w:hAnsi="Times New Roman" w:cs="Times New Roman"/>
                <w:b/>
                <w:bCs/>
                <w:sz w:val="20"/>
                <w:szCs w:val="20"/>
              </w:rPr>
            </w:pPr>
            <w:r w:rsidRPr="00F55F32">
              <w:rPr>
                <w:rFonts w:ascii="Garamond" w:hAnsi="Garamond"/>
                <w:b/>
                <w:bCs/>
                <w:sz w:val="20"/>
                <w:szCs w:val="20"/>
              </w:rPr>
              <w:t>75,5</w:t>
            </w:r>
          </w:p>
        </w:tc>
        <w:tc>
          <w:tcPr>
            <w:tcW w:w="1224" w:type="dxa"/>
            <w:tcBorders>
              <w:top w:val="nil"/>
              <w:left w:val="nil"/>
              <w:bottom w:val="single" w:sz="4" w:space="0" w:color="auto"/>
              <w:right w:val="single" w:sz="4" w:space="0" w:color="auto"/>
            </w:tcBorders>
            <w:noWrap/>
            <w:vAlign w:val="center"/>
          </w:tcPr>
          <w:p w14:paraId="1F1ECE57" w14:textId="04655869" w:rsidR="00671F24" w:rsidRPr="007007A3" w:rsidRDefault="00671F24" w:rsidP="00671F24">
            <w:pPr>
              <w:spacing w:before="120" w:after="120"/>
              <w:jc w:val="right"/>
              <w:rPr>
                <w:rFonts w:ascii="Times New Roman" w:hAnsi="Times New Roman" w:cs="Times New Roman"/>
                <w:b/>
                <w:bCs/>
                <w:sz w:val="20"/>
                <w:szCs w:val="20"/>
              </w:rPr>
            </w:pPr>
            <w:r w:rsidRPr="00F55F32">
              <w:rPr>
                <w:rFonts w:ascii="Garamond" w:hAnsi="Garamond"/>
                <w:b/>
                <w:bCs/>
                <w:sz w:val="20"/>
                <w:szCs w:val="20"/>
              </w:rPr>
              <w:t>32,9</w:t>
            </w:r>
          </w:p>
        </w:tc>
        <w:tc>
          <w:tcPr>
            <w:tcW w:w="1275" w:type="dxa"/>
            <w:tcBorders>
              <w:top w:val="nil"/>
              <w:left w:val="nil"/>
              <w:bottom w:val="single" w:sz="4" w:space="0" w:color="auto"/>
              <w:right w:val="single" w:sz="4" w:space="0" w:color="auto"/>
            </w:tcBorders>
            <w:noWrap/>
            <w:vAlign w:val="center"/>
          </w:tcPr>
          <w:p w14:paraId="7BDE9A0C" w14:textId="18A88584"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43,6</w:t>
            </w:r>
          </w:p>
        </w:tc>
        <w:tc>
          <w:tcPr>
            <w:tcW w:w="997" w:type="dxa"/>
            <w:tcBorders>
              <w:top w:val="nil"/>
              <w:left w:val="nil"/>
              <w:bottom w:val="single" w:sz="4" w:space="0" w:color="auto"/>
              <w:right w:val="single" w:sz="4" w:space="0" w:color="auto"/>
            </w:tcBorders>
            <w:noWrap/>
            <w:vAlign w:val="center"/>
          </w:tcPr>
          <w:p w14:paraId="25C8B246" w14:textId="4C8A68A7"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86,6</w:t>
            </w:r>
          </w:p>
        </w:tc>
      </w:tr>
      <w:tr w:rsidR="00671F24" w:rsidRPr="003D514A" w14:paraId="0BEB8BDA" w14:textId="77777777" w:rsidTr="00671F24">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0D7985BE" w14:textId="77777777" w:rsidR="00671F24" w:rsidRPr="00602E3C" w:rsidRDefault="00671F24" w:rsidP="00671F24">
            <w:pPr>
              <w:keepNext/>
              <w:keepLines/>
              <w:spacing w:before="120" w:after="120"/>
              <w:jc w:val="right"/>
              <w:rPr>
                <w:rFonts w:ascii="Times New Roman" w:hAnsi="Times New Roman" w:cs="Times New Roman"/>
                <w:sz w:val="20"/>
                <w:szCs w:val="20"/>
              </w:rPr>
            </w:pPr>
            <w:r w:rsidRPr="4600C643">
              <w:rPr>
                <w:rFonts w:ascii="Times New Roman" w:hAnsi="Times New Roman" w:cs="Times New Roman"/>
                <w:sz w:val="20"/>
                <w:szCs w:val="20"/>
              </w:rPr>
              <w:t>bevétel:</w:t>
            </w:r>
          </w:p>
        </w:tc>
        <w:tc>
          <w:tcPr>
            <w:tcW w:w="1067" w:type="dxa"/>
            <w:tcBorders>
              <w:top w:val="nil"/>
              <w:left w:val="single" w:sz="4" w:space="0" w:color="auto"/>
              <w:bottom w:val="single" w:sz="4" w:space="0" w:color="auto"/>
              <w:right w:val="single" w:sz="4" w:space="0" w:color="auto"/>
            </w:tcBorders>
            <w:noWrap/>
            <w:vAlign w:val="center"/>
          </w:tcPr>
          <w:p w14:paraId="0A0C7D0E" w14:textId="7A030D73"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838,2</w:t>
            </w:r>
          </w:p>
        </w:tc>
        <w:tc>
          <w:tcPr>
            <w:tcW w:w="1134" w:type="dxa"/>
            <w:tcBorders>
              <w:top w:val="nil"/>
              <w:left w:val="nil"/>
              <w:bottom w:val="single" w:sz="4" w:space="0" w:color="auto"/>
              <w:right w:val="single" w:sz="4" w:space="0" w:color="auto"/>
            </w:tcBorders>
            <w:noWrap/>
            <w:vAlign w:val="center"/>
          </w:tcPr>
          <w:p w14:paraId="1C2629F3" w14:textId="333B83EE"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138,5</w:t>
            </w:r>
          </w:p>
        </w:tc>
        <w:tc>
          <w:tcPr>
            <w:tcW w:w="1217" w:type="dxa"/>
            <w:tcBorders>
              <w:top w:val="nil"/>
              <w:left w:val="nil"/>
              <w:bottom w:val="single" w:sz="4" w:space="0" w:color="auto"/>
              <w:right w:val="single" w:sz="4" w:space="0" w:color="auto"/>
            </w:tcBorders>
            <w:noWrap/>
            <w:vAlign w:val="center"/>
          </w:tcPr>
          <w:p w14:paraId="7F241B07" w14:textId="1414DDEB"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16,5</w:t>
            </w:r>
          </w:p>
        </w:tc>
        <w:tc>
          <w:tcPr>
            <w:tcW w:w="1103" w:type="dxa"/>
            <w:tcBorders>
              <w:top w:val="nil"/>
              <w:left w:val="nil"/>
              <w:bottom w:val="single" w:sz="4" w:space="0" w:color="auto"/>
              <w:right w:val="single" w:sz="4" w:space="0" w:color="auto"/>
            </w:tcBorders>
            <w:noWrap/>
            <w:vAlign w:val="center"/>
          </w:tcPr>
          <w:p w14:paraId="272DCDE3" w14:textId="26D33DE5"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918,3</w:t>
            </w:r>
          </w:p>
        </w:tc>
        <w:tc>
          <w:tcPr>
            <w:tcW w:w="1224" w:type="dxa"/>
            <w:tcBorders>
              <w:top w:val="nil"/>
              <w:left w:val="nil"/>
              <w:bottom w:val="single" w:sz="4" w:space="0" w:color="auto"/>
              <w:right w:val="single" w:sz="4" w:space="0" w:color="auto"/>
            </w:tcBorders>
            <w:noWrap/>
            <w:vAlign w:val="center"/>
          </w:tcPr>
          <w:p w14:paraId="23403823" w14:textId="6A82B619"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156,1</w:t>
            </w:r>
          </w:p>
        </w:tc>
        <w:tc>
          <w:tcPr>
            <w:tcW w:w="1275" w:type="dxa"/>
            <w:tcBorders>
              <w:top w:val="nil"/>
              <w:left w:val="nil"/>
              <w:bottom w:val="single" w:sz="4" w:space="0" w:color="auto"/>
              <w:right w:val="single" w:sz="4" w:space="0" w:color="auto"/>
            </w:tcBorders>
            <w:noWrap/>
            <w:vAlign w:val="center"/>
          </w:tcPr>
          <w:p w14:paraId="71B652CE" w14:textId="5660D862"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17,0</w:t>
            </w:r>
          </w:p>
        </w:tc>
        <w:tc>
          <w:tcPr>
            <w:tcW w:w="997" w:type="dxa"/>
            <w:tcBorders>
              <w:top w:val="nil"/>
              <w:left w:val="nil"/>
              <w:bottom w:val="single" w:sz="4" w:space="0" w:color="auto"/>
              <w:right w:val="single" w:sz="4" w:space="0" w:color="auto"/>
            </w:tcBorders>
            <w:noWrap/>
            <w:vAlign w:val="center"/>
          </w:tcPr>
          <w:p w14:paraId="7A939C99" w14:textId="03A5A159"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112,7</w:t>
            </w:r>
          </w:p>
        </w:tc>
      </w:tr>
      <w:tr w:rsidR="00671F24" w:rsidRPr="00190176" w14:paraId="21851932" w14:textId="77777777" w:rsidTr="00671F24">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6660DDD2" w14:textId="77777777" w:rsidR="00671F24" w:rsidRPr="00602E3C" w:rsidRDefault="00671F24" w:rsidP="00671F24">
            <w:pPr>
              <w:keepNext/>
              <w:keepLines/>
              <w:spacing w:before="120" w:after="120"/>
              <w:jc w:val="right"/>
              <w:rPr>
                <w:rFonts w:ascii="Times New Roman" w:hAnsi="Times New Roman" w:cs="Times New Roman"/>
                <w:sz w:val="20"/>
                <w:szCs w:val="20"/>
              </w:rPr>
            </w:pPr>
            <w:r w:rsidRPr="4600C643">
              <w:rPr>
                <w:rFonts w:ascii="Times New Roman" w:hAnsi="Times New Roman" w:cs="Times New Roman"/>
                <w:sz w:val="20"/>
                <w:szCs w:val="20"/>
              </w:rPr>
              <w:t>kiadás:</w:t>
            </w:r>
          </w:p>
        </w:tc>
        <w:tc>
          <w:tcPr>
            <w:tcW w:w="1067" w:type="dxa"/>
            <w:tcBorders>
              <w:top w:val="nil"/>
              <w:left w:val="single" w:sz="4" w:space="0" w:color="auto"/>
              <w:bottom w:val="single" w:sz="4" w:space="0" w:color="auto"/>
              <w:right w:val="single" w:sz="4" w:space="0" w:color="auto"/>
            </w:tcBorders>
            <w:noWrap/>
            <w:vAlign w:val="center"/>
          </w:tcPr>
          <w:p w14:paraId="2D2AA0E6" w14:textId="14D9C522"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830,9</w:t>
            </w:r>
          </w:p>
        </w:tc>
        <w:tc>
          <w:tcPr>
            <w:tcW w:w="1134" w:type="dxa"/>
            <w:tcBorders>
              <w:top w:val="nil"/>
              <w:left w:val="nil"/>
              <w:bottom w:val="single" w:sz="4" w:space="0" w:color="auto"/>
              <w:right w:val="single" w:sz="4" w:space="0" w:color="auto"/>
            </w:tcBorders>
            <w:noWrap/>
            <w:vAlign w:val="center"/>
          </w:tcPr>
          <w:p w14:paraId="576B68B3" w14:textId="365CF53D"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100,5</w:t>
            </w:r>
          </w:p>
        </w:tc>
        <w:tc>
          <w:tcPr>
            <w:tcW w:w="1217" w:type="dxa"/>
            <w:tcBorders>
              <w:top w:val="nil"/>
              <w:left w:val="nil"/>
              <w:bottom w:val="single" w:sz="4" w:space="0" w:color="auto"/>
              <w:right w:val="single" w:sz="4" w:space="0" w:color="auto"/>
            </w:tcBorders>
            <w:noWrap/>
            <w:vAlign w:val="center"/>
          </w:tcPr>
          <w:p w14:paraId="4E9C905D" w14:textId="4F8D4C4B"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12,1</w:t>
            </w:r>
          </w:p>
        </w:tc>
        <w:tc>
          <w:tcPr>
            <w:tcW w:w="1103" w:type="dxa"/>
            <w:tcBorders>
              <w:top w:val="nil"/>
              <w:left w:val="nil"/>
              <w:bottom w:val="single" w:sz="4" w:space="0" w:color="auto"/>
              <w:right w:val="single" w:sz="4" w:space="0" w:color="auto"/>
            </w:tcBorders>
            <w:noWrap/>
            <w:vAlign w:val="center"/>
          </w:tcPr>
          <w:p w14:paraId="675B2ADB" w14:textId="00920CD1"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842,8</w:t>
            </w:r>
          </w:p>
        </w:tc>
        <w:tc>
          <w:tcPr>
            <w:tcW w:w="1224" w:type="dxa"/>
            <w:tcBorders>
              <w:top w:val="nil"/>
              <w:left w:val="nil"/>
              <w:bottom w:val="single" w:sz="4" w:space="0" w:color="auto"/>
              <w:right w:val="single" w:sz="4" w:space="0" w:color="auto"/>
            </w:tcBorders>
            <w:noWrap/>
            <w:vAlign w:val="center"/>
          </w:tcPr>
          <w:p w14:paraId="2F88030E" w14:textId="3AFB0E21"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123,2</w:t>
            </w:r>
          </w:p>
        </w:tc>
        <w:tc>
          <w:tcPr>
            <w:tcW w:w="1275" w:type="dxa"/>
            <w:tcBorders>
              <w:top w:val="nil"/>
              <w:left w:val="nil"/>
              <w:bottom w:val="single" w:sz="4" w:space="0" w:color="auto"/>
              <w:right w:val="single" w:sz="4" w:space="0" w:color="auto"/>
            </w:tcBorders>
            <w:noWrap/>
            <w:vAlign w:val="center"/>
          </w:tcPr>
          <w:p w14:paraId="0FE9EE5B" w14:textId="2CFA6D8E"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14,6</w:t>
            </w:r>
          </w:p>
        </w:tc>
        <w:tc>
          <w:tcPr>
            <w:tcW w:w="997" w:type="dxa"/>
            <w:tcBorders>
              <w:top w:val="nil"/>
              <w:left w:val="nil"/>
              <w:bottom w:val="single" w:sz="4" w:space="0" w:color="auto"/>
              <w:right w:val="single" w:sz="4" w:space="0" w:color="auto"/>
            </w:tcBorders>
            <w:noWrap/>
            <w:vAlign w:val="center"/>
          </w:tcPr>
          <w:p w14:paraId="1C69CA5D" w14:textId="0A799C31"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122,6</w:t>
            </w:r>
          </w:p>
        </w:tc>
      </w:tr>
      <w:tr w:rsidR="00671F24" w:rsidRPr="003D514A" w14:paraId="60B524D9" w14:textId="77777777" w:rsidTr="00671F24">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0A244A9D" w14:textId="77777777" w:rsidR="00671F24" w:rsidRPr="00602E3C" w:rsidRDefault="00671F24" w:rsidP="00671F24">
            <w:pPr>
              <w:keepNext/>
              <w:keepLines/>
              <w:spacing w:before="120" w:after="120"/>
              <w:rPr>
                <w:rFonts w:ascii="Times New Roman" w:hAnsi="Times New Roman" w:cs="Times New Roman"/>
                <w:b/>
                <w:bCs/>
                <w:sz w:val="20"/>
                <w:szCs w:val="20"/>
              </w:rPr>
            </w:pPr>
            <w:r w:rsidRPr="4600C643">
              <w:rPr>
                <w:rFonts w:ascii="Times New Roman" w:hAnsi="Times New Roman" w:cs="Times New Roman"/>
                <w:b/>
                <w:bCs/>
                <w:sz w:val="20"/>
                <w:szCs w:val="20"/>
              </w:rPr>
              <w:t>Társadalombiztosítás pénzügyi alapjainak egyenlege</w:t>
            </w:r>
          </w:p>
        </w:tc>
        <w:tc>
          <w:tcPr>
            <w:tcW w:w="1067" w:type="dxa"/>
            <w:tcBorders>
              <w:top w:val="nil"/>
              <w:left w:val="single" w:sz="4" w:space="0" w:color="auto"/>
              <w:bottom w:val="single" w:sz="4" w:space="0" w:color="auto"/>
              <w:right w:val="single" w:sz="4" w:space="0" w:color="auto"/>
            </w:tcBorders>
            <w:noWrap/>
            <w:vAlign w:val="center"/>
          </w:tcPr>
          <w:p w14:paraId="2D4F2C66" w14:textId="509D70FB" w:rsidR="00671F24" w:rsidRPr="007007A3" w:rsidRDefault="00671F24" w:rsidP="00671F24">
            <w:pPr>
              <w:spacing w:before="120" w:after="120"/>
              <w:jc w:val="right"/>
              <w:rPr>
                <w:rFonts w:ascii="Times New Roman" w:hAnsi="Times New Roman" w:cs="Times New Roman"/>
                <w:b/>
                <w:bCs/>
                <w:sz w:val="20"/>
                <w:szCs w:val="20"/>
              </w:rPr>
            </w:pPr>
            <w:r w:rsidRPr="00F55F32">
              <w:rPr>
                <w:rFonts w:ascii="Garamond" w:hAnsi="Garamond"/>
                <w:b/>
                <w:bCs/>
                <w:sz w:val="20"/>
                <w:szCs w:val="20"/>
              </w:rPr>
              <w:t>-245,9</w:t>
            </w:r>
          </w:p>
        </w:tc>
        <w:tc>
          <w:tcPr>
            <w:tcW w:w="1134" w:type="dxa"/>
            <w:tcBorders>
              <w:top w:val="nil"/>
              <w:left w:val="nil"/>
              <w:bottom w:val="single" w:sz="4" w:space="0" w:color="auto"/>
              <w:right w:val="single" w:sz="4" w:space="0" w:color="auto"/>
            </w:tcBorders>
            <w:noWrap/>
            <w:vAlign w:val="center"/>
          </w:tcPr>
          <w:p w14:paraId="516703D8" w14:textId="13C6C6EC" w:rsidR="00671F24" w:rsidRPr="007007A3" w:rsidRDefault="00671F24" w:rsidP="00671F24">
            <w:pPr>
              <w:spacing w:before="120" w:after="120"/>
              <w:jc w:val="right"/>
              <w:rPr>
                <w:rFonts w:ascii="Times New Roman" w:hAnsi="Times New Roman" w:cs="Times New Roman"/>
                <w:b/>
                <w:bCs/>
                <w:sz w:val="20"/>
                <w:szCs w:val="20"/>
              </w:rPr>
            </w:pPr>
            <w:r>
              <w:rPr>
                <w:rFonts w:ascii="Garamond" w:hAnsi="Garamond"/>
                <w:b/>
                <w:bCs/>
                <w:sz w:val="20"/>
                <w:szCs w:val="20"/>
              </w:rPr>
              <w:t>-</w:t>
            </w:r>
            <w:r w:rsidRPr="00F55F32">
              <w:rPr>
                <w:rFonts w:ascii="Garamond" w:hAnsi="Garamond"/>
                <w:b/>
                <w:bCs/>
                <w:sz w:val="20"/>
                <w:szCs w:val="20"/>
              </w:rPr>
              <w:t>77,3</w:t>
            </w:r>
          </w:p>
        </w:tc>
        <w:tc>
          <w:tcPr>
            <w:tcW w:w="1217" w:type="dxa"/>
            <w:tcBorders>
              <w:top w:val="nil"/>
              <w:left w:val="nil"/>
              <w:bottom w:val="single" w:sz="4" w:space="0" w:color="auto"/>
              <w:right w:val="single" w:sz="4" w:space="0" w:color="auto"/>
            </w:tcBorders>
            <w:noWrap/>
            <w:vAlign w:val="center"/>
          </w:tcPr>
          <w:p w14:paraId="780B578C" w14:textId="1E145A84"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31,4</w:t>
            </w:r>
          </w:p>
        </w:tc>
        <w:tc>
          <w:tcPr>
            <w:tcW w:w="1103" w:type="dxa"/>
            <w:tcBorders>
              <w:top w:val="nil"/>
              <w:left w:val="nil"/>
              <w:bottom w:val="single" w:sz="4" w:space="0" w:color="auto"/>
              <w:right w:val="single" w:sz="4" w:space="0" w:color="auto"/>
            </w:tcBorders>
            <w:noWrap/>
            <w:vAlign w:val="center"/>
          </w:tcPr>
          <w:p w14:paraId="662A8D25" w14:textId="1738F15A" w:rsidR="00671F24" w:rsidRPr="007007A3" w:rsidRDefault="00671F24" w:rsidP="00671F24">
            <w:pPr>
              <w:spacing w:before="120" w:after="120"/>
              <w:jc w:val="right"/>
              <w:rPr>
                <w:rFonts w:ascii="Times New Roman" w:hAnsi="Times New Roman" w:cs="Times New Roman"/>
                <w:b/>
                <w:bCs/>
                <w:sz w:val="20"/>
                <w:szCs w:val="20"/>
              </w:rPr>
            </w:pPr>
            <w:r w:rsidRPr="00F55F32">
              <w:rPr>
                <w:rFonts w:ascii="Garamond" w:hAnsi="Garamond"/>
                <w:b/>
                <w:bCs/>
                <w:sz w:val="20"/>
                <w:szCs w:val="20"/>
              </w:rPr>
              <w:t>0,0</w:t>
            </w:r>
          </w:p>
        </w:tc>
        <w:tc>
          <w:tcPr>
            <w:tcW w:w="1224" w:type="dxa"/>
            <w:tcBorders>
              <w:top w:val="nil"/>
              <w:left w:val="nil"/>
              <w:bottom w:val="single" w:sz="4" w:space="0" w:color="auto"/>
              <w:right w:val="single" w:sz="4" w:space="0" w:color="auto"/>
            </w:tcBorders>
            <w:noWrap/>
            <w:vAlign w:val="center"/>
          </w:tcPr>
          <w:p w14:paraId="0975A4E1" w14:textId="6F8C2249" w:rsidR="00671F24" w:rsidRPr="007007A3" w:rsidRDefault="00671F24" w:rsidP="00671F24">
            <w:pPr>
              <w:spacing w:before="120" w:after="120"/>
              <w:jc w:val="right"/>
              <w:rPr>
                <w:rFonts w:ascii="Times New Roman" w:hAnsi="Times New Roman" w:cs="Times New Roman"/>
                <w:b/>
                <w:bCs/>
                <w:sz w:val="20"/>
                <w:szCs w:val="20"/>
              </w:rPr>
            </w:pPr>
            <w:r>
              <w:rPr>
                <w:rFonts w:ascii="Garamond" w:hAnsi="Garamond"/>
                <w:b/>
                <w:bCs/>
                <w:sz w:val="20"/>
                <w:szCs w:val="20"/>
              </w:rPr>
              <w:t>-</w:t>
            </w:r>
            <w:r w:rsidRPr="00F55F32">
              <w:rPr>
                <w:rFonts w:ascii="Garamond" w:hAnsi="Garamond"/>
                <w:b/>
                <w:bCs/>
                <w:sz w:val="20"/>
                <w:szCs w:val="20"/>
              </w:rPr>
              <w:t>129,6</w:t>
            </w:r>
          </w:p>
        </w:tc>
        <w:tc>
          <w:tcPr>
            <w:tcW w:w="1275" w:type="dxa"/>
            <w:tcBorders>
              <w:top w:val="nil"/>
              <w:left w:val="nil"/>
              <w:bottom w:val="single" w:sz="4" w:space="0" w:color="auto"/>
              <w:right w:val="single" w:sz="4" w:space="0" w:color="auto"/>
            </w:tcBorders>
            <w:noWrap/>
            <w:vAlign w:val="center"/>
          </w:tcPr>
          <w:p w14:paraId="0142F674" w14:textId="77777777" w:rsidR="00671F24" w:rsidRPr="007007A3" w:rsidRDefault="00671F24" w:rsidP="00671F24">
            <w:pPr>
              <w:spacing w:before="120" w:after="120"/>
              <w:jc w:val="right"/>
              <w:rPr>
                <w:rFonts w:ascii="Times New Roman" w:hAnsi="Times New Roman" w:cs="Times New Roman"/>
                <w:sz w:val="20"/>
                <w:szCs w:val="20"/>
              </w:rPr>
            </w:pPr>
          </w:p>
        </w:tc>
        <w:tc>
          <w:tcPr>
            <w:tcW w:w="997" w:type="dxa"/>
            <w:tcBorders>
              <w:top w:val="nil"/>
              <w:left w:val="nil"/>
              <w:bottom w:val="single" w:sz="4" w:space="0" w:color="auto"/>
              <w:right w:val="single" w:sz="4" w:space="0" w:color="auto"/>
            </w:tcBorders>
            <w:noWrap/>
            <w:vAlign w:val="center"/>
          </w:tcPr>
          <w:p w14:paraId="00F561CA" w14:textId="6787795E"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167,7</w:t>
            </w:r>
          </w:p>
        </w:tc>
      </w:tr>
      <w:tr w:rsidR="00671F24" w:rsidRPr="003D514A" w14:paraId="6196F208" w14:textId="77777777" w:rsidTr="00671F24">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20539374" w14:textId="77777777" w:rsidR="00671F24" w:rsidRPr="00602E3C" w:rsidRDefault="00671F24" w:rsidP="00671F24">
            <w:pPr>
              <w:keepNext/>
              <w:keepLines/>
              <w:spacing w:before="120" w:after="120"/>
              <w:jc w:val="right"/>
              <w:rPr>
                <w:rFonts w:ascii="Times New Roman" w:hAnsi="Times New Roman" w:cs="Times New Roman"/>
                <w:sz w:val="20"/>
                <w:szCs w:val="20"/>
              </w:rPr>
            </w:pPr>
            <w:r w:rsidRPr="4600C643">
              <w:rPr>
                <w:rFonts w:ascii="Times New Roman" w:hAnsi="Times New Roman" w:cs="Times New Roman"/>
                <w:sz w:val="20"/>
                <w:szCs w:val="20"/>
              </w:rPr>
              <w:t>bevétel:</w:t>
            </w:r>
          </w:p>
        </w:tc>
        <w:tc>
          <w:tcPr>
            <w:tcW w:w="1067" w:type="dxa"/>
            <w:tcBorders>
              <w:top w:val="nil"/>
              <w:left w:val="single" w:sz="4" w:space="0" w:color="auto"/>
              <w:bottom w:val="single" w:sz="4" w:space="0" w:color="auto"/>
              <w:right w:val="single" w:sz="4" w:space="0" w:color="auto"/>
            </w:tcBorders>
            <w:noWrap/>
            <w:vAlign w:val="center"/>
          </w:tcPr>
          <w:p w14:paraId="414C829C" w14:textId="0AF16F83"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11 294,9</w:t>
            </w:r>
          </w:p>
        </w:tc>
        <w:tc>
          <w:tcPr>
            <w:tcW w:w="1134" w:type="dxa"/>
            <w:tcBorders>
              <w:top w:val="nil"/>
              <w:left w:val="nil"/>
              <w:bottom w:val="single" w:sz="4" w:space="0" w:color="auto"/>
              <w:right w:val="single" w:sz="4" w:space="0" w:color="auto"/>
            </w:tcBorders>
            <w:noWrap/>
            <w:vAlign w:val="center"/>
          </w:tcPr>
          <w:p w14:paraId="2F3B80BA" w14:textId="6BEF0ED3"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2 299,6</w:t>
            </w:r>
          </w:p>
        </w:tc>
        <w:tc>
          <w:tcPr>
            <w:tcW w:w="1217" w:type="dxa"/>
            <w:tcBorders>
              <w:top w:val="nil"/>
              <w:left w:val="nil"/>
              <w:bottom w:val="single" w:sz="4" w:space="0" w:color="auto"/>
              <w:right w:val="single" w:sz="4" w:space="0" w:color="auto"/>
            </w:tcBorders>
            <w:noWrap/>
            <w:vAlign w:val="center"/>
          </w:tcPr>
          <w:p w14:paraId="18C6222F" w14:textId="471B9019"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20,4</w:t>
            </w:r>
          </w:p>
        </w:tc>
        <w:tc>
          <w:tcPr>
            <w:tcW w:w="1103" w:type="dxa"/>
            <w:tcBorders>
              <w:top w:val="nil"/>
              <w:left w:val="nil"/>
              <w:bottom w:val="single" w:sz="4" w:space="0" w:color="auto"/>
              <w:right w:val="single" w:sz="4" w:space="0" w:color="auto"/>
            </w:tcBorders>
            <w:noWrap/>
            <w:vAlign w:val="center"/>
          </w:tcPr>
          <w:p w14:paraId="041A2AE9" w14:textId="0775F7FC"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11 941,6</w:t>
            </w:r>
          </w:p>
        </w:tc>
        <w:tc>
          <w:tcPr>
            <w:tcW w:w="1224" w:type="dxa"/>
            <w:tcBorders>
              <w:top w:val="nil"/>
              <w:left w:val="nil"/>
              <w:bottom w:val="single" w:sz="4" w:space="0" w:color="auto"/>
              <w:right w:val="single" w:sz="4" w:space="0" w:color="auto"/>
            </w:tcBorders>
            <w:noWrap/>
            <w:vAlign w:val="center"/>
          </w:tcPr>
          <w:p w14:paraId="7AECEB35" w14:textId="355D497C"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2 548,7</w:t>
            </w:r>
          </w:p>
        </w:tc>
        <w:tc>
          <w:tcPr>
            <w:tcW w:w="1275" w:type="dxa"/>
            <w:tcBorders>
              <w:top w:val="nil"/>
              <w:left w:val="nil"/>
              <w:bottom w:val="single" w:sz="4" w:space="0" w:color="auto"/>
              <w:right w:val="single" w:sz="4" w:space="0" w:color="auto"/>
            </w:tcBorders>
            <w:noWrap/>
            <w:vAlign w:val="center"/>
          </w:tcPr>
          <w:p w14:paraId="6E0843CA" w14:textId="583169C1"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21,3</w:t>
            </w:r>
          </w:p>
        </w:tc>
        <w:tc>
          <w:tcPr>
            <w:tcW w:w="997" w:type="dxa"/>
            <w:tcBorders>
              <w:top w:val="nil"/>
              <w:left w:val="nil"/>
              <w:bottom w:val="single" w:sz="4" w:space="0" w:color="auto"/>
              <w:right w:val="single" w:sz="4" w:space="0" w:color="auto"/>
            </w:tcBorders>
            <w:noWrap/>
            <w:vAlign w:val="center"/>
          </w:tcPr>
          <w:p w14:paraId="4E1DA02E" w14:textId="3D344114"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110,8</w:t>
            </w:r>
          </w:p>
        </w:tc>
      </w:tr>
      <w:tr w:rsidR="00671F24" w:rsidRPr="003D514A" w14:paraId="2E0C2349" w14:textId="77777777" w:rsidTr="00671F24">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76CFF744" w14:textId="77777777" w:rsidR="00671F24" w:rsidRPr="00602E3C" w:rsidRDefault="00671F24" w:rsidP="00671F24">
            <w:pPr>
              <w:keepNext/>
              <w:keepLines/>
              <w:spacing w:before="120" w:after="120"/>
              <w:jc w:val="right"/>
              <w:rPr>
                <w:rFonts w:ascii="Times New Roman" w:hAnsi="Times New Roman" w:cs="Times New Roman"/>
                <w:sz w:val="20"/>
                <w:szCs w:val="20"/>
              </w:rPr>
            </w:pPr>
            <w:r w:rsidRPr="4600C643">
              <w:rPr>
                <w:rFonts w:ascii="Times New Roman" w:hAnsi="Times New Roman" w:cs="Times New Roman"/>
                <w:sz w:val="20"/>
                <w:szCs w:val="20"/>
              </w:rPr>
              <w:t>kiadás:</w:t>
            </w:r>
          </w:p>
        </w:tc>
        <w:tc>
          <w:tcPr>
            <w:tcW w:w="1067" w:type="dxa"/>
            <w:tcBorders>
              <w:top w:val="nil"/>
              <w:left w:val="single" w:sz="4" w:space="0" w:color="auto"/>
              <w:bottom w:val="single" w:sz="4" w:space="0" w:color="auto"/>
              <w:right w:val="single" w:sz="4" w:space="0" w:color="auto"/>
            </w:tcBorders>
            <w:noWrap/>
            <w:vAlign w:val="center"/>
          </w:tcPr>
          <w:p w14:paraId="234DEE28" w14:textId="6CCD274E"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11 540,8</w:t>
            </w:r>
          </w:p>
        </w:tc>
        <w:tc>
          <w:tcPr>
            <w:tcW w:w="1134" w:type="dxa"/>
            <w:tcBorders>
              <w:top w:val="nil"/>
              <w:left w:val="nil"/>
              <w:bottom w:val="single" w:sz="4" w:space="0" w:color="auto"/>
              <w:right w:val="single" w:sz="4" w:space="0" w:color="auto"/>
            </w:tcBorders>
            <w:noWrap/>
            <w:vAlign w:val="center"/>
          </w:tcPr>
          <w:p w14:paraId="7FB63125" w14:textId="14AB81D6"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2 376,9</w:t>
            </w:r>
          </w:p>
        </w:tc>
        <w:tc>
          <w:tcPr>
            <w:tcW w:w="1217" w:type="dxa"/>
            <w:tcBorders>
              <w:top w:val="nil"/>
              <w:left w:val="nil"/>
              <w:bottom w:val="single" w:sz="4" w:space="0" w:color="auto"/>
              <w:right w:val="single" w:sz="4" w:space="0" w:color="auto"/>
            </w:tcBorders>
            <w:noWrap/>
            <w:vAlign w:val="center"/>
          </w:tcPr>
          <w:p w14:paraId="0B8856A0" w14:textId="3A534F4C"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20,6</w:t>
            </w:r>
          </w:p>
        </w:tc>
        <w:tc>
          <w:tcPr>
            <w:tcW w:w="1103" w:type="dxa"/>
            <w:tcBorders>
              <w:top w:val="nil"/>
              <w:left w:val="nil"/>
              <w:bottom w:val="single" w:sz="4" w:space="0" w:color="auto"/>
              <w:right w:val="single" w:sz="4" w:space="0" w:color="auto"/>
            </w:tcBorders>
            <w:noWrap/>
            <w:vAlign w:val="center"/>
          </w:tcPr>
          <w:p w14:paraId="086FE71C" w14:textId="489F69FE"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11 941,6</w:t>
            </w:r>
          </w:p>
        </w:tc>
        <w:tc>
          <w:tcPr>
            <w:tcW w:w="1224" w:type="dxa"/>
            <w:tcBorders>
              <w:top w:val="nil"/>
              <w:left w:val="nil"/>
              <w:bottom w:val="single" w:sz="4" w:space="0" w:color="auto"/>
              <w:right w:val="single" w:sz="4" w:space="0" w:color="auto"/>
            </w:tcBorders>
            <w:noWrap/>
            <w:vAlign w:val="center"/>
          </w:tcPr>
          <w:p w14:paraId="4801CC60" w14:textId="1A53622E"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2 678,3</w:t>
            </w:r>
          </w:p>
        </w:tc>
        <w:tc>
          <w:tcPr>
            <w:tcW w:w="1275" w:type="dxa"/>
            <w:tcBorders>
              <w:top w:val="nil"/>
              <w:left w:val="nil"/>
              <w:bottom w:val="single" w:sz="4" w:space="0" w:color="auto"/>
              <w:right w:val="single" w:sz="4" w:space="0" w:color="auto"/>
            </w:tcBorders>
            <w:noWrap/>
            <w:vAlign w:val="center"/>
          </w:tcPr>
          <w:p w14:paraId="080A695A" w14:textId="35AAA98C"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22,4</w:t>
            </w:r>
          </w:p>
        </w:tc>
        <w:tc>
          <w:tcPr>
            <w:tcW w:w="997" w:type="dxa"/>
            <w:tcBorders>
              <w:top w:val="nil"/>
              <w:left w:val="nil"/>
              <w:bottom w:val="single" w:sz="4" w:space="0" w:color="auto"/>
              <w:right w:val="single" w:sz="4" w:space="0" w:color="auto"/>
            </w:tcBorders>
            <w:noWrap/>
            <w:vAlign w:val="center"/>
          </w:tcPr>
          <w:p w14:paraId="12785972" w14:textId="317FDE4D"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112,7</w:t>
            </w:r>
          </w:p>
        </w:tc>
      </w:tr>
      <w:tr w:rsidR="00671F24" w:rsidRPr="003D514A" w14:paraId="4C937A62" w14:textId="77777777" w:rsidTr="00671F24">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22B27C31" w14:textId="77777777" w:rsidR="00671F24" w:rsidRPr="00602E3C" w:rsidRDefault="00671F24" w:rsidP="00671F24">
            <w:pPr>
              <w:keepNext/>
              <w:keepLines/>
              <w:spacing w:before="120" w:after="120"/>
              <w:rPr>
                <w:rFonts w:ascii="Times New Roman" w:hAnsi="Times New Roman" w:cs="Times New Roman"/>
                <w:b/>
                <w:bCs/>
                <w:sz w:val="20"/>
                <w:szCs w:val="20"/>
              </w:rPr>
            </w:pPr>
            <w:r w:rsidRPr="4600C643">
              <w:rPr>
                <w:rFonts w:ascii="Times New Roman" w:hAnsi="Times New Roman" w:cs="Times New Roman"/>
                <w:b/>
                <w:bCs/>
                <w:sz w:val="20"/>
                <w:szCs w:val="20"/>
              </w:rPr>
              <w:t>Egyenleg összesen</w:t>
            </w:r>
          </w:p>
        </w:tc>
        <w:tc>
          <w:tcPr>
            <w:tcW w:w="1067" w:type="dxa"/>
            <w:tcBorders>
              <w:top w:val="nil"/>
              <w:left w:val="single" w:sz="4" w:space="0" w:color="auto"/>
              <w:bottom w:val="single" w:sz="4" w:space="0" w:color="auto"/>
              <w:right w:val="single" w:sz="4" w:space="0" w:color="auto"/>
            </w:tcBorders>
            <w:noWrap/>
            <w:vAlign w:val="center"/>
          </w:tcPr>
          <w:p w14:paraId="34532105" w14:textId="74846A95" w:rsidR="00671F24" w:rsidRPr="007007A3" w:rsidRDefault="00671F24" w:rsidP="00671F24">
            <w:pPr>
              <w:spacing w:before="120" w:after="120"/>
              <w:jc w:val="right"/>
              <w:rPr>
                <w:rFonts w:ascii="Times New Roman" w:hAnsi="Times New Roman" w:cs="Times New Roman"/>
                <w:b/>
                <w:bCs/>
                <w:sz w:val="20"/>
                <w:szCs w:val="20"/>
              </w:rPr>
            </w:pPr>
            <w:r w:rsidRPr="00F55F32">
              <w:rPr>
                <w:rFonts w:ascii="Garamond" w:hAnsi="Garamond"/>
                <w:b/>
                <w:bCs/>
                <w:sz w:val="20"/>
                <w:szCs w:val="20"/>
              </w:rPr>
              <w:t>-5 738,7</w:t>
            </w:r>
          </w:p>
        </w:tc>
        <w:tc>
          <w:tcPr>
            <w:tcW w:w="1134" w:type="dxa"/>
            <w:tcBorders>
              <w:top w:val="nil"/>
              <w:left w:val="nil"/>
              <w:bottom w:val="single" w:sz="4" w:space="0" w:color="auto"/>
              <w:right w:val="single" w:sz="4" w:space="0" w:color="auto"/>
            </w:tcBorders>
            <w:noWrap/>
            <w:vAlign w:val="center"/>
          </w:tcPr>
          <w:p w14:paraId="74267FA6" w14:textId="06C62D7A" w:rsidR="00671F24" w:rsidRPr="007007A3" w:rsidRDefault="00671F24" w:rsidP="00671F24">
            <w:pPr>
              <w:spacing w:before="120" w:after="120"/>
              <w:jc w:val="right"/>
              <w:rPr>
                <w:rFonts w:ascii="Times New Roman" w:hAnsi="Times New Roman" w:cs="Times New Roman"/>
                <w:b/>
                <w:bCs/>
                <w:sz w:val="20"/>
                <w:szCs w:val="20"/>
              </w:rPr>
            </w:pPr>
            <w:r w:rsidRPr="00F55F32">
              <w:rPr>
                <w:rFonts w:ascii="Garamond" w:hAnsi="Garamond"/>
                <w:b/>
                <w:bCs/>
                <w:sz w:val="20"/>
                <w:szCs w:val="20"/>
              </w:rPr>
              <w:t>-1 722,8</w:t>
            </w:r>
          </w:p>
        </w:tc>
        <w:tc>
          <w:tcPr>
            <w:tcW w:w="1217" w:type="dxa"/>
            <w:tcBorders>
              <w:top w:val="nil"/>
              <w:left w:val="nil"/>
              <w:bottom w:val="single" w:sz="4" w:space="0" w:color="auto"/>
              <w:right w:val="single" w:sz="4" w:space="0" w:color="auto"/>
            </w:tcBorders>
            <w:noWrap/>
            <w:vAlign w:val="center"/>
          </w:tcPr>
          <w:p w14:paraId="03FC0469" w14:textId="451EA9A6"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30,0</w:t>
            </w:r>
          </w:p>
        </w:tc>
        <w:tc>
          <w:tcPr>
            <w:tcW w:w="1103" w:type="dxa"/>
            <w:tcBorders>
              <w:top w:val="nil"/>
              <w:left w:val="nil"/>
              <w:bottom w:val="single" w:sz="4" w:space="0" w:color="auto"/>
              <w:right w:val="single" w:sz="4" w:space="0" w:color="auto"/>
            </w:tcBorders>
            <w:noWrap/>
            <w:vAlign w:val="center"/>
          </w:tcPr>
          <w:p w14:paraId="7641E26B" w14:textId="100122B4" w:rsidR="00671F24" w:rsidRPr="007007A3" w:rsidRDefault="00671F24" w:rsidP="00671F24">
            <w:pPr>
              <w:spacing w:before="120" w:after="120"/>
              <w:jc w:val="right"/>
              <w:rPr>
                <w:rFonts w:ascii="Times New Roman" w:hAnsi="Times New Roman" w:cs="Times New Roman"/>
                <w:b/>
                <w:bCs/>
                <w:sz w:val="20"/>
                <w:szCs w:val="20"/>
              </w:rPr>
            </w:pPr>
            <w:r w:rsidRPr="00F55F32">
              <w:rPr>
                <w:rFonts w:ascii="Garamond" w:hAnsi="Garamond"/>
                <w:b/>
                <w:bCs/>
                <w:sz w:val="20"/>
                <w:szCs w:val="20"/>
              </w:rPr>
              <w:t>-4 218,5</w:t>
            </w:r>
          </w:p>
        </w:tc>
        <w:tc>
          <w:tcPr>
            <w:tcW w:w="1224" w:type="dxa"/>
            <w:tcBorders>
              <w:top w:val="nil"/>
              <w:left w:val="nil"/>
              <w:bottom w:val="single" w:sz="4" w:space="0" w:color="auto"/>
              <w:right w:val="single" w:sz="4" w:space="0" w:color="auto"/>
            </w:tcBorders>
            <w:noWrap/>
            <w:vAlign w:val="center"/>
          </w:tcPr>
          <w:p w14:paraId="58981E80" w14:textId="21E67B45" w:rsidR="00671F24" w:rsidRPr="007007A3" w:rsidRDefault="00671F24" w:rsidP="00671F24">
            <w:pPr>
              <w:spacing w:before="120" w:after="120"/>
              <w:jc w:val="right"/>
              <w:rPr>
                <w:rFonts w:ascii="Times New Roman" w:hAnsi="Times New Roman" w:cs="Times New Roman"/>
                <w:b/>
                <w:bCs/>
                <w:sz w:val="20"/>
                <w:szCs w:val="20"/>
              </w:rPr>
            </w:pPr>
            <w:r w:rsidRPr="00F55F32">
              <w:rPr>
                <w:rFonts w:ascii="Garamond" w:hAnsi="Garamond"/>
                <w:b/>
                <w:bCs/>
                <w:sz w:val="20"/>
                <w:szCs w:val="20"/>
              </w:rPr>
              <w:t>-2 106,8</w:t>
            </w:r>
          </w:p>
        </w:tc>
        <w:tc>
          <w:tcPr>
            <w:tcW w:w="1275" w:type="dxa"/>
            <w:tcBorders>
              <w:top w:val="nil"/>
              <w:left w:val="nil"/>
              <w:bottom w:val="single" w:sz="4" w:space="0" w:color="auto"/>
              <w:right w:val="single" w:sz="4" w:space="0" w:color="auto"/>
            </w:tcBorders>
            <w:noWrap/>
            <w:vAlign w:val="center"/>
          </w:tcPr>
          <w:p w14:paraId="5ED7099D" w14:textId="6C73BC21"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49,9</w:t>
            </w:r>
          </w:p>
        </w:tc>
        <w:tc>
          <w:tcPr>
            <w:tcW w:w="997" w:type="dxa"/>
            <w:tcBorders>
              <w:top w:val="nil"/>
              <w:left w:val="nil"/>
              <w:bottom w:val="single" w:sz="4" w:space="0" w:color="auto"/>
              <w:right w:val="single" w:sz="4" w:space="0" w:color="auto"/>
            </w:tcBorders>
            <w:noWrap/>
            <w:vAlign w:val="center"/>
          </w:tcPr>
          <w:p w14:paraId="7A98A233" w14:textId="72A0A40D"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122,3</w:t>
            </w:r>
          </w:p>
        </w:tc>
      </w:tr>
      <w:tr w:rsidR="00671F24" w:rsidRPr="003D514A" w14:paraId="4C7D7EF2" w14:textId="77777777" w:rsidTr="00671F24">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50CAE52E" w14:textId="77777777" w:rsidR="00671F24" w:rsidRPr="00602E3C" w:rsidRDefault="00671F24" w:rsidP="00671F24">
            <w:pPr>
              <w:keepNext/>
              <w:keepLines/>
              <w:spacing w:before="120" w:after="120"/>
              <w:jc w:val="right"/>
              <w:rPr>
                <w:rFonts w:ascii="Times New Roman" w:hAnsi="Times New Roman" w:cs="Times New Roman"/>
                <w:sz w:val="20"/>
                <w:szCs w:val="20"/>
              </w:rPr>
            </w:pPr>
            <w:r w:rsidRPr="4600C643">
              <w:rPr>
                <w:rFonts w:ascii="Times New Roman" w:hAnsi="Times New Roman" w:cs="Times New Roman"/>
                <w:sz w:val="20"/>
                <w:szCs w:val="20"/>
              </w:rPr>
              <w:t>bevétel:</w:t>
            </w:r>
          </w:p>
        </w:tc>
        <w:tc>
          <w:tcPr>
            <w:tcW w:w="1067" w:type="dxa"/>
            <w:tcBorders>
              <w:top w:val="nil"/>
              <w:left w:val="single" w:sz="4" w:space="0" w:color="auto"/>
              <w:bottom w:val="single" w:sz="4" w:space="0" w:color="auto"/>
              <w:right w:val="single" w:sz="4" w:space="0" w:color="auto"/>
            </w:tcBorders>
            <w:noWrap/>
            <w:vAlign w:val="center"/>
          </w:tcPr>
          <w:p w14:paraId="12C6FEEA" w14:textId="1B7FF221"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39 191,6</w:t>
            </w:r>
          </w:p>
        </w:tc>
        <w:tc>
          <w:tcPr>
            <w:tcW w:w="1134" w:type="dxa"/>
            <w:tcBorders>
              <w:top w:val="nil"/>
              <w:left w:val="nil"/>
              <w:bottom w:val="single" w:sz="4" w:space="0" w:color="auto"/>
              <w:right w:val="single" w:sz="4" w:space="0" w:color="auto"/>
            </w:tcBorders>
            <w:noWrap/>
            <w:vAlign w:val="center"/>
          </w:tcPr>
          <w:p w14:paraId="772E0B61" w14:textId="29A33FB9"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6 314,8</w:t>
            </w:r>
          </w:p>
        </w:tc>
        <w:tc>
          <w:tcPr>
            <w:tcW w:w="1217" w:type="dxa"/>
            <w:tcBorders>
              <w:top w:val="nil"/>
              <w:left w:val="nil"/>
              <w:bottom w:val="single" w:sz="4" w:space="0" w:color="auto"/>
              <w:right w:val="single" w:sz="4" w:space="0" w:color="auto"/>
            </w:tcBorders>
            <w:noWrap/>
            <w:vAlign w:val="center"/>
          </w:tcPr>
          <w:p w14:paraId="3C77872B" w14:textId="3547E7CD"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16,1</w:t>
            </w:r>
          </w:p>
        </w:tc>
        <w:tc>
          <w:tcPr>
            <w:tcW w:w="1103" w:type="dxa"/>
            <w:tcBorders>
              <w:top w:val="nil"/>
              <w:left w:val="nil"/>
              <w:bottom w:val="single" w:sz="4" w:space="0" w:color="auto"/>
              <w:right w:val="single" w:sz="4" w:space="0" w:color="auto"/>
            </w:tcBorders>
            <w:noWrap/>
            <w:vAlign w:val="center"/>
          </w:tcPr>
          <w:p w14:paraId="50894B12" w14:textId="343F4741"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39 562,8</w:t>
            </w:r>
          </w:p>
        </w:tc>
        <w:tc>
          <w:tcPr>
            <w:tcW w:w="1224" w:type="dxa"/>
            <w:tcBorders>
              <w:top w:val="nil"/>
              <w:left w:val="nil"/>
              <w:bottom w:val="single" w:sz="4" w:space="0" w:color="auto"/>
              <w:right w:val="single" w:sz="4" w:space="0" w:color="auto"/>
            </w:tcBorders>
            <w:noWrap/>
            <w:vAlign w:val="center"/>
          </w:tcPr>
          <w:p w14:paraId="3E11D232" w14:textId="022495D6"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7 443,0</w:t>
            </w:r>
          </w:p>
        </w:tc>
        <w:tc>
          <w:tcPr>
            <w:tcW w:w="1275" w:type="dxa"/>
            <w:tcBorders>
              <w:top w:val="nil"/>
              <w:left w:val="nil"/>
              <w:bottom w:val="single" w:sz="4" w:space="0" w:color="auto"/>
              <w:right w:val="single" w:sz="4" w:space="0" w:color="auto"/>
            </w:tcBorders>
            <w:noWrap/>
            <w:vAlign w:val="center"/>
          </w:tcPr>
          <w:p w14:paraId="4CB9AE24" w14:textId="794B5B4B"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18,8</w:t>
            </w:r>
          </w:p>
        </w:tc>
        <w:tc>
          <w:tcPr>
            <w:tcW w:w="997" w:type="dxa"/>
            <w:tcBorders>
              <w:top w:val="nil"/>
              <w:left w:val="nil"/>
              <w:bottom w:val="single" w:sz="4" w:space="0" w:color="auto"/>
              <w:right w:val="single" w:sz="4" w:space="0" w:color="auto"/>
            </w:tcBorders>
            <w:noWrap/>
            <w:vAlign w:val="center"/>
          </w:tcPr>
          <w:p w14:paraId="0A5A7D17" w14:textId="4EE38E7E"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117,9</w:t>
            </w:r>
          </w:p>
        </w:tc>
      </w:tr>
      <w:tr w:rsidR="00671F24" w:rsidRPr="0096527E" w14:paraId="121D35E5" w14:textId="77777777" w:rsidTr="00671F24">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057BEE79" w14:textId="77777777" w:rsidR="00671F24" w:rsidRPr="00602E3C" w:rsidRDefault="00671F24" w:rsidP="00671F24">
            <w:pPr>
              <w:keepNext/>
              <w:keepLines/>
              <w:spacing w:before="120" w:after="120"/>
              <w:jc w:val="right"/>
              <w:rPr>
                <w:rFonts w:ascii="Times New Roman" w:hAnsi="Times New Roman" w:cs="Times New Roman"/>
                <w:sz w:val="20"/>
                <w:szCs w:val="20"/>
              </w:rPr>
            </w:pPr>
            <w:r w:rsidRPr="4600C643">
              <w:rPr>
                <w:rFonts w:ascii="Times New Roman" w:hAnsi="Times New Roman" w:cs="Times New Roman"/>
                <w:sz w:val="20"/>
                <w:szCs w:val="20"/>
              </w:rPr>
              <w:t>kiadás:</w:t>
            </w:r>
          </w:p>
        </w:tc>
        <w:tc>
          <w:tcPr>
            <w:tcW w:w="1067" w:type="dxa"/>
            <w:tcBorders>
              <w:top w:val="nil"/>
              <w:left w:val="single" w:sz="4" w:space="0" w:color="auto"/>
              <w:bottom w:val="single" w:sz="4" w:space="0" w:color="auto"/>
              <w:right w:val="single" w:sz="4" w:space="0" w:color="auto"/>
            </w:tcBorders>
            <w:noWrap/>
            <w:vAlign w:val="center"/>
          </w:tcPr>
          <w:p w14:paraId="7E78424A" w14:textId="0EF359F1"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44 930,4</w:t>
            </w:r>
          </w:p>
        </w:tc>
        <w:tc>
          <w:tcPr>
            <w:tcW w:w="1134" w:type="dxa"/>
            <w:tcBorders>
              <w:top w:val="nil"/>
              <w:left w:val="nil"/>
              <w:bottom w:val="single" w:sz="4" w:space="0" w:color="auto"/>
              <w:right w:val="single" w:sz="4" w:space="0" w:color="auto"/>
            </w:tcBorders>
            <w:noWrap/>
            <w:vAlign w:val="center"/>
          </w:tcPr>
          <w:p w14:paraId="669402C6" w14:textId="08CEFE1F"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8 037,6</w:t>
            </w:r>
          </w:p>
        </w:tc>
        <w:tc>
          <w:tcPr>
            <w:tcW w:w="1217" w:type="dxa"/>
            <w:tcBorders>
              <w:top w:val="nil"/>
              <w:left w:val="nil"/>
              <w:bottom w:val="single" w:sz="4" w:space="0" w:color="auto"/>
              <w:right w:val="single" w:sz="4" w:space="0" w:color="auto"/>
            </w:tcBorders>
            <w:noWrap/>
            <w:vAlign w:val="center"/>
          </w:tcPr>
          <w:p w14:paraId="573B435D" w14:textId="432C97D7"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17,9</w:t>
            </w:r>
          </w:p>
        </w:tc>
        <w:tc>
          <w:tcPr>
            <w:tcW w:w="1103" w:type="dxa"/>
            <w:tcBorders>
              <w:top w:val="nil"/>
              <w:left w:val="nil"/>
              <w:bottom w:val="single" w:sz="4" w:space="0" w:color="auto"/>
              <w:right w:val="single" w:sz="4" w:space="0" w:color="auto"/>
            </w:tcBorders>
            <w:noWrap/>
            <w:vAlign w:val="center"/>
          </w:tcPr>
          <w:p w14:paraId="17943409" w14:textId="7B6ECA49"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43 781,3</w:t>
            </w:r>
          </w:p>
        </w:tc>
        <w:tc>
          <w:tcPr>
            <w:tcW w:w="1224" w:type="dxa"/>
            <w:tcBorders>
              <w:top w:val="nil"/>
              <w:left w:val="nil"/>
              <w:bottom w:val="single" w:sz="4" w:space="0" w:color="auto"/>
              <w:right w:val="single" w:sz="4" w:space="0" w:color="auto"/>
            </w:tcBorders>
            <w:noWrap/>
            <w:vAlign w:val="center"/>
          </w:tcPr>
          <w:p w14:paraId="2B9CEA4E" w14:textId="68C215BF"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9 549,8</w:t>
            </w:r>
          </w:p>
        </w:tc>
        <w:tc>
          <w:tcPr>
            <w:tcW w:w="1275" w:type="dxa"/>
            <w:tcBorders>
              <w:top w:val="nil"/>
              <w:left w:val="nil"/>
              <w:bottom w:val="single" w:sz="4" w:space="0" w:color="auto"/>
              <w:right w:val="single" w:sz="4" w:space="0" w:color="auto"/>
            </w:tcBorders>
            <w:noWrap/>
            <w:vAlign w:val="center"/>
          </w:tcPr>
          <w:p w14:paraId="3DD56C2E" w14:textId="590AF1B2"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21,8</w:t>
            </w:r>
          </w:p>
        </w:tc>
        <w:tc>
          <w:tcPr>
            <w:tcW w:w="997" w:type="dxa"/>
            <w:tcBorders>
              <w:top w:val="nil"/>
              <w:left w:val="nil"/>
              <w:bottom w:val="single" w:sz="4" w:space="0" w:color="auto"/>
              <w:right w:val="single" w:sz="4" w:space="0" w:color="auto"/>
            </w:tcBorders>
            <w:noWrap/>
            <w:vAlign w:val="center"/>
          </w:tcPr>
          <w:p w14:paraId="3FA4033E" w14:textId="2231D58E" w:rsidR="00671F24" w:rsidRPr="007007A3" w:rsidRDefault="00671F24" w:rsidP="00671F24">
            <w:pPr>
              <w:spacing w:before="120" w:after="120"/>
              <w:jc w:val="right"/>
              <w:rPr>
                <w:rFonts w:ascii="Times New Roman" w:hAnsi="Times New Roman" w:cs="Times New Roman"/>
                <w:sz w:val="20"/>
                <w:szCs w:val="20"/>
              </w:rPr>
            </w:pPr>
            <w:r w:rsidRPr="00F55F32">
              <w:rPr>
                <w:rFonts w:ascii="Garamond" w:hAnsi="Garamond"/>
                <w:sz w:val="20"/>
                <w:szCs w:val="20"/>
              </w:rPr>
              <w:t>118,8</w:t>
            </w:r>
          </w:p>
        </w:tc>
      </w:tr>
    </w:tbl>
    <w:p w14:paraId="7ECF9175" w14:textId="77777777" w:rsidR="00EB62E4" w:rsidRDefault="00EB62E4" w:rsidP="1D3ABBAA">
      <w:pPr>
        <w:widowControl w:val="0"/>
        <w:spacing w:after="120" w:line="254" w:lineRule="auto"/>
        <w:jc w:val="both"/>
        <w:rPr>
          <w:rFonts w:ascii="Times New Roman" w:eastAsia="Times New Roman" w:hAnsi="Times New Roman" w:cs="Times New Roman"/>
          <w:sz w:val="26"/>
          <w:szCs w:val="26"/>
          <w:lang w:eastAsia="hu-HU"/>
        </w:rPr>
      </w:pPr>
    </w:p>
    <w:p w14:paraId="01371788" w14:textId="00FE3B9C" w:rsidR="00EB62E4" w:rsidRDefault="00EB62E4">
      <w:pPr>
        <w:rPr>
          <w:rFonts w:ascii="Times New Roman" w:eastAsia="Times New Roman" w:hAnsi="Times New Roman" w:cs="Times New Roman"/>
          <w:b/>
          <w:bCs/>
          <w:sz w:val="26"/>
          <w:szCs w:val="26"/>
          <w:lang w:eastAsia="hu-HU"/>
        </w:rPr>
      </w:pPr>
      <w:r>
        <w:rPr>
          <w:rFonts w:ascii="Times New Roman" w:eastAsia="Times New Roman" w:hAnsi="Times New Roman" w:cs="Times New Roman"/>
          <w:b/>
          <w:bCs/>
          <w:sz w:val="26"/>
          <w:szCs w:val="26"/>
          <w:lang w:eastAsia="hu-HU"/>
        </w:rPr>
        <w:br w:type="page"/>
      </w:r>
    </w:p>
    <w:p w14:paraId="7B768A93" w14:textId="335AD81F" w:rsidR="00B155FE" w:rsidRPr="00377D59" w:rsidRDefault="4600C643" w:rsidP="4600C643">
      <w:pPr>
        <w:spacing w:after="120" w:line="240" w:lineRule="auto"/>
        <w:jc w:val="center"/>
        <w:rPr>
          <w:rFonts w:ascii="Times New Roman" w:eastAsia="Times New Roman" w:hAnsi="Times New Roman" w:cs="Times New Roman"/>
          <w:b/>
          <w:bCs/>
          <w:sz w:val="26"/>
          <w:szCs w:val="26"/>
          <w:lang w:eastAsia="hu-HU"/>
        </w:rPr>
      </w:pPr>
      <w:r w:rsidRPr="4600C643">
        <w:rPr>
          <w:rFonts w:ascii="Times New Roman" w:eastAsia="Times New Roman" w:hAnsi="Times New Roman" w:cs="Times New Roman"/>
          <w:b/>
          <w:bCs/>
          <w:sz w:val="26"/>
          <w:szCs w:val="26"/>
          <w:lang w:eastAsia="hu-HU"/>
        </w:rPr>
        <w:lastRenderedPageBreak/>
        <w:t>I.</w:t>
      </w:r>
    </w:p>
    <w:p w14:paraId="7B768A94" w14:textId="77777777" w:rsidR="00B155FE" w:rsidRPr="00377D59" w:rsidRDefault="4600C643" w:rsidP="4600C643">
      <w:pPr>
        <w:keepNext/>
        <w:spacing w:after="120" w:line="240" w:lineRule="auto"/>
        <w:jc w:val="center"/>
        <w:outlineLvl w:val="1"/>
        <w:rPr>
          <w:rFonts w:ascii="Times New Roman" w:eastAsia="Times New Roman" w:hAnsi="Times New Roman" w:cs="Times New Roman"/>
          <w:b/>
          <w:bCs/>
          <w:caps/>
          <w:sz w:val="26"/>
          <w:szCs w:val="26"/>
          <w:lang w:eastAsia="hu-HU"/>
        </w:rPr>
      </w:pPr>
      <w:r w:rsidRPr="4600C643">
        <w:rPr>
          <w:rFonts w:ascii="Times New Roman" w:eastAsia="Times New Roman" w:hAnsi="Times New Roman" w:cs="Times New Roman"/>
          <w:b/>
          <w:bCs/>
          <w:caps/>
          <w:sz w:val="26"/>
          <w:szCs w:val="26"/>
          <w:lang w:eastAsia="hu-HU"/>
        </w:rPr>
        <w:t xml:space="preserve">A központi alrendszer pénzügyi folyamatainak </w:t>
      </w:r>
      <w:r w:rsidR="1EAC8E60">
        <w:br/>
      </w:r>
      <w:r w:rsidRPr="4600C643">
        <w:rPr>
          <w:rFonts w:ascii="Times New Roman" w:eastAsia="Times New Roman" w:hAnsi="Times New Roman" w:cs="Times New Roman"/>
          <w:b/>
          <w:bCs/>
          <w:caps/>
          <w:sz w:val="26"/>
          <w:szCs w:val="26"/>
          <w:lang w:eastAsia="hu-HU"/>
        </w:rPr>
        <w:t>alakulása</w:t>
      </w:r>
    </w:p>
    <w:p w14:paraId="6D461365" w14:textId="08DC9FC2" w:rsidR="0004032B" w:rsidRPr="00377D59" w:rsidRDefault="4600C643" w:rsidP="4600C643">
      <w:pPr>
        <w:keepNext/>
        <w:numPr>
          <w:ilvl w:val="0"/>
          <w:numId w:val="3"/>
        </w:numPr>
        <w:spacing w:after="120" w:line="240" w:lineRule="auto"/>
        <w:jc w:val="both"/>
        <w:outlineLvl w:val="2"/>
        <w:rPr>
          <w:rFonts w:ascii="Times New Roman" w:eastAsia="Times New Roman" w:hAnsi="Times New Roman" w:cs="Times New Roman"/>
          <w:b/>
          <w:bCs/>
          <w:smallCaps/>
          <w:sz w:val="28"/>
          <w:szCs w:val="28"/>
          <w:lang w:eastAsia="hu-HU"/>
        </w:rPr>
      </w:pPr>
      <w:r w:rsidRPr="4600C643">
        <w:rPr>
          <w:rFonts w:ascii="Times New Roman" w:eastAsia="Times New Roman" w:hAnsi="Times New Roman" w:cs="Times New Roman"/>
          <w:b/>
          <w:bCs/>
          <w:smallCaps/>
          <w:sz w:val="28"/>
          <w:szCs w:val="28"/>
          <w:lang w:eastAsia="hu-HU"/>
        </w:rPr>
        <w:t>A főbb bevételek</w:t>
      </w:r>
    </w:p>
    <w:p w14:paraId="1C04A740" w14:textId="72926A99" w:rsidR="008E34AF" w:rsidRDefault="4600C643" w:rsidP="4600C643">
      <w:pPr>
        <w:jc w:val="both"/>
        <w:rPr>
          <w:rFonts w:ascii="Times New Roman" w:eastAsia="Times New Roman" w:hAnsi="Times New Roman" w:cs="Times New Roman"/>
          <w:b/>
          <w:bCs/>
          <w:sz w:val="26"/>
          <w:szCs w:val="26"/>
        </w:rPr>
      </w:pPr>
      <w:r w:rsidRPr="4600C643">
        <w:rPr>
          <w:rFonts w:ascii="Times New Roman" w:eastAsia="Times New Roman" w:hAnsi="Times New Roman" w:cs="Times New Roman"/>
          <w:b/>
          <w:bCs/>
          <w:sz w:val="26"/>
          <w:szCs w:val="26"/>
        </w:rPr>
        <w:t xml:space="preserve">A központi alrendszer </w:t>
      </w:r>
      <w:r w:rsidR="00671F24" w:rsidRPr="00671F24">
        <w:rPr>
          <w:rFonts w:ascii="Times New Roman" w:eastAsia="Times New Roman" w:hAnsi="Times New Roman" w:cs="Times New Roman"/>
          <w:b/>
          <w:bCs/>
          <w:sz w:val="26"/>
          <w:szCs w:val="26"/>
        </w:rPr>
        <w:t xml:space="preserve">február végi 7443,0 milliárd forint összegű bevételei az előző év azonos időszakához képest 1128,2 milliárd forinttal, 17,9%-kal magasabb összegben </w:t>
      </w:r>
      <w:r w:rsidRPr="4600C643">
        <w:rPr>
          <w:rFonts w:ascii="Times New Roman" w:eastAsia="Times New Roman" w:hAnsi="Times New Roman" w:cs="Times New Roman"/>
          <w:b/>
          <w:bCs/>
          <w:sz w:val="26"/>
          <w:szCs w:val="26"/>
        </w:rPr>
        <w:t>alakultak.</w:t>
      </w:r>
    </w:p>
    <w:p w14:paraId="6BBE59DE" w14:textId="58CBE6F2" w:rsidR="00CF551C" w:rsidRDefault="00671F24" w:rsidP="00C11940">
      <w:pPr>
        <w:pStyle w:val="NormlWeb"/>
        <w:spacing w:before="0" w:beforeAutospacing="0" w:after="120" w:afterAutospacing="0"/>
        <w:jc w:val="center"/>
      </w:pPr>
      <w:r w:rsidRPr="00671F24">
        <w:rPr>
          <w:noProof/>
        </w:rPr>
        <w:drawing>
          <wp:inline distT="0" distB="0" distL="0" distR="0" wp14:anchorId="2167BB44" wp14:editId="3555CC51">
            <wp:extent cx="5940425" cy="2339340"/>
            <wp:effectExtent l="0" t="0" r="3175" b="3810"/>
            <wp:docPr id="457574936" name="Kép 1" descr="A képen diagram, szöveg, képernyőkép, kö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574936" name="Kép 1" descr="A képen diagram, szöveg, képernyőkép, kör látható&#10;&#10;Előfordulhat, hogy a mesterséges intelligencia által létrehozott tartalom helytelen."/>
                    <pic:cNvPicPr/>
                  </pic:nvPicPr>
                  <pic:blipFill>
                    <a:blip r:embed="rId14"/>
                    <a:stretch>
                      <a:fillRect/>
                    </a:stretch>
                  </pic:blipFill>
                  <pic:spPr>
                    <a:xfrm>
                      <a:off x="0" y="0"/>
                      <a:ext cx="5940425" cy="2339340"/>
                    </a:xfrm>
                    <a:prstGeom prst="rect">
                      <a:avLst/>
                    </a:prstGeom>
                  </pic:spPr>
                </pic:pic>
              </a:graphicData>
            </a:graphic>
          </wp:inline>
        </w:drawing>
      </w:r>
    </w:p>
    <w:p w14:paraId="28174B97" w14:textId="5678CB15" w:rsidR="00E20C14" w:rsidRPr="00E20C14" w:rsidRDefault="00E20C14" w:rsidP="00F708B2">
      <w:pPr>
        <w:jc w:val="both"/>
        <w:rPr>
          <w:rFonts w:ascii="Times New Roman" w:eastAsia="Times New Roman" w:hAnsi="Times New Roman" w:cs="Times New Roman"/>
          <w:sz w:val="26"/>
          <w:szCs w:val="20"/>
          <w:highlight w:val="yellow"/>
          <w:lang w:eastAsia="hu-HU"/>
        </w:rPr>
      </w:pPr>
      <w:r w:rsidRPr="00E20C14">
        <w:rPr>
          <w:rFonts w:ascii="Times New Roman" w:eastAsia="Times New Roman" w:hAnsi="Times New Roman" w:cs="Times New Roman"/>
          <w:b/>
          <w:bCs/>
          <w:sz w:val="26"/>
          <w:szCs w:val="20"/>
          <w:lang w:eastAsia="hu-HU"/>
        </w:rPr>
        <w:t xml:space="preserve">Társasági adó </w:t>
      </w:r>
      <w:r w:rsidRPr="00E20C14">
        <w:rPr>
          <w:rFonts w:ascii="Times New Roman" w:eastAsia="Times New Roman" w:hAnsi="Times New Roman" w:cs="Times New Roman"/>
          <w:sz w:val="26"/>
          <w:szCs w:val="20"/>
          <w:lang w:eastAsia="hu-HU"/>
        </w:rPr>
        <w:t>jogcímen a 2026. év első két hónapjában 148,3 milliárd forint realizálódott, amely az előző év egyenlegétől 0,9 milliárd forinttal marad el</w:t>
      </w:r>
      <w:r w:rsidR="00BA6020">
        <w:rPr>
          <w:rFonts w:ascii="Times New Roman" w:eastAsia="Times New Roman" w:hAnsi="Times New Roman" w:cs="Times New Roman"/>
          <w:sz w:val="26"/>
          <w:szCs w:val="20"/>
          <w:lang w:eastAsia="hu-HU"/>
        </w:rPr>
        <w:t>.</w:t>
      </w:r>
      <w:r w:rsidRPr="00E20C14">
        <w:rPr>
          <w:rFonts w:ascii="Times New Roman" w:eastAsia="Times New Roman" w:hAnsi="Times New Roman" w:cs="Times New Roman"/>
          <w:sz w:val="26"/>
          <w:szCs w:val="20"/>
          <w:lang w:eastAsia="hu-HU"/>
        </w:rPr>
        <w:t xml:space="preserve"> </w:t>
      </w:r>
      <w:r w:rsidR="00BA6020">
        <w:rPr>
          <w:rFonts w:ascii="Times New Roman" w:eastAsia="Times New Roman" w:hAnsi="Times New Roman" w:cs="Times New Roman"/>
          <w:sz w:val="26"/>
          <w:szCs w:val="20"/>
          <w:lang w:eastAsia="hu-HU"/>
        </w:rPr>
        <w:t>En</w:t>
      </w:r>
      <w:r w:rsidRPr="00E20C14">
        <w:rPr>
          <w:rFonts w:ascii="Times New Roman" w:eastAsia="Times New Roman" w:hAnsi="Times New Roman" w:cs="Times New Roman"/>
          <w:sz w:val="26"/>
          <w:szCs w:val="20"/>
          <w:lang w:eastAsia="hu-HU"/>
        </w:rPr>
        <w:t>nek oka</w:t>
      </w:r>
      <w:r w:rsidR="00BA6020">
        <w:rPr>
          <w:rFonts w:ascii="Times New Roman" w:eastAsia="Times New Roman" w:hAnsi="Times New Roman" w:cs="Times New Roman"/>
          <w:sz w:val="26"/>
          <w:szCs w:val="20"/>
          <w:lang w:eastAsia="hu-HU"/>
        </w:rPr>
        <w:t>i</w:t>
      </w:r>
      <w:r w:rsidRPr="00E20C14">
        <w:rPr>
          <w:rFonts w:ascii="Times New Roman" w:eastAsia="Times New Roman" w:hAnsi="Times New Roman" w:cs="Times New Roman"/>
          <w:sz w:val="26"/>
          <w:szCs w:val="20"/>
          <w:lang w:eastAsia="hu-HU"/>
        </w:rPr>
        <w:t xml:space="preserve"> a kiutalások </w:t>
      </w:r>
      <w:r w:rsidR="00BA6020" w:rsidRPr="00E20C14">
        <w:rPr>
          <w:rFonts w:ascii="Times New Roman" w:eastAsia="Times New Roman" w:hAnsi="Times New Roman" w:cs="Times New Roman"/>
          <w:sz w:val="26"/>
          <w:szCs w:val="20"/>
          <w:lang w:eastAsia="hu-HU"/>
        </w:rPr>
        <w:t>befizetések</w:t>
      </w:r>
      <w:r w:rsidR="00BA6020">
        <w:rPr>
          <w:rFonts w:ascii="Times New Roman" w:eastAsia="Times New Roman" w:hAnsi="Times New Roman" w:cs="Times New Roman"/>
          <w:sz w:val="26"/>
          <w:szCs w:val="20"/>
          <w:lang w:eastAsia="hu-HU"/>
        </w:rPr>
        <w:t>hez viszonyított</w:t>
      </w:r>
      <w:r w:rsidR="00BA6020" w:rsidRPr="00E20C14">
        <w:rPr>
          <w:rFonts w:ascii="Times New Roman" w:eastAsia="Times New Roman" w:hAnsi="Times New Roman" w:cs="Times New Roman"/>
          <w:sz w:val="26"/>
          <w:szCs w:val="20"/>
          <w:lang w:eastAsia="hu-HU"/>
        </w:rPr>
        <w:t xml:space="preserve"> </w:t>
      </w:r>
      <w:r w:rsidRPr="00E20C14">
        <w:rPr>
          <w:rFonts w:ascii="Times New Roman" w:eastAsia="Times New Roman" w:hAnsi="Times New Roman" w:cs="Times New Roman"/>
          <w:sz w:val="26"/>
          <w:szCs w:val="20"/>
          <w:lang w:eastAsia="hu-HU"/>
        </w:rPr>
        <w:t>nagyobb mérték</w:t>
      </w:r>
      <w:r w:rsidR="00BA6020">
        <w:rPr>
          <w:rFonts w:ascii="Times New Roman" w:eastAsia="Times New Roman" w:hAnsi="Times New Roman" w:cs="Times New Roman"/>
          <w:sz w:val="26"/>
          <w:szCs w:val="20"/>
          <w:lang w:eastAsia="hu-HU"/>
        </w:rPr>
        <w:t xml:space="preserve">e </w:t>
      </w:r>
      <w:r w:rsidRPr="00E20C14">
        <w:rPr>
          <w:rFonts w:ascii="Times New Roman" w:eastAsia="Times New Roman" w:hAnsi="Times New Roman" w:cs="Times New Roman"/>
          <w:sz w:val="26"/>
          <w:szCs w:val="20"/>
          <w:lang w:eastAsia="hu-HU"/>
        </w:rPr>
        <w:t>az előző év azonos időszakához képest, valamint a felajánlásokhoz kapcsolódó rendelkezések kimagasló értéke.</w:t>
      </w:r>
    </w:p>
    <w:p w14:paraId="20BB9FEC" w14:textId="77777777" w:rsidR="00E20C14" w:rsidRPr="00E20C14" w:rsidRDefault="00E20C14" w:rsidP="00F708B2">
      <w:pPr>
        <w:jc w:val="both"/>
        <w:rPr>
          <w:rFonts w:ascii="Times New Roman" w:eastAsia="Times New Roman" w:hAnsi="Times New Roman" w:cs="Times New Roman"/>
          <w:sz w:val="26"/>
          <w:szCs w:val="20"/>
          <w:highlight w:val="yellow"/>
          <w:lang w:eastAsia="hu-HU"/>
        </w:rPr>
      </w:pPr>
      <w:r w:rsidRPr="00E20C14">
        <w:rPr>
          <w:rFonts w:ascii="Times New Roman" w:eastAsia="Times New Roman" w:hAnsi="Times New Roman" w:cs="Times New Roman"/>
          <w:bCs/>
          <w:sz w:val="26"/>
          <w:szCs w:val="20"/>
          <w:lang w:eastAsia="hu-HU"/>
        </w:rPr>
        <w:t>A</w:t>
      </w:r>
      <w:r w:rsidRPr="00E20C14">
        <w:rPr>
          <w:rFonts w:ascii="Times New Roman" w:eastAsia="Times New Roman" w:hAnsi="Times New Roman" w:cs="Times New Roman"/>
          <w:b/>
          <w:bCs/>
          <w:sz w:val="26"/>
          <w:szCs w:val="20"/>
          <w:lang w:eastAsia="hu-HU"/>
        </w:rPr>
        <w:t xml:space="preserve"> pénzügyi szervezetek befizetései</w:t>
      </w:r>
      <w:r w:rsidRPr="00E20C14">
        <w:rPr>
          <w:rFonts w:ascii="Times New Roman" w:eastAsia="Times New Roman" w:hAnsi="Times New Roman" w:cs="Times New Roman"/>
          <w:sz w:val="26"/>
          <w:szCs w:val="20"/>
          <w:lang w:eastAsia="hu-HU"/>
        </w:rPr>
        <w:t xml:space="preserve"> mérlegsoron a 2026. év első két hónapjában 2,1 milliárd forint teljesült, amely az előző év egyenlegétől 0,4 milliárd forinttal marad el. Ennek oka a pénzügyi szervezetek különadójához köthető magasabb pénzforgalmi kiutalás.</w:t>
      </w:r>
    </w:p>
    <w:p w14:paraId="58F2DFD3" w14:textId="77777777" w:rsidR="00E20C14" w:rsidRPr="00E20C14" w:rsidRDefault="00E20C14" w:rsidP="00F708B2">
      <w:pPr>
        <w:jc w:val="both"/>
        <w:rPr>
          <w:rFonts w:ascii="Times New Roman" w:eastAsia="Times New Roman" w:hAnsi="Times New Roman" w:cs="Times New Roman"/>
          <w:sz w:val="26"/>
          <w:szCs w:val="20"/>
          <w:lang w:eastAsia="hu-HU"/>
        </w:rPr>
      </w:pPr>
      <w:r w:rsidRPr="00E20C14">
        <w:rPr>
          <w:rFonts w:ascii="Times New Roman" w:eastAsia="Times New Roman" w:hAnsi="Times New Roman" w:cs="Times New Roman"/>
          <w:bCs/>
          <w:sz w:val="26"/>
          <w:szCs w:val="20"/>
          <w:lang w:eastAsia="hu-HU"/>
        </w:rPr>
        <w:t>A</w:t>
      </w:r>
      <w:r w:rsidRPr="00E20C14">
        <w:rPr>
          <w:rFonts w:ascii="Times New Roman" w:eastAsia="Times New Roman" w:hAnsi="Times New Roman" w:cs="Times New Roman"/>
          <w:b/>
          <w:bCs/>
          <w:sz w:val="26"/>
          <w:szCs w:val="20"/>
          <w:lang w:eastAsia="hu-HU"/>
        </w:rPr>
        <w:t xml:space="preserve"> kisadózók tételes adójából</w:t>
      </w:r>
      <w:r w:rsidRPr="00E20C14">
        <w:rPr>
          <w:rFonts w:ascii="Times New Roman" w:eastAsia="Times New Roman" w:hAnsi="Times New Roman" w:cs="Times New Roman"/>
          <w:sz w:val="26"/>
          <w:szCs w:val="20"/>
          <w:lang w:eastAsia="hu-HU"/>
        </w:rPr>
        <w:t xml:space="preserve"> 2026. első két hónapjában a költségvetésnek 12,4 milliárd forint bevétele keletkezett, amely 0,8 milliárd forinttal több az egy évvel korábbinál. Ennek oka az adónemet választók magasabb létszáma.</w:t>
      </w:r>
    </w:p>
    <w:p w14:paraId="0596309D" w14:textId="7CCBD11B" w:rsidR="00C33C0A" w:rsidRPr="00C33C0A" w:rsidRDefault="00E20C14" w:rsidP="00F708B2">
      <w:pPr>
        <w:jc w:val="both"/>
        <w:rPr>
          <w:rFonts w:ascii="Times New Roman" w:eastAsia="Times New Roman" w:hAnsi="Times New Roman" w:cs="Times New Roman"/>
          <w:sz w:val="26"/>
          <w:szCs w:val="26"/>
          <w:lang w:eastAsia="hu-HU"/>
        </w:rPr>
      </w:pPr>
      <w:r w:rsidRPr="00E20C14">
        <w:rPr>
          <w:rFonts w:ascii="Times New Roman" w:eastAsia="Times New Roman" w:hAnsi="Times New Roman" w:cs="Times New Roman"/>
          <w:bCs/>
          <w:sz w:val="26"/>
          <w:szCs w:val="20"/>
          <w:lang w:eastAsia="hu-HU"/>
        </w:rPr>
        <w:t>A</w:t>
      </w:r>
      <w:r w:rsidRPr="00E20C14">
        <w:rPr>
          <w:rFonts w:ascii="Times New Roman" w:eastAsia="Times New Roman" w:hAnsi="Times New Roman" w:cs="Times New Roman"/>
          <w:b/>
          <w:bCs/>
          <w:sz w:val="26"/>
          <w:szCs w:val="20"/>
          <w:lang w:eastAsia="hu-HU"/>
        </w:rPr>
        <w:t xml:space="preserve"> kisvállalati adóból</w:t>
      </w:r>
      <w:r w:rsidRPr="00E20C14">
        <w:rPr>
          <w:rFonts w:ascii="Times New Roman" w:eastAsia="Times New Roman" w:hAnsi="Times New Roman" w:cs="Times New Roman"/>
          <w:sz w:val="26"/>
          <w:szCs w:val="20"/>
          <w:lang w:eastAsia="hu-HU"/>
        </w:rPr>
        <w:t xml:space="preserve"> származó bevétel a 2026. év első két hónapjában 48,0 milliárd forint volt, amely 5,8 milliárd forinttal magasabb az előző év egyenlegénél. Ennek oka az adóalanyok számának jelentős mértékű bővülése. 2026 februárjában a KIVA alanyok száma 105,9 ezer</w:t>
      </w:r>
      <w:r w:rsidR="00793C75">
        <w:rPr>
          <w:rFonts w:ascii="Times New Roman" w:eastAsia="Times New Roman" w:hAnsi="Times New Roman" w:cs="Times New Roman"/>
          <w:sz w:val="26"/>
          <w:szCs w:val="20"/>
          <w:lang w:eastAsia="hu-HU"/>
        </w:rPr>
        <w:t xml:space="preserve"> volt</w:t>
      </w:r>
      <w:r w:rsidRPr="00E20C14">
        <w:rPr>
          <w:rFonts w:ascii="Times New Roman" w:eastAsia="Times New Roman" w:hAnsi="Times New Roman" w:cs="Times New Roman"/>
          <w:sz w:val="26"/>
          <w:szCs w:val="20"/>
          <w:lang w:eastAsia="hu-HU"/>
        </w:rPr>
        <w:t>.</w:t>
      </w:r>
    </w:p>
    <w:p w14:paraId="092B7669" w14:textId="1FCECCC8" w:rsidR="008E34AF" w:rsidRPr="00452639" w:rsidRDefault="4600C643" w:rsidP="00F708B2">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 xml:space="preserve">A </w:t>
      </w:r>
      <w:r w:rsidRPr="4600C643">
        <w:rPr>
          <w:rFonts w:ascii="Times New Roman" w:eastAsia="Times New Roman" w:hAnsi="Times New Roman" w:cs="Times New Roman"/>
          <w:b/>
          <w:bCs/>
          <w:sz w:val="26"/>
          <w:szCs w:val="26"/>
        </w:rPr>
        <w:t>bányajáradék-bevétel</w:t>
      </w:r>
      <w:r w:rsidRPr="4600C643">
        <w:rPr>
          <w:rFonts w:ascii="Times New Roman" w:eastAsia="Times New Roman" w:hAnsi="Times New Roman" w:cs="Times New Roman"/>
          <w:sz w:val="26"/>
          <w:szCs w:val="26"/>
        </w:rPr>
        <w:t xml:space="preserve"> 2026 első két hónapjában 11,6 milliárd forint volt, amely 11,5 milliárd forinttal teljesült alacsonyabban az előző év azonos időszakához képest, amelynek fő oka a bányajáradék számításához kapcsolódó makroparaméterek (olajár, gázár, árfolyamok) alakulásának együttes eredője.</w:t>
      </w:r>
    </w:p>
    <w:p w14:paraId="70445E7D" w14:textId="77777777" w:rsidR="004A6F31" w:rsidRDefault="004A6F31" w:rsidP="00F708B2">
      <w:pPr>
        <w:jc w:val="both"/>
        <w:rPr>
          <w:rFonts w:ascii="Times New Roman" w:eastAsia="Times New Roman" w:hAnsi="Times New Roman" w:cs="Times New Roman"/>
          <w:sz w:val="26"/>
          <w:szCs w:val="26"/>
        </w:rPr>
      </w:pPr>
    </w:p>
    <w:p w14:paraId="5322C39E" w14:textId="7C4EA607" w:rsidR="72AFD5C4" w:rsidRPr="00452639" w:rsidRDefault="4600C643" w:rsidP="00F708B2">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lastRenderedPageBreak/>
        <w:t xml:space="preserve">Az </w:t>
      </w:r>
      <w:r w:rsidRPr="4600C643">
        <w:rPr>
          <w:rFonts w:ascii="Times New Roman" w:eastAsia="Times New Roman" w:hAnsi="Times New Roman" w:cs="Times New Roman"/>
          <w:b/>
          <w:bCs/>
          <w:sz w:val="26"/>
          <w:szCs w:val="26"/>
        </w:rPr>
        <w:t>útdíjakból származó bevétel</w:t>
      </w:r>
      <w:r w:rsidRPr="4600C643">
        <w:rPr>
          <w:rFonts w:ascii="Times New Roman" w:eastAsia="Times New Roman" w:hAnsi="Times New Roman" w:cs="Times New Roman"/>
          <w:sz w:val="26"/>
          <w:szCs w:val="26"/>
        </w:rPr>
        <w:t xml:space="preserve"> 2024-től külön mérlegsoron jelenik meg, mely az elektronikus útdíj rendszer és az időalapú útdíj rendszer bevételeinek együttes összegét tartalmazza. Az útdíjakból 2026 első két hónapjában 116,6 milliárd forint költségvetési bevétel teljesült ezen a mérlegsoron, amely 5,0 milliárd forinttal magasabb az előző év azonos időszakához viszonyítva.</w:t>
      </w:r>
    </w:p>
    <w:p w14:paraId="685BE235" w14:textId="120EA8E8" w:rsidR="008A66DB" w:rsidRPr="00671F24" w:rsidRDefault="4600C643" w:rsidP="00F708B2">
      <w:pPr>
        <w:jc w:val="both"/>
        <w:rPr>
          <w:rFonts w:ascii="Times New Roman" w:eastAsia="Times New Roman" w:hAnsi="Times New Roman" w:cs="Times New Roman"/>
          <w:sz w:val="26"/>
          <w:szCs w:val="26"/>
        </w:rPr>
      </w:pPr>
      <w:r w:rsidRPr="4600C643">
        <w:rPr>
          <w:rFonts w:ascii="Times New Roman" w:eastAsia="Times New Roman" w:hAnsi="Times New Roman" w:cs="Times New Roman"/>
          <w:b/>
          <w:bCs/>
          <w:sz w:val="26"/>
          <w:szCs w:val="26"/>
        </w:rPr>
        <w:t xml:space="preserve">Egyéb központosított bevételekből </w:t>
      </w:r>
      <w:r w:rsidRPr="4600C643">
        <w:rPr>
          <w:rFonts w:ascii="Times New Roman" w:eastAsia="Times New Roman" w:hAnsi="Times New Roman" w:cs="Times New Roman"/>
          <w:sz w:val="26"/>
          <w:szCs w:val="26"/>
        </w:rPr>
        <w:t xml:space="preserve">február végéig 41,7 milliárd forint bevétel teljesült, amely a törvényi előirányzat 22,9%-ának felel meg. Ezen belül kiemelhető </w:t>
      </w:r>
      <w:r w:rsidRPr="00C83323">
        <w:rPr>
          <w:rFonts w:ascii="Times New Roman" w:eastAsia="Times New Roman" w:hAnsi="Times New Roman" w:cs="Times New Roman"/>
          <w:sz w:val="26"/>
          <w:szCs w:val="26"/>
        </w:rPr>
        <w:t>a bírságbevételekből befolyt 14,1 milliárd forint.</w:t>
      </w:r>
    </w:p>
    <w:p w14:paraId="6C54325A" w14:textId="785D1FDF" w:rsidR="00E20C14" w:rsidRPr="00E20C14" w:rsidRDefault="00E20C14" w:rsidP="00F708B2">
      <w:pPr>
        <w:jc w:val="both"/>
        <w:rPr>
          <w:rFonts w:ascii="Times New Roman" w:eastAsia="Times New Roman" w:hAnsi="Times New Roman" w:cs="Times New Roman"/>
          <w:b/>
          <w:sz w:val="26"/>
          <w:szCs w:val="20"/>
          <w:highlight w:val="yellow"/>
          <w:lang w:eastAsia="hu-HU"/>
        </w:rPr>
      </w:pPr>
      <w:r w:rsidRPr="00E20C14">
        <w:rPr>
          <w:rFonts w:ascii="Times New Roman" w:eastAsia="Times New Roman" w:hAnsi="Times New Roman" w:cs="Times New Roman"/>
          <w:sz w:val="26"/>
          <w:szCs w:val="20"/>
          <w:lang w:eastAsia="hu-HU"/>
        </w:rPr>
        <w:t>Az</w:t>
      </w:r>
      <w:r w:rsidRPr="00E20C14">
        <w:rPr>
          <w:rFonts w:ascii="Times New Roman" w:eastAsia="Times New Roman" w:hAnsi="Times New Roman" w:cs="Times New Roman"/>
          <w:b/>
          <w:sz w:val="26"/>
          <w:szCs w:val="20"/>
          <w:lang w:eastAsia="hu-HU"/>
        </w:rPr>
        <w:t xml:space="preserve"> energia ágazat befizetései </w:t>
      </w:r>
      <w:r w:rsidRPr="00E20C14">
        <w:rPr>
          <w:rFonts w:ascii="Times New Roman" w:eastAsia="Times New Roman" w:hAnsi="Times New Roman" w:cs="Times New Roman"/>
          <w:sz w:val="26"/>
          <w:szCs w:val="20"/>
          <w:lang w:eastAsia="hu-HU"/>
        </w:rPr>
        <w:t xml:space="preserve">jogcímen </w:t>
      </w:r>
      <w:r w:rsidR="004A6F31">
        <w:rPr>
          <w:rFonts w:ascii="Times New Roman" w:eastAsia="Times New Roman" w:hAnsi="Times New Roman" w:cs="Times New Roman"/>
          <w:sz w:val="26"/>
          <w:szCs w:val="20"/>
          <w:lang w:eastAsia="hu-HU"/>
        </w:rPr>
        <w:t xml:space="preserve">a </w:t>
      </w:r>
      <w:r w:rsidRPr="00E20C14">
        <w:rPr>
          <w:rFonts w:ascii="Times New Roman" w:eastAsia="Times New Roman" w:hAnsi="Times New Roman" w:cs="Times New Roman"/>
          <w:sz w:val="26"/>
          <w:szCs w:val="20"/>
          <w:lang w:eastAsia="hu-HU"/>
        </w:rPr>
        <w:t>2026. év első két hónapjában 21,9 milliárd forint pénzforgalom teljesült, amely az előző év egyenlegétől 9,0 milliárd forinttal maradt el. A bázisévhez viszonyított eltérés az adókulcs csökkenéséhez és az Ural-</w:t>
      </w:r>
      <w:proofErr w:type="spellStart"/>
      <w:r w:rsidRPr="00E20C14">
        <w:rPr>
          <w:rFonts w:ascii="Times New Roman" w:eastAsia="Times New Roman" w:hAnsi="Times New Roman" w:cs="Times New Roman"/>
          <w:sz w:val="26"/>
          <w:szCs w:val="20"/>
          <w:lang w:eastAsia="hu-HU"/>
        </w:rPr>
        <w:t>Brent</w:t>
      </w:r>
      <w:proofErr w:type="spellEnd"/>
      <w:r w:rsidRPr="00E20C14">
        <w:rPr>
          <w:rFonts w:ascii="Times New Roman" w:eastAsia="Times New Roman" w:hAnsi="Times New Roman" w:cs="Times New Roman"/>
          <w:sz w:val="26"/>
          <w:szCs w:val="20"/>
          <w:lang w:eastAsia="hu-HU"/>
        </w:rPr>
        <w:t xml:space="preserve"> </w:t>
      </w:r>
      <w:proofErr w:type="spellStart"/>
      <w:r w:rsidRPr="00E20C14">
        <w:rPr>
          <w:rFonts w:ascii="Times New Roman" w:eastAsia="Times New Roman" w:hAnsi="Times New Roman" w:cs="Times New Roman"/>
          <w:sz w:val="26"/>
          <w:szCs w:val="20"/>
          <w:lang w:eastAsia="hu-HU"/>
        </w:rPr>
        <w:t>spread</w:t>
      </w:r>
      <w:proofErr w:type="spellEnd"/>
      <w:r w:rsidRPr="00E20C14">
        <w:rPr>
          <w:rFonts w:ascii="Times New Roman" w:eastAsia="Times New Roman" w:hAnsi="Times New Roman" w:cs="Times New Roman"/>
          <w:sz w:val="26"/>
          <w:szCs w:val="20"/>
          <w:lang w:eastAsia="hu-HU"/>
        </w:rPr>
        <w:t xml:space="preserve"> különadó bevételeinek elmaradásához köthető. </w:t>
      </w:r>
    </w:p>
    <w:p w14:paraId="751C8DF2" w14:textId="4138E147" w:rsidR="00E20C14" w:rsidRPr="00E20C14" w:rsidRDefault="00E20C14" w:rsidP="00F708B2">
      <w:pPr>
        <w:jc w:val="both"/>
        <w:rPr>
          <w:rFonts w:ascii="Times New Roman" w:eastAsia="Times New Roman" w:hAnsi="Times New Roman" w:cs="Times New Roman"/>
          <w:sz w:val="26"/>
          <w:szCs w:val="20"/>
          <w:lang w:eastAsia="hu-HU"/>
        </w:rPr>
      </w:pPr>
      <w:r w:rsidRPr="00E20C14">
        <w:rPr>
          <w:rFonts w:ascii="Times New Roman" w:eastAsia="Times New Roman" w:hAnsi="Times New Roman" w:cs="Times New Roman"/>
          <w:b/>
          <w:sz w:val="26"/>
          <w:szCs w:val="20"/>
          <w:lang w:eastAsia="hu-HU"/>
        </w:rPr>
        <w:t>K</w:t>
      </w:r>
      <w:r w:rsidRPr="00E20C14">
        <w:rPr>
          <w:rFonts w:ascii="Times New Roman" w:eastAsia="Times New Roman" w:hAnsi="Times New Roman" w:cs="Times New Roman"/>
          <w:b/>
          <w:bCs/>
          <w:sz w:val="26"/>
          <w:szCs w:val="20"/>
          <w:lang w:eastAsia="hu-HU"/>
        </w:rPr>
        <w:t xml:space="preserve">iskereskedelmi adó </w:t>
      </w:r>
      <w:r w:rsidRPr="00E20C14">
        <w:rPr>
          <w:rFonts w:ascii="Times New Roman" w:eastAsia="Times New Roman" w:hAnsi="Times New Roman" w:cs="Times New Roman"/>
          <w:sz w:val="26"/>
          <w:szCs w:val="20"/>
          <w:lang w:eastAsia="hu-HU"/>
        </w:rPr>
        <w:t xml:space="preserve">jogcímen </w:t>
      </w:r>
      <w:r w:rsidR="004A6F31">
        <w:rPr>
          <w:rFonts w:ascii="Times New Roman" w:eastAsia="Times New Roman" w:hAnsi="Times New Roman" w:cs="Times New Roman"/>
          <w:sz w:val="26"/>
          <w:szCs w:val="20"/>
          <w:lang w:eastAsia="hu-HU"/>
        </w:rPr>
        <w:t xml:space="preserve">a </w:t>
      </w:r>
      <w:r w:rsidRPr="00E20C14">
        <w:rPr>
          <w:rFonts w:ascii="Times New Roman" w:eastAsia="Times New Roman" w:hAnsi="Times New Roman" w:cs="Times New Roman"/>
          <w:sz w:val="26"/>
          <w:szCs w:val="20"/>
          <w:lang w:eastAsia="hu-HU"/>
        </w:rPr>
        <w:t>2026. év első két hónapjában 0,1 milliárd forint bevétel teljesült, amely a 2025. évi egyenlegénél 3,4 milliárd forinttal alacsonyabb. A bevételek alakulásának hátterében az elszámolásokhoz és önellenőrzésekhez köthető befizetések állnak.</w:t>
      </w:r>
    </w:p>
    <w:p w14:paraId="637E6271" w14:textId="7A4CBCEB" w:rsidR="00E20C14" w:rsidRPr="00E20C14" w:rsidRDefault="00E20C14" w:rsidP="00F708B2">
      <w:pPr>
        <w:widowControl w:val="0"/>
        <w:jc w:val="both"/>
        <w:rPr>
          <w:rFonts w:ascii="Times New Roman" w:eastAsia="Times New Roman" w:hAnsi="Times New Roman" w:cs="Times New Roman"/>
          <w:sz w:val="26"/>
          <w:szCs w:val="20"/>
          <w:highlight w:val="yellow"/>
          <w:lang w:eastAsia="hu-HU"/>
        </w:rPr>
      </w:pPr>
      <w:r w:rsidRPr="00E20C14">
        <w:rPr>
          <w:rFonts w:ascii="Times New Roman" w:eastAsia="Times New Roman" w:hAnsi="Times New Roman" w:cs="Times New Roman"/>
          <w:sz w:val="26"/>
          <w:szCs w:val="20"/>
          <w:lang w:eastAsia="hu-HU"/>
        </w:rPr>
        <w:t xml:space="preserve">A </w:t>
      </w:r>
      <w:r w:rsidRPr="00E20C14">
        <w:rPr>
          <w:rFonts w:ascii="Times New Roman" w:eastAsia="Times New Roman" w:hAnsi="Times New Roman" w:cs="Times New Roman"/>
          <w:b/>
          <w:bCs/>
          <w:sz w:val="26"/>
          <w:szCs w:val="20"/>
          <w:lang w:eastAsia="hu-HU"/>
        </w:rPr>
        <w:t xml:space="preserve">rehabilitációs hozzájárulásból </w:t>
      </w:r>
      <w:r w:rsidRPr="00E20C14">
        <w:rPr>
          <w:rFonts w:ascii="Times New Roman" w:eastAsia="Times New Roman" w:hAnsi="Times New Roman" w:cs="Times New Roman"/>
          <w:bCs/>
          <w:sz w:val="26"/>
          <w:szCs w:val="20"/>
          <w:lang w:eastAsia="hu-HU"/>
        </w:rPr>
        <w:t xml:space="preserve">származó bevétel 2026 első két hónapjában </w:t>
      </w:r>
      <w:r w:rsidRPr="00E20C14">
        <w:rPr>
          <w:rFonts w:ascii="Times New Roman" w:eastAsia="Times New Roman" w:hAnsi="Times New Roman" w:cs="Times New Roman"/>
          <w:sz w:val="26"/>
          <w:szCs w:val="20"/>
          <w:lang w:eastAsia="hu-HU"/>
        </w:rPr>
        <w:t>43,9 milliárd forint volt, amely 1,5 milliárd forinttal magasabb az egy évvel korábbi összegnél. Ennek oka a minimálbérnek, így az adó mértékének az emelkedése, valamint az éves elszámoláshoz köthető magas bázisidőszaki befizetések.</w:t>
      </w:r>
    </w:p>
    <w:p w14:paraId="029367B0" w14:textId="77777777" w:rsidR="00E20C14" w:rsidRDefault="00E20C14" w:rsidP="00F708B2">
      <w:pPr>
        <w:widowControl w:val="0"/>
        <w:tabs>
          <w:tab w:val="left" w:pos="3105"/>
        </w:tabs>
        <w:jc w:val="both"/>
        <w:rPr>
          <w:rFonts w:ascii="Times New Roman" w:eastAsia="Times New Roman" w:hAnsi="Times New Roman" w:cs="Times New Roman"/>
          <w:sz w:val="26"/>
          <w:szCs w:val="20"/>
          <w:lang w:eastAsia="hu-HU"/>
        </w:rPr>
      </w:pPr>
      <w:r w:rsidRPr="00E20C14">
        <w:rPr>
          <w:rFonts w:ascii="Times New Roman" w:eastAsia="Times New Roman" w:hAnsi="Times New Roman" w:cs="Times New Roman"/>
          <w:sz w:val="26"/>
          <w:szCs w:val="20"/>
          <w:lang w:eastAsia="hu-HU"/>
        </w:rPr>
        <w:t>Az év első két hónapjában az</w:t>
      </w:r>
      <w:r w:rsidRPr="00E20C14">
        <w:rPr>
          <w:rFonts w:ascii="Times New Roman" w:eastAsia="Times New Roman" w:hAnsi="Times New Roman" w:cs="Times New Roman"/>
          <w:b/>
          <w:bCs/>
          <w:sz w:val="26"/>
          <w:szCs w:val="20"/>
          <w:lang w:eastAsia="hu-HU"/>
        </w:rPr>
        <w:t xml:space="preserve"> általános forgalmi adóból</w:t>
      </w:r>
      <w:r w:rsidRPr="00E20C14">
        <w:rPr>
          <w:rFonts w:ascii="Times New Roman" w:eastAsia="Times New Roman" w:hAnsi="Times New Roman" w:cs="Times New Roman"/>
          <w:sz w:val="26"/>
          <w:szCs w:val="20"/>
          <w:lang w:eastAsia="hu-HU"/>
        </w:rPr>
        <w:t xml:space="preserve"> 1290,7</w:t>
      </w:r>
      <w:r w:rsidRPr="00E20C14">
        <w:rPr>
          <w:rFonts w:ascii="Times New Roman" w:eastAsia="Times New Roman" w:hAnsi="Times New Roman" w:cs="Times New Roman"/>
          <w:color w:val="000000"/>
          <w:sz w:val="26"/>
          <w:szCs w:val="20"/>
          <w:lang w:eastAsia="hu-HU"/>
        </w:rPr>
        <w:t> </w:t>
      </w:r>
      <w:r w:rsidRPr="00E20C14">
        <w:rPr>
          <w:rFonts w:ascii="Times New Roman" w:eastAsia="Times New Roman" w:hAnsi="Times New Roman" w:cs="Times New Roman"/>
          <w:sz w:val="26"/>
          <w:szCs w:val="20"/>
          <w:lang w:eastAsia="hu-HU"/>
        </w:rPr>
        <w:t>milliárd forint bevétele keletkezett a költségvetésnek, ami az egy évvel korábbi bevételt 42,9</w:t>
      </w:r>
      <w:r w:rsidRPr="00E20C14">
        <w:rPr>
          <w:rFonts w:ascii="Times New Roman" w:eastAsia="Times New Roman" w:hAnsi="Times New Roman" w:cs="Times New Roman"/>
          <w:color w:val="000000"/>
          <w:sz w:val="26"/>
          <w:szCs w:val="20"/>
          <w:lang w:eastAsia="hu-HU"/>
        </w:rPr>
        <w:t> </w:t>
      </w:r>
      <w:r w:rsidRPr="00E20C14">
        <w:rPr>
          <w:rFonts w:ascii="Times New Roman" w:eastAsia="Times New Roman" w:hAnsi="Times New Roman" w:cs="Times New Roman"/>
          <w:sz w:val="26"/>
          <w:szCs w:val="20"/>
          <w:lang w:eastAsia="hu-HU"/>
        </w:rPr>
        <w:t>milliárd forinttal haladja meg.</w:t>
      </w:r>
    </w:p>
    <w:tbl>
      <w:tblPr>
        <w:tblW w:w="6905" w:type="dxa"/>
        <w:jc w:val="center"/>
        <w:tblCellMar>
          <w:left w:w="70" w:type="dxa"/>
          <w:right w:w="70" w:type="dxa"/>
        </w:tblCellMar>
        <w:tblLook w:val="04A0" w:firstRow="1" w:lastRow="0" w:firstColumn="1" w:lastColumn="0" w:noHBand="0" w:noVBand="1"/>
      </w:tblPr>
      <w:tblGrid>
        <w:gridCol w:w="1537"/>
        <w:gridCol w:w="1724"/>
        <w:gridCol w:w="1700"/>
        <w:gridCol w:w="993"/>
        <w:gridCol w:w="951"/>
      </w:tblGrid>
      <w:tr w:rsidR="00BF54DD" w:rsidRPr="00C33C0A" w14:paraId="123D20EE" w14:textId="77777777" w:rsidTr="001024CD">
        <w:trPr>
          <w:trHeight w:val="255"/>
          <w:jc w:val="center"/>
        </w:trPr>
        <w:tc>
          <w:tcPr>
            <w:tcW w:w="6905" w:type="dxa"/>
            <w:gridSpan w:val="5"/>
            <w:tcBorders>
              <w:top w:val="nil"/>
              <w:left w:val="nil"/>
              <w:bottom w:val="nil"/>
              <w:right w:val="nil"/>
            </w:tcBorders>
            <w:noWrap/>
            <w:vAlign w:val="bottom"/>
            <w:hideMark/>
          </w:tcPr>
          <w:p w14:paraId="2C88AC0C" w14:textId="77777777" w:rsidR="00BF54DD" w:rsidRPr="00C33C0A" w:rsidRDefault="00BF54DD" w:rsidP="001024CD">
            <w:pPr>
              <w:widowControl w:val="0"/>
              <w:spacing w:before="120" w:after="12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 xml:space="preserve">Általános forgalmi adó bevétel alakulása (milliárd forint) </w:t>
            </w:r>
          </w:p>
        </w:tc>
      </w:tr>
      <w:tr w:rsidR="00BF54DD" w:rsidRPr="00C33C0A" w14:paraId="02438D1B" w14:textId="77777777" w:rsidTr="00BA6020">
        <w:trPr>
          <w:trHeight w:val="340"/>
          <w:jc w:val="center"/>
        </w:trPr>
        <w:tc>
          <w:tcPr>
            <w:tcW w:w="153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4E24F266" w14:textId="77777777" w:rsidR="00BF54DD" w:rsidRPr="00C33C0A" w:rsidRDefault="00BF54DD" w:rsidP="001024CD">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Megnevezés</w:t>
            </w:r>
          </w:p>
        </w:tc>
        <w:tc>
          <w:tcPr>
            <w:tcW w:w="172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A7405C6" w14:textId="77777777" w:rsidR="00BF54DD" w:rsidRPr="00C33C0A" w:rsidRDefault="00BF54DD" w:rsidP="001024CD">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 xml:space="preserve">2025. </w:t>
            </w:r>
          </w:p>
          <w:p w14:paraId="500E6B26" w14:textId="105112DC" w:rsidR="00BF54DD" w:rsidRPr="00C33C0A" w:rsidRDefault="00BF54DD" w:rsidP="001024CD">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I</w:t>
            </w:r>
            <w:r>
              <w:rPr>
                <w:rFonts w:ascii="Times New Roman" w:eastAsia="Times New Roman" w:hAnsi="Times New Roman" w:cs="Times New Roman"/>
                <w:b/>
                <w:bCs/>
                <w:szCs w:val="20"/>
                <w:lang w:eastAsia="hu-HU"/>
              </w:rPr>
              <w:t>-II</w:t>
            </w:r>
            <w:r w:rsidRPr="00C33C0A">
              <w:rPr>
                <w:rFonts w:ascii="Times New Roman" w:eastAsia="Times New Roman" w:hAnsi="Times New Roman" w:cs="Times New Roman"/>
                <w:b/>
                <w:bCs/>
                <w:szCs w:val="20"/>
                <w:lang w:eastAsia="hu-HU"/>
              </w:rPr>
              <w:t>. hó</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4317223" w14:textId="77777777" w:rsidR="00BF54DD" w:rsidRPr="00C33C0A" w:rsidRDefault="00BF54DD" w:rsidP="001024CD">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 xml:space="preserve">2026. </w:t>
            </w:r>
          </w:p>
          <w:p w14:paraId="07F480AF" w14:textId="057CC7E9" w:rsidR="00BF54DD" w:rsidRPr="00C33C0A" w:rsidRDefault="00BF54DD" w:rsidP="001024CD">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I</w:t>
            </w:r>
            <w:r>
              <w:rPr>
                <w:rFonts w:ascii="Times New Roman" w:eastAsia="Times New Roman" w:hAnsi="Times New Roman" w:cs="Times New Roman"/>
                <w:b/>
                <w:bCs/>
                <w:szCs w:val="20"/>
                <w:lang w:eastAsia="hu-HU"/>
              </w:rPr>
              <w:t>-II</w:t>
            </w:r>
            <w:r w:rsidRPr="00C33C0A">
              <w:rPr>
                <w:rFonts w:ascii="Times New Roman" w:eastAsia="Times New Roman" w:hAnsi="Times New Roman" w:cs="Times New Roman"/>
                <w:b/>
                <w:bCs/>
                <w:szCs w:val="20"/>
                <w:lang w:eastAsia="hu-HU"/>
              </w:rPr>
              <w:t>. hó</w:t>
            </w:r>
          </w:p>
        </w:tc>
        <w:tc>
          <w:tcPr>
            <w:tcW w:w="1944"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49F9767E" w14:textId="77777777" w:rsidR="00BF54DD" w:rsidRPr="00C33C0A" w:rsidRDefault="00BF54DD" w:rsidP="001024CD">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Eltérés</w:t>
            </w:r>
          </w:p>
        </w:tc>
      </w:tr>
      <w:tr w:rsidR="00BF54DD" w:rsidRPr="00C33C0A" w14:paraId="6914D43C" w14:textId="77777777" w:rsidTr="00BA6020">
        <w:trPr>
          <w:trHeight w:val="340"/>
          <w:jc w:val="center"/>
        </w:trPr>
        <w:tc>
          <w:tcPr>
            <w:tcW w:w="1537"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488E34D" w14:textId="77777777" w:rsidR="00BF54DD" w:rsidRPr="00C33C0A" w:rsidRDefault="00BF54DD" w:rsidP="001024CD">
            <w:pPr>
              <w:spacing w:after="0" w:line="240" w:lineRule="auto"/>
              <w:jc w:val="both"/>
              <w:rPr>
                <w:rFonts w:ascii="Times New Roman" w:eastAsia="Times New Roman" w:hAnsi="Times New Roman" w:cs="Times New Roman"/>
                <w:b/>
                <w:bCs/>
                <w:szCs w:val="20"/>
                <w:lang w:eastAsia="hu-HU"/>
              </w:rPr>
            </w:pPr>
          </w:p>
        </w:tc>
        <w:tc>
          <w:tcPr>
            <w:tcW w:w="1724"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284FE68" w14:textId="77777777" w:rsidR="00BF54DD" w:rsidRPr="00C33C0A" w:rsidRDefault="00BF54DD" w:rsidP="001024CD">
            <w:pPr>
              <w:spacing w:after="0" w:line="240" w:lineRule="auto"/>
              <w:jc w:val="both"/>
              <w:rPr>
                <w:rFonts w:ascii="Times New Roman" w:eastAsia="Times New Roman" w:hAnsi="Times New Roman" w:cs="Times New Roman"/>
                <w:b/>
                <w:bCs/>
                <w:szCs w:val="20"/>
                <w:lang w:eastAsia="hu-HU"/>
              </w:rPr>
            </w:pPr>
          </w:p>
        </w:tc>
        <w:tc>
          <w:tcPr>
            <w:tcW w:w="1700"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320A8E3" w14:textId="77777777" w:rsidR="00BF54DD" w:rsidRPr="00C33C0A" w:rsidRDefault="00BF54DD" w:rsidP="001024CD">
            <w:pPr>
              <w:spacing w:after="0" w:line="240" w:lineRule="auto"/>
              <w:jc w:val="both"/>
              <w:rPr>
                <w:rFonts w:ascii="Times New Roman" w:eastAsia="Times New Roman" w:hAnsi="Times New Roman" w:cs="Times New Roman"/>
                <w:b/>
                <w:bCs/>
                <w:szCs w:val="20"/>
                <w:lang w:eastAsia="hu-HU"/>
              </w:rPr>
            </w:pPr>
          </w:p>
        </w:tc>
        <w:tc>
          <w:tcPr>
            <w:tcW w:w="993"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16FBBC6C" w14:textId="77777777" w:rsidR="00BF54DD" w:rsidRPr="00C33C0A" w:rsidRDefault="00BF54DD" w:rsidP="001024CD">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Mrd Ft</w:t>
            </w:r>
          </w:p>
        </w:tc>
        <w:tc>
          <w:tcPr>
            <w:tcW w:w="951"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5278384D" w14:textId="77777777" w:rsidR="00BF54DD" w:rsidRPr="00C33C0A" w:rsidRDefault="00BF54DD" w:rsidP="001024CD">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w:t>
            </w:r>
          </w:p>
        </w:tc>
      </w:tr>
      <w:tr w:rsidR="00BF54DD" w:rsidRPr="00C33C0A" w14:paraId="56EF11E9" w14:textId="77777777" w:rsidTr="001024CD">
        <w:trPr>
          <w:trHeight w:val="340"/>
          <w:jc w:val="center"/>
        </w:trPr>
        <w:tc>
          <w:tcPr>
            <w:tcW w:w="1537" w:type="dxa"/>
            <w:tcBorders>
              <w:top w:val="single" w:sz="4" w:space="0" w:color="auto"/>
              <w:left w:val="single" w:sz="4" w:space="0" w:color="auto"/>
              <w:bottom w:val="single" w:sz="4" w:space="0" w:color="auto"/>
              <w:right w:val="single" w:sz="4" w:space="0" w:color="auto"/>
            </w:tcBorders>
            <w:noWrap/>
            <w:vAlign w:val="center"/>
            <w:hideMark/>
          </w:tcPr>
          <w:p w14:paraId="5F1F0213" w14:textId="77777777" w:rsidR="00BF54DD" w:rsidRPr="00C33C0A" w:rsidRDefault="00BF54DD" w:rsidP="00BF54DD">
            <w:pPr>
              <w:spacing w:after="0" w:line="240" w:lineRule="auto"/>
              <w:jc w:val="both"/>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Befizetés</w:t>
            </w:r>
          </w:p>
        </w:tc>
        <w:tc>
          <w:tcPr>
            <w:tcW w:w="1724" w:type="dxa"/>
            <w:tcBorders>
              <w:top w:val="single" w:sz="4" w:space="0" w:color="auto"/>
              <w:left w:val="single" w:sz="4" w:space="0" w:color="auto"/>
              <w:bottom w:val="single" w:sz="4" w:space="0" w:color="auto"/>
              <w:right w:val="single" w:sz="4" w:space="0" w:color="auto"/>
            </w:tcBorders>
            <w:noWrap/>
            <w:vAlign w:val="center"/>
          </w:tcPr>
          <w:p w14:paraId="439F6B8B" w14:textId="29E09F7C" w:rsidR="00BF54DD" w:rsidRPr="00C33C0A" w:rsidRDefault="00BF54DD" w:rsidP="00BF54DD">
            <w:pPr>
              <w:spacing w:after="0" w:line="240" w:lineRule="auto"/>
              <w:jc w:val="right"/>
              <w:rPr>
                <w:rFonts w:ascii="Times New Roman" w:eastAsia="Times New Roman" w:hAnsi="Times New Roman" w:cs="Times New Roman"/>
                <w:szCs w:val="20"/>
                <w:highlight w:val="yellow"/>
                <w:lang w:eastAsia="hu-HU"/>
              </w:rPr>
            </w:pPr>
            <w:r w:rsidRPr="00E20C14">
              <w:rPr>
                <w:rFonts w:ascii="Times New Roman" w:eastAsia="Times New Roman" w:hAnsi="Times New Roman" w:cs="Times New Roman"/>
                <w:color w:val="000000"/>
                <w:lang w:eastAsia="hu-HU"/>
              </w:rPr>
              <w:t>2270,3</w:t>
            </w:r>
          </w:p>
        </w:tc>
        <w:tc>
          <w:tcPr>
            <w:tcW w:w="1700" w:type="dxa"/>
            <w:tcBorders>
              <w:top w:val="single" w:sz="4" w:space="0" w:color="auto"/>
              <w:left w:val="single" w:sz="4" w:space="0" w:color="auto"/>
              <w:bottom w:val="single" w:sz="4" w:space="0" w:color="auto"/>
              <w:right w:val="single" w:sz="4" w:space="0" w:color="auto"/>
            </w:tcBorders>
            <w:noWrap/>
            <w:vAlign w:val="center"/>
          </w:tcPr>
          <w:p w14:paraId="55ED88C3" w14:textId="72891E5D" w:rsidR="00BF54DD" w:rsidRPr="00C33C0A" w:rsidRDefault="00BF54DD" w:rsidP="00BF54DD">
            <w:pPr>
              <w:spacing w:after="0" w:line="240" w:lineRule="auto"/>
              <w:jc w:val="right"/>
              <w:rPr>
                <w:rFonts w:ascii="Times New Roman" w:eastAsia="Times New Roman" w:hAnsi="Times New Roman" w:cs="Times New Roman"/>
                <w:szCs w:val="20"/>
                <w:highlight w:val="yellow"/>
                <w:lang w:eastAsia="hu-HU"/>
              </w:rPr>
            </w:pPr>
            <w:r w:rsidRPr="00E20C14">
              <w:rPr>
                <w:rFonts w:ascii="Times New Roman" w:eastAsia="Times New Roman" w:hAnsi="Times New Roman" w:cs="Times New Roman"/>
                <w:color w:val="000000"/>
                <w:lang w:eastAsia="hu-HU"/>
              </w:rPr>
              <w:t>2358,0</w:t>
            </w:r>
          </w:p>
        </w:tc>
        <w:tc>
          <w:tcPr>
            <w:tcW w:w="993" w:type="dxa"/>
            <w:tcBorders>
              <w:top w:val="single" w:sz="4" w:space="0" w:color="auto"/>
              <w:left w:val="single" w:sz="4" w:space="0" w:color="auto"/>
              <w:bottom w:val="single" w:sz="4" w:space="0" w:color="auto"/>
              <w:right w:val="single" w:sz="4" w:space="0" w:color="auto"/>
            </w:tcBorders>
            <w:noWrap/>
            <w:vAlign w:val="center"/>
          </w:tcPr>
          <w:p w14:paraId="14A495CE" w14:textId="7F58103D" w:rsidR="00BF54DD" w:rsidRPr="00C33C0A" w:rsidRDefault="00BF54DD" w:rsidP="00BF54DD">
            <w:pPr>
              <w:spacing w:after="0" w:line="240" w:lineRule="auto"/>
              <w:jc w:val="right"/>
              <w:rPr>
                <w:rFonts w:ascii="Times New Roman" w:eastAsia="Times New Roman" w:hAnsi="Times New Roman" w:cs="Times New Roman"/>
                <w:szCs w:val="20"/>
                <w:highlight w:val="yellow"/>
                <w:lang w:eastAsia="hu-HU"/>
              </w:rPr>
            </w:pPr>
            <w:r w:rsidRPr="00E20C14">
              <w:rPr>
                <w:rFonts w:ascii="Times New Roman" w:eastAsia="Times New Roman" w:hAnsi="Times New Roman" w:cs="Times New Roman"/>
                <w:color w:val="000000"/>
                <w:lang w:eastAsia="hu-HU"/>
              </w:rPr>
              <w:t>87,7</w:t>
            </w:r>
          </w:p>
        </w:tc>
        <w:tc>
          <w:tcPr>
            <w:tcW w:w="951" w:type="dxa"/>
            <w:tcBorders>
              <w:top w:val="single" w:sz="4" w:space="0" w:color="auto"/>
              <w:left w:val="single" w:sz="4" w:space="0" w:color="auto"/>
              <w:bottom w:val="single" w:sz="4" w:space="0" w:color="auto"/>
              <w:right w:val="single" w:sz="4" w:space="0" w:color="auto"/>
            </w:tcBorders>
            <w:noWrap/>
            <w:vAlign w:val="center"/>
          </w:tcPr>
          <w:p w14:paraId="0913C812" w14:textId="2AA08F0D" w:rsidR="00BF54DD" w:rsidRPr="00C33C0A" w:rsidRDefault="00BF54DD" w:rsidP="00BF54DD">
            <w:pPr>
              <w:spacing w:after="0" w:line="240" w:lineRule="auto"/>
              <w:jc w:val="right"/>
              <w:rPr>
                <w:rFonts w:ascii="Times New Roman" w:eastAsia="Times New Roman" w:hAnsi="Times New Roman" w:cs="Times New Roman"/>
                <w:szCs w:val="20"/>
                <w:highlight w:val="yellow"/>
                <w:lang w:eastAsia="hu-HU"/>
              </w:rPr>
            </w:pPr>
            <w:r w:rsidRPr="00E20C14">
              <w:rPr>
                <w:rFonts w:ascii="Times New Roman" w:eastAsia="Times New Roman" w:hAnsi="Times New Roman" w:cs="Times New Roman"/>
                <w:color w:val="000000"/>
                <w:lang w:eastAsia="hu-HU"/>
              </w:rPr>
              <w:t>103,9</w:t>
            </w:r>
          </w:p>
        </w:tc>
      </w:tr>
      <w:tr w:rsidR="00BF54DD" w:rsidRPr="00C33C0A" w14:paraId="5CD9AEAB" w14:textId="77777777" w:rsidTr="001024CD">
        <w:trPr>
          <w:trHeight w:val="340"/>
          <w:jc w:val="center"/>
        </w:trPr>
        <w:tc>
          <w:tcPr>
            <w:tcW w:w="1537" w:type="dxa"/>
            <w:tcBorders>
              <w:top w:val="single" w:sz="4" w:space="0" w:color="auto"/>
              <w:left w:val="single" w:sz="4" w:space="0" w:color="auto"/>
              <w:bottom w:val="single" w:sz="4" w:space="0" w:color="auto"/>
              <w:right w:val="single" w:sz="4" w:space="0" w:color="auto"/>
            </w:tcBorders>
            <w:noWrap/>
            <w:vAlign w:val="center"/>
            <w:hideMark/>
          </w:tcPr>
          <w:p w14:paraId="2C8EFA67" w14:textId="77777777" w:rsidR="00BF54DD" w:rsidRPr="00C33C0A" w:rsidRDefault="00BF54DD" w:rsidP="00BF54DD">
            <w:pPr>
              <w:spacing w:after="0" w:line="240" w:lineRule="auto"/>
              <w:jc w:val="both"/>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Kiutalás</w:t>
            </w:r>
          </w:p>
        </w:tc>
        <w:tc>
          <w:tcPr>
            <w:tcW w:w="1724" w:type="dxa"/>
            <w:tcBorders>
              <w:top w:val="single" w:sz="4" w:space="0" w:color="auto"/>
              <w:left w:val="single" w:sz="4" w:space="0" w:color="auto"/>
              <w:bottom w:val="single" w:sz="4" w:space="0" w:color="auto"/>
              <w:right w:val="single" w:sz="4" w:space="0" w:color="auto"/>
            </w:tcBorders>
            <w:noWrap/>
            <w:vAlign w:val="center"/>
          </w:tcPr>
          <w:p w14:paraId="04290455" w14:textId="4FCD7E44" w:rsidR="00BF54DD" w:rsidRPr="00C33C0A" w:rsidRDefault="00BF54DD" w:rsidP="00BF54DD">
            <w:pPr>
              <w:spacing w:after="0" w:line="240" w:lineRule="auto"/>
              <w:jc w:val="right"/>
              <w:rPr>
                <w:rFonts w:ascii="Times New Roman" w:eastAsia="Times New Roman" w:hAnsi="Times New Roman" w:cs="Times New Roman"/>
                <w:szCs w:val="20"/>
                <w:highlight w:val="yellow"/>
                <w:lang w:eastAsia="hu-HU"/>
              </w:rPr>
            </w:pPr>
            <w:r w:rsidRPr="00E20C14">
              <w:rPr>
                <w:rFonts w:ascii="Times New Roman" w:eastAsia="Times New Roman" w:hAnsi="Times New Roman" w:cs="Times New Roman"/>
                <w:color w:val="000000"/>
                <w:lang w:eastAsia="hu-HU"/>
              </w:rPr>
              <w:t>1022,5</w:t>
            </w:r>
          </w:p>
        </w:tc>
        <w:tc>
          <w:tcPr>
            <w:tcW w:w="1700" w:type="dxa"/>
            <w:tcBorders>
              <w:top w:val="single" w:sz="4" w:space="0" w:color="auto"/>
              <w:left w:val="single" w:sz="4" w:space="0" w:color="auto"/>
              <w:bottom w:val="single" w:sz="4" w:space="0" w:color="auto"/>
              <w:right w:val="single" w:sz="4" w:space="0" w:color="auto"/>
            </w:tcBorders>
            <w:noWrap/>
            <w:vAlign w:val="center"/>
          </w:tcPr>
          <w:p w14:paraId="3497EC39" w14:textId="3FCA259D" w:rsidR="00BF54DD" w:rsidRPr="00C33C0A" w:rsidRDefault="00BF54DD" w:rsidP="00BF54DD">
            <w:pPr>
              <w:spacing w:after="0" w:line="240" w:lineRule="auto"/>
              <w:jc w:val="right"/>
              <w:rPr>
                <w:rFonts w:ascii="Times New Roman" w:eastAsia="Times New Roman" w:hAnsi="Times New Roman" w:cs="Times New Roman"/>
                <w:szCs w:val="20"/>
                <w:highlight w:val="yellow"/>
                <w:lang w:eastAsia="hu-HU"/>
              </w:rPr>
            </w:pPr>
            <w:r w:rsidRPr="00E20C14">
              <w:rPr>
                <w:rFonts w:ascii="Times New Roman" w:eastAsia="Times New Roman" w:hAnsi="Times New Roman" w:cs="Times New Roman"/>
                <w:color w:val="000000"/>
                <w:lang w:eastAsia="hu-HU"/>
              </w:rPr>
              <w:t>1067,3</w:t>
            </w:r>
          </w:p>
        </w:tc>
        <w:tc>
          <w:tcPr>
            <w:tcW w:w="993" w:type="dxa"/>
            <w:tcBorders>
              <w:top w:val="single" w:sz="4" w:space="0" w:color="auto"/>
              <w:left w:val="single" w:sz="4" w:space="0" w:color="auto"/>
              <w:bottom w:val="single" w:sz="4" w:space="0" w:color="auto"/>
              <w:right w:val="single" w:sz="4" w:space="0" w:color="auto"/>
            </w:tcBorders>
            <w:noWrap/>
            <w:vAlign w:val="center"/>
          </w:tcPr>
          <w:p w14:paraId="434E1B27" w14:textId="4D0C0045" w:rsidR="00BF54DD" w:rsidRPr="00C33C0A" w:rsidRDefault="00BF54DD" w:rsidP="00BF54DD">
            <w:pPr>
              <w:spacing w:after="0" w:line="240" w:lineRule="auto"/>
              <w:jc w:val="right"/>
              <w:rPr>
                <w:rFonts w:ascii="Times New Roman" w:eastAsia="Times New Roman" w:hAnsi="Times New Roman" w:cs="Times New Roman"/>
                <w:szCs w:val="20"/>
                <w:highlight w:val="yellow"/>
                <w:lang w:eastAsia="hu-HU"/>
              </w:rPr>
            </w:pPr>
            <w:r w:rsidRPr="00E20C14">
              <w:rPr>
                <w:rFonts w:ascii="Times New Roman" w:eastAsia="Times New Roman" w:hAnsi="Times New Roman" w:cs="Times New Roman"/>
                <w:color w:val="000000"/>
                <w:lang w:eastAsia="hu-HU"/>
              </w:rPr>
              <w:t>44,8</w:t>
            </w:r>
          </w:p>
        </w:tc>
        <w:tc>
          <w:tcPr>
            <w:tcW w:w="951" w:type="dxa"/>
            <w:tcBorders>
              <w:top w:val="single" w:sz="4" w:space="0" w:color="auto"/>
              <w:left w:val="single" w:sz="4" w:space="0" w:color="auto"/>
              <w:bottom w:val="single" w:sz="4" w:space="0" w:color="auto"/>
              <w:right w:val="single" w:sz="4" w:space="0" w:color="auto"/>
            </w:tcBorders>
            <w:noWrap/>
            <w:vAlign w:val="center"/>
          </w:tcPr>
          <w:p w14:paraId="267475D8" w14:textId="3D7B8DB7" w:rsidR="00BF54DD" w:rsidRPr="00C33C0A" w:rsidRDefault="00BF54DD" w:rsidP="00BF54DD">
            <w:pPr>
              <w:spacing w:after="0" w:line="240" w:lineRule="auto"/>
              <w:jc w:val="right"/>
              <w:rPr>
                <w:rFonts w:ascii="Times New Roman" w:eastAsia="Times New Roman" w:hAnsi="Times New Roman" w:cs="Times New Roman"/>
                <w:szCs w:val="20"/>
                <w:highlight w:val="yellow"/>
                <w:lang w:eastAsia="hu-HU"/>
              </w:rPr>
            </w:pPr>
            <w:r w:rsidRPr="00E20C14">
              <w:rPr>
                <w:rFonts w:ascii="Times New Roman" w:eastAsia="Times New Roman" w:hAnsi="Times New Roman" w:cs="Times New Roman"/>
                <w:color w:val="000000"/>
                <w:lang w:eastAsia="hu-HU"/>
              </w:rPr>
              <w:t>104,4</w:t>
            </w:r>
          </w:p>
        </w:tc>
      </w:tr>
      <w:tr w:rsidR="00BF54DD" w:rsidRPr="00C33C0A" w14:paraId="182EBB08" w14:textId="77777777" w:rsidTr="001024CD">
        <w:trPr>
          <w:trHeight w:val="340"/>
          <w:jc w:val="center"/>
        </w:trPr>
        <w:tc>
          <w:tcPr>
            <w:tcW w:w="1537" w:type="dxa"/>
            <w:tcBorders>
              <w:top w:val="single" w:sz="4" w:space="0" w:color="auto"/>
              <w:left w:val="single" w:sz="4" w:space="0" w:color="auto"/>
              <w:bottom w:val="single" w:sz="4" w:space="0" w:color="auto"/>
              <w:right w:val="single" w:sz="4" w:space="0" w:color="auto"/>
            </w:tcBorders>
            <w:noWrap/>
            <w:vAlign w:val="center"/>
            <w:hideMark/>
          </w:tcPr>
          <w:p w14:paraId="260EAFBD" w14:textId="77777777" w:rsidR="00BF54DD" w:rsidRPr="00C33C0A" w:rsidRDefault="00BF54DD" w:rsidP="00BF54DD">
            <w:pPr>
              <w:spacing w:after="0" w:line="240" w:lineRule="auto"/>
              <w:jc w:val="both"/>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Egyenleg</w:t>
            </w:r>
          </w:p>
        </w:tc>
        <w:tc>
          <w:tcPr>
            <w:tcW w:w="1724" w:type="dxa"/>
            <w:tcBorders>
              <w:top w:val="single" w:sz="4" w:space="0" w:color="auto"/>
              <w:left w:val="single" w:sz="4" w:space="0" w:color="auto"/>
              <w:bottom w:val="single" w:sz="4" w:space="0" w:color="auto"/>
              <w:right w:val="single" w:sz="4" w:space="0" w:color="auto"/>
            </w:tcBorders>
            <w:noWrap/>
            <w:vAlign w:val="center"/>
          </w:tcPr>
          <w:p w14:paraId="1C78A26E" w14:textId="1FF7A3F8" w:rsidR="00BF54DD" w:rsidRPr="00C33C0A" w:rsidRDefault="00BF54DD" w:rsidP="00BF54DD">
            <w:pPr>
              <w:spacing w:after="0" w:line="240" w:lineRule="auto"/>
              <w:jc w:val="right"/>
              <w:rPr>
                <w:rFonts w:ascii="Times New Roman" w:eastAsia="Times New Roman" w:hAnsi="Times New Roman" w:cs="Times New Roman"/>
                <w:b/>
                <w:bCs/>
                <w:szCs w:val="20"/>
                <w:highlight w:val="yellow"/>
                <w:lang w:eastAsia="hu-HU"/>
              </w:rPr>
            </w:pPr>
            <w:r w:rsidRPr="00E20C14">
              <w:rPr>
                <w:rFonts w:ascii="Times New Roman" w:eastAsia="Times New Roman" w:hAnsi="Times New Roman" w:cs="Times New Roman"/>
                <w:b/>
                <w:bCs/>
                <w:color w:val="000000"/>
                <w:lang w:eastAsia="hu-HU"/>
              </w:rPr>
              <w:t>1247,8</w:t>
            </w:r>
          </w:p>
        </w:tc>
        <w:tc>
          <w:tcPr>
            <w:tcW w:w="1700" w:type="dxa"/>
            <w:tcBorders>
              <w:top w:val="single" w:sz="4" w:space="0" w:color="auto"/>
              <w:left w:val="single" w:sz="4" w:space="0" w:color="auto"/>
              <w:bottom w:val="single" w:sz="4" w:space="0" w:color="auto"/>
              <w:right w:val="single" w:sz="4" w:space="0" w:color="auto"/>
            </w:tcBorders>
            <w:noWrap/>
            <w:vAlign w:val="center"/>
          </w:tcPr>
          <w:p w14:paraId="5AFC1559" w14:textId="6DA2ED66" w:rsidR="00BF54DD" w:rsidRPr="00C33C0A" w:rsidRDefault="00BF54DD" w:rsidP="00BF54DD">
            <w:pPr>
              <w:spacing w:after="0" w:line="240" w:lineRule="auto"/>
              <w:jc w:val="right"/>
              <w:rPr>
                <w:rFonts w:ascii="Times New Roman" w:eastAsia="Times New Roman" w:hAnsi="Times New Roman" w:cs="Times New Roman"/>
                <w:b/>
                <w:bCs/>
                <w:szCs w:val="20"/>
                <w:highlight w:val="yellow"/>
                <w:lang w:eastAsia="hu-HU"/>
              </w:rPr>
            </w:pPr>
            <w:r w:rsidRPr="00E20C14">
              <w:rPr>
                <w:rFonts w:ascii="Times New Roman" w:eastAsia="Times New Roman" w:hAnsi="Times New Roman" w:cs="Times New Roman"/>
                <w:b/>
                <w:bCs/>
                <w:color w:val="000000"/>
                <w:lang w:eastAsia="hu-HU"/>
              </w:rPr>
              <w:t>1290,7</w:t>
            </w:r>
          </w:p>
        </w:tc>
        <w:tc>
          <w:tcPr>
            <w:tcW w:w="993" w:type="dxa"/>
            <w:tcBorders>
              <w:top w:val="single" w:sz="4" w:space="0" w:color="auto"/>
              <w:left w:val="single" w:sz="4" w:space="0" w:color="auto"/>
              <w:bottom w:val="single" w:sz="4" w:space="0" w:color="auto"/>
              <w:right w:val="single" w:sz="4" w:space="0" w:color="auto"/>
            </w:tcBorders>
            <w:noWrap/>
            <w:vAlign w:val="center"/>
          </w:tcPr>
          <w:p w14:paraId="13CBEACD" w14:textId="53D400DE" w:rsidR="00BF54DD" w:rsidRPr="00C33C0A" w:rsidRDefault="00BF54DD" w:rsidP="00BF54DD">
            <w:pPr>
              <w:spacing w:after="0" w:line="240" w:lineRule="auto"/>
              <w:jc w:val="right"/>
              <w:rPr>
                <w:rFonts w:ascii="Times New Roman" w:eastAsia="Times New Roman" w:hAnsi="Times New Roman" w:cs="Times New Roman"/>
                <w:szCs w:val="20"/>
                <w:highlight w:val="yellow"/>
                <w:lang w:eastAsia="hu-HU"/>
              </w:rPr>
            </w:pPr>
            <w:r w:rsidRPr="00E20C14">
              <w:rPr>
                <w:rFonts w:ascii="Times New Roman" w:eastAsia="Times New Roman" w:hAnsi="Times New Roman" w:cs="Times New Roman"/>
                <w:b/>
                <w:bCs/>
                <w:color w:val="000000"/>
                <w:lang w:eastAsia="hu-HU"/>
              </w:rPr>
              <w:t>42,9</w:t>
            </w:r>
          </w:p>
        </w:tc>
        <w:tc>
          <w:tcPr>
            <w:tcW w:w="951" w:type="dxa"/>
            <w:tcBorders>
              <w:top w:val="single" w:sz="4" w:space="0" w:color="auto"/>
              <w:left w:val="single" w:sz="4" w:space="0" w:color="auto"/>
              <w:bottom w:val="single" w:sz="4" w:space="0" w:color="auto"/>
              <w:right w:val="single" w:sz="4" w:space="0" w:color="auto"/>
            </w:tcBorders>
            <w:noWrap/>
            <w:vAlign w:val="center"/>
          </w:tcPr>
          <w:p w14:paraId="10FB6A6E" w14:textId="28BA13BB" w:rsidR="00BF54DD" w:rsidRPr="00C33C0A" w:rsidRDefault="00BF54DD" w:rsidP="00BF54DD">
            <w:pPr>
              <w:spacing w:after="0" w:line="240" w:lineRule="auto"/>
              <w:jc w:val="right"/>
              <w:rPr>
                <w:rFonts w:ascii="Times New Roman" w:eastAsia="Times New Roman" w:hAnsi="Times New Roman" w:cs="Times New Roman"/>
                <w:szCs w:val="20"/>
                <w:highlight w:val="yellow"/>
                <w:lang w:eastAsia="hu-HU"/>
              </w:rPr>
            </w:pPr>
            <w:r w:rsidRPr="00E20C14">
              <w:rPr>
                <w:rFonts w:ascii="Times New Roman" w:eastAsia="Times New Roman" w:hAnsi="Times New Roman" w:cs="Times New Roman"/>
                <w:b/>
                <w:bCs/>
                <w:color w:val="000000"/>
                <w:lang w:eastAsia="hu-HU"/>
              </w:rPr>
              <w:t>103,4</w:t>
            </w:r>
          </w:p>
        </w:tc>
      </w:tr>
    </w:tbl>
    <w:p w14:paraId="44D04C53" w14:textId="3E7C9A52" w:rsidR="00E20C14" w:rsidRPr="00E20C14" w:rsidRDefault="00E20C14" w:rsidP="004A6F31">
      <w:pPr>
        <w:spacing w:before="240"/>
        <w:jc w:val="both"/>
        <w:rPr>
          <w:rFonts w:ascii="Times New Roman" w:eastAsia="Times New Roman" w:hAnsi="Times New Roman" w:cs="Times New Roman"/>
          <w:sz w:val="26"/>
          <w:szCs w:val="20"/>
          <w:lang w:eastAsia="hu-HU"/>
        </w:rPr>
      </w:pPr>
      <w:r w:rsidRPr="00E20C14">
        <w:rPr>
          <w:rFonts w:ascii="Times New Roman" w:eastAsia="Times New Roman" w:hAnsi="Times New Roman" w:cs="Times New Roman"/>
          <w:sz w:val="26"/>
          <w:szCs w:val="20"/>
          <w:lang w:eastAsia="hu-HU"/>
        </w:rPr>
        <w:t>A belföldi befizetések, valamint az import</w:t>
      </w:r>
      <w:r w:rsidR="00966B20">
        <w:rPr>
          <w:rFonts w:ascii="Times New Roman" w:eastAsia="Times New Roman" w:hAnsi="Times New Roman" w:cs="Times New Roman"/>
          <w:sz w:val="26"/>
          <w:szCs w:val="20"/>
          <w:lang w:eastAsia="hu-HU"/>
        </w:rPr>
        <w:t>-</w:t>
      </w:r>
      <w:r w:rsidRPr="00E20C14">
        <w:rPr>
          <w:rFonts w:ascii="Times New Roman" w:eastAsia="Times New Roman" w:hAnsi="Times New Roman" w:cs="Times New Roman"/>
          <w:sz w:val="26"/>
          <w:szCs w:val="20"/>
          <w:lang w:eastAsia="hu-HU"/>
        </w:rPr>
        <w:t xml:space="preserve"> és a dohánytermékek utáni áfabevételek is növekedtek. A belföldi befizetések növekedése elsősorban a kereskedelem ágazathoz köthető. Az import utáni befizetések növekedése hátterében a forgalom alakulása áll. A</w:t>
      </w:r>
      <w:r w:rsidR="00BF54DD">
        <w:rPr>
          <w:rFonts w:ascii="Times New Roman" w:eastAsia="Times New Roman" w:hAnsi="Times New Roman" w:cs="Times New Roman"/>
          <w:sz w:val="26"/>
          <w:szCs w:val="20"/>
          <w:lang w:eastAsia="hu-HU"/>
        </w:rPr>
        <w:t> </w:t>
      </w:r>
      <w:r w:rsidRPr="00E20C14">
        <w:rPr>
          <w:rFonts w:ascii="Times New Roman" w:eastAsia="Times New Roman" w:hAnsi="Times New Roman" w:cs="Times New Roman"/>
          <w:sz w:val="26"/>
          <w:szCs w:val="20"/>
          <w:lang w:eastAsia="hu-HU"/>
        </w:rPr>
        <w:t>dohánytermékek utáni bevételek magasabb teljesülését a 2026. januári jövedéki adómérték-emelés magyarázza. A kiutalások alakulását a köztes ágazatok befizetése befolyásolja.</w:t>
      </w:r>
    </w:p>
    <w:p w14:paraId="5D4A6DEA" w14:textId="0D2E506E" w:rsidR="00C33C0A" w:rsidRPr="00C33C0A" w:rsidRDefault="00C33C0A" w:rsidP="4600C643">
      <w:pPr>
        <w:spacing w:before="240"/>
        <w:jc w:val="both"/>
        <w:rPr>
          <w:rFonts w:ascii="Times New Roman" w:eastAsia="Times New Roman" w:hAnsi="Times New Roman" w:cs="Times New Roman"/>
          <w:sz w:val="26"/>
          <w:szCs w:val="26"/>
          <w:lang w:eastAsia="hu-HU"/>
        </w:rPr>
      </w:pPr>
    </w:p>
    <w:p w14:paraId="6A4419C7" w14:textId="7CE5A928" w:rsidR="00CF551C" w:rsidRPr="00945E04" w:rsidRDefault="00BF54DD" w:rsidP="009F5DC5">
      <w:pPr>
        <w:pStyle w:val="NormlWeb"/>
        <w:spacing w:before="0" w:beforeAutospacing="0" w:after="0" w:afterAutospacing="0"/>
        <w:jc w:val="center"/>
        <w:rPr>
          <w:sz w:val="22"/>
        </w:rPr>
      </w:pPr>
      <w:r w:rsidRPr="00BF54DD">
        <w:rPr>
          <w:noProof/>
          <w:sz w:val="22"/>
        </w:rPr>
        <w:lastRenderedPageBreak/>
        <w:drawing>
          <wp:inline distT="0" distB="0" distL="0" distR="0" wp14:anchorId="119765C3" wp14:editId="5F459E02">
            <wp:extent cx="5188747" cy="3381775"/>
            <wp:effectExtent l="0" t="0" r="0" b="9525"/>
            <wp:docPr id="1667291436" name="Kép 1" descr="A képen szöveg, sor, Diagram, szá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291436" name="Kép 1" descr="A képen szöveg, sor, Diagram, szám látható&#10;&#10;Előfordulhat, hogy a mesterséges intelligencia által létrehozott tartalom helytelen."/>
                    <pic:cNvPicPr/>
                  </pic:nvPicPr>
                  <pic:blipFill rotWithShape="1">
                    <a:blip r:embed="rId15"/>
                    <a:srcRect l="3824" t="-313" b="313"/>
                    <a:stretch/>
                  </pic:blipFill>
                  <pic:spPr bwMode="auto">
                    <a:xfrm>
                      <a:off x="0" y="0"/>
                      <a:ext cx="5220603" cy="3402537"/>
                    </a:xfrm>
                    <a:prstGeom prst="rect">
                      <a:avLst/>
                    </a:prstGeom>
                    <a:ln>
                      <a:noFill/>
                    </a:ln>
                    <a:extLst>
                      <a:ext uri="{53640926-AAD7-44D8-BBD7-CCE9431645EC}">
                        <a14:shadowObscured xmlns:a14="http://schemas.microsoft.com/office/drawing/2010/main"/>
                      </a:ext>
                    </a:extLst>
                  </pic:spPr>
                </pic:pic>
              </a:graphicData>
            </a:graphic>
          </wp:inline>
        </w:drawing>
      </w:r>
    </w:p>
    <w:p w14:paraId="54D7C308" w14:textId="3039D581" w:rsidR="00C33C0A" w:rsidRDefault="00E20C14" w:rsidP="00966B20">
      <w:pPr>
        <w:spacing w:before="120" w:after="120"/>
        <w:jc w:val="both"/>
        <w:rPr>
          <w:rFonts w:ascii="Arial" w:eastAsia="Times New Roman" w:hAnsi="Arial" w:cs="Arial"/>
          <w:sz w:val="26"/>
          <w:szCs w:val="20"/>
          <w:lang w:eastAsia="hu-HU"/>
        </w:rPr>
      </w:pPr>
      <w:r w:rsidRPr="00E20C14">
        <w:rPr>
          <w:rFonts w:ascii="Times New Roman" w:eastAsia="Times New Roman" w:hAnsi="Times New Roman" w:cs="Times New Roman"/>
          <w:sz w:val="26"/>
          <w:szCs w:val="20"/>
          <w:lang w:eastAsia="hu-HU"/>
        </w:rPr>
        <w:t xml:space="preserve">A </w:t>
      </w:r>
      <w:r w:rsidRPr="00E20C14">
        <w:rPr>
          <w:rFonts w:ascii="Times New Roman" w:eastAsia="Times New Roman" w:hAnsi="Times New Roman" w:cs="Times New Roman"/>
          <w:b/>
          <w:sz w:val="26"/>
          <w:szCs w:val="20"/>
          <w:lang w:eastAsia="hu-HU"/>
        </w:rPr>
        <w:t>jövedéki adóból</w:t>
      </w:r>
      <w:r w:rsidRPr="00E20C14">
        <w:rPr>
          <w:rFonts w:ascii="Times New Roman" w:eastAsia="Times New Roman" w:hAnsi="Times New Roman" w:cs="Times New Roman"/>
          <w:sz w:val="26"/>
          <w:szCs w:val="20"/>
          <w:lang w:eastAsia="hu-HU"/>
        </w:rPr>
        <w:t xml:space="preserve"> származó bevétel a 2026. év első két hónapjában 273,9 milliárd forintot tett ki, amely 28,5 milliárd forinttal magasabb az egy évvel korábbi bevételnél. Az</w:t>
      </w:r>
      <w:r w:rsidR="00966B20">
        <w:rPr>
          <w:rFonts w:ascii="Times New Roman" w:eastAsia="Times New Roman" w:hAnsi="Times New Roman" w:cs="Times New Roman"/>
          <w:sz w:val="26"/>
          <w:szCs w:val="20"/>
          <w:lang w:eastAsia="hu-HU"/>
        </w:rPr>
        <w:t> </w:t>
      </w:r>
      <w:r w:rsidRPr="00E20C14">
        <w:rPr>
          <w:rFonts w:ascii="Times New Roman" w:eastAsia="Times New Roman" w:hAnsi="Times New Roman" w:cs="Times New Roman"/>
          <w:sz w:val="26"/>
          <w:szCs w:val="20"/>
          <w:lang w:eastAsia="hu-HU"/>
        </w:rPr>
        <w:t>üzemanyagok utáni bevételek növekedését a magasabb forgalom magyarázza.  A</w:t>
      </w:r>
      <w:r w:rsidR="00966B20">
        <w:rPr>
          <w:rFonts w:ascii="Times New Roman" w:eastAsia="Times New Roman" w:hAnsi="Times New Roman" w:cs="Times New Roman"/>
          <w:sz w:val="26"/>
          <w:szCs w:val="20"/>
          <w:lang w:eastAsia="hu-HU"/>
        </w:rPr>
        <w:t> </w:t>
      </w:r>
      <w:r w:rsidRPr="00E20C14">
        <w:rPr>
          <w:rFonts w:ascii="Times New Roman" w:eastAsia="Times New Roman" w:hAnsi="Times New Roman" w:cs="Times New Roman"/>
          <w:sz w:val="26"/>
          <w:szCs w:val="20"/>
          <w:lang w:eastAsia="hu-HU"/>
        </w:rPr>
        <w:t>dohánytermékek utáni bevételek jelentős növekedésének hátterében a 2026. januári adómérték-emelésre adott piaci reakció, nagymértékű készletezési hatás áll. A</w:t>
      </w:r>
      <w:r w:rsidR="00966B20">
        <w:rPr>
          <w:rFonts w:ascii="Times New Roman" w:eastAsia="Times New Roman" w:hAnsi="Times New Roman" w:cs="Times New Roman"/>
          <w:sz w:val="26"/>
          <w:szCs w:val="20"/>
          <w:lang w:eastAsia="hu-HU"/>
        </w:rPr>
        <w:t> </w:t>
      </w:r>
      <w:r w:rsidRPr="00E20C14">
        <w:rPr>
          <w:rFonts w:ascii="Times New Roman" w:eastAsia="Times New Roman" w:hAnsi="Times New Roman" w:cs="Times New Roman"/>
          <w:sz w:val="26"/>
          <w:szCs w:val="20"/>
          <w:lang w:eastAsia="hu-HU"/>
        </w:rPr>
        <w:t>szeszesitalok és egyéb termékek esetében a bevételek alakulását a 2026. januári adómérték</w:t>
      </w:r>
      <w:r w:rsidR="00966B20">
        <w:rPr>
          <w:rFonts w:ascii="Times New Roman" w:eastAsia="Times New Roman" w:hAnsi="Times New Roman" w:cs="Times New Roman"/>
          <w:sz w:val="26"/>
          <w:szCs w:val="20"/>
          <w:lang w:eastAsia="hu-HU"/>
        </w:rPr>
        <w:t xml:space="preserve"> </w:t>
      </w:r>
      <w:r w:rsidRPr="00E20C14">
        <w:rPr>
          <w:rFonts w:ascii="Times New Roman" w:eastAsia="Times New Roman" w:hAnsi="Times New Roman" w:cs="Times New Roman"/>
          <w:sz w:val="26"/>
          <w:szCs w:val="20"/>
          <w:lang w:eastAsia="hu-HU"/>
        </w:rPr>
        <w:t>emelés, valamint a piaci reakciók magyarázzák. Az energiaadó bevételek csökkenése adónem</w:t>
      </w:r>
      <w:r w:rsidR="00966B20">
        <w:rPr>
          <w:rFonts w:ascii="Times New Roman" w:eastAsia="Times New Roman" w:hAnsi="Times New Roman" w:cs="Times New Roman"/>
          <w:sz w:val="26"/>
          <w:szCs w:val="20"/>
          <w:lang w:eastAsia="hu-HU"/>
        </w:rPr>
        <w:t>-</w:t>
      </w:r>
      <w:r w:rsidRPr="00E20C14">
        <w:rPr>
          <w:rFonts w:ascii="Times New Roman" w:eastAsia="Times New Roman" w:hAnsi="Times New Roman" w:cs="Times New Roman"/>
          <w:sz w:val="26"/>
          <w:szCs w:val="20"/>
          <w:lang w:eastAsia="hu-HU"/>
        </w:rPr>
        <w:t>elszámoláshoz köthető</w:t>
      </w:r>
      <w:r w:rsidRPr="00E20C14">
        <w:rPr>
          <w:rFonts w:ascii="Arial" w:eastAsia="Times New Roman" w:hAnsi="Arial" w:cs="Arial"/>
          <w:sz w:val="26"/>
          <w:szCs w:val="20"/>
          <w:lang w:eastAsia="hu-HU"/>
        </w:rPr>
        <w:t>.</w:t>
      </w:r>
    </w:p>
    <w:tbl>
      <w:tblPr>
        <w:tblW w:w="7938" w:type="dxa"/>
        <w:jc w:val="center"/>
        <w:tblCellMar>
          <w:left w:w="70" w:type="dxa"/>
          <w:right w:w="70" w:type="dxa"/>
        </w:tblCellMar>
        <w:tblLook w:val="04A0" w:firstRow="1" w:lastRow="0" w:firstColumn="1" w:lastColumn="0" w:noHBand="0" w:noVBand="1"/>
      </w:tblPr>
      <w:tblGrid>
        <w:gridCol w:w="3402"/>
        <w:gridCol w:w="1134"/>
        <w:gridCol w:w="1134"/>
        <w:gridCol w:w="1134"/>
        <w:gridCol w:w="1134"/>
      </w:tblGrid>
      <w:tr w:rsidR="00BF54DD" w:rsidRPr="00C33C0A" w14:paraId="10AE477F" w14:textId="77777777" w:rsidTr="001024CD">
        <w:trPr>
          <w:trHeight w:val="255"/>
          <w:jc w:val="center"/>
        </w:trPr>
        <w:tc>
          <w:tcPr>
            <w:tcW w:w="7938" w:type="dxa"/>
            <w:gridSpan w:val="5"/>
            <w:tcBorders>
              <w:top w:val="nil"/>
              <w:left w:val="nil"/>
              <w:bottom w:val="single" w:sz="4" w:space="0" w:color="auto"/>
              <w:right w:val="nil"/>
            </w:tcBorders>
            <w:noWrap/>
            <w:vAlign w:val="bottom"/>
            <w:hideMark/>
          </w:tcPr>
          <w:p w14:paraId="0BCB48A3" w14:textId="77777777" w:rsidR="00BF54DD" w:rsidRPr="00C33C0A" w:rsidRDefault="00BF54DD" w:rsidP="001024CD">
            <w:pPr>
              <w:spacing w:before="120" w:after="120" w:line="240" w:lineRule="auto"/>
              <w:jc w:val="center"/>
              <w:rPr>
                <w:rFonts w:ascii="Times New Roman" w:eastAsia="Times New Roman" w:hAnsi="Times New Roman" w:cs="Times New Roman"/>
                <w:b/>
                <w:bCs/>
                <w:sz w:val="26"/>
                <w:szCs w:val="20"/>
                <w:lang w:eastAsia="hu-HU"/>
              </w:rPr>
            </w:pPr>
            <w:r w:rsidRPr="00C33C0A">
              <w:rPr>
                <w:rFonts w:ascii="Times New Roman" w:eastAsia="Times New Roman" w:hAnsi="Times New Roman" w:cs="Times New Roman"/>
                <w:b/>
                <w:bCs/>
                <w:szCs w:val="20"/>
                <w:lang w:eastAsia="hu-HU"/>
              </w:rPr>
              <w:t>Jövedéki adó bevétel alakulása (milliárd forint)</w:t>
            </w:r>
          </w:p>
        </w:tc>
      </w:tr>
      <w:tr w:rsidR="00BF54DD" w:rsidRPr="00C33C0A" w14:paraId="0135B3E7" w14:textId="77777777" w:rsidTr="00BA6020">
        <w:trPr>
          <w:trHeight w:val="340"/>
          <w:jc w:val="center"/>
        </w:trPr>
        <w:tc>
          <w:tcPr>
            <w:tcW w:w="3402"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08F9820C" w14:textId="77777777" w:rsidR="00BF54DD" w:rsidRPr="00C33C0A" w:rsidRDefault="00BF54DD" w:rsidP="001024CD">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Megnevezés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6FEAE98" w14:textId="77777777" w:rsidR="00BF54DD" w:rsidRPr="00C33C0A" w:rsidRDefault="00BF54DD" w:rsidP="001024CD">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2025.</w:t>
            </w:r>
          </w:p>
          <w:p w14:paraId="537CEBD0" w14:textId="3F4CE67E" w:rsidR="00BF54DD" w:rsidRPr="00C33C0A" w:rsidRDefault="00BF54DD" w:rsidP="001024CD">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I</w:t>
            </w:r>
            <w:r>
              <w:rPr>
                <w:rFonts w:ascii="Times New Roman" w:eastAsia="Times New Roman" w:hAnsi="Times New Roman" w:cs="Times New Roman"/>
                <w:b/>
                <w:bCs/>
                <w:szCs w:val="20"/>
                <w:lang w:eastAsia="hu-HU"/>
              </w:rPr>
              <w:t>-II</w:t>
            </w:r>
            <w:r w:rsidRPr="00C33C0A">
              <w:rPr>
                <w:rFonts w:ascii="Times New Roman" w:eastAsia="Times New Roman" w:hAnsi="Times New Roman" w:cs="Times New Roman"/>
                <w:b/>
                <w:bCs/>
                <w:szCs w:val="20"/>
                <w:lang w:eastAsia="hu-HU"/>
              </w:rPr>
              <w:t>. hó</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A6F684B" w14:textId="77777777" w:rsidR="00BF54DD" w:rsidRPr="00C33C0A" w:rsidRDefault="00BF54DD" w:rsidP="001024CD">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2026.</w:t>
            </w:r>
          </w:p>
          <w:p w14:paraId="1F010E5E" w14:textId="0A61F306" w:rsidR="00BF54DD" w:rsidRPr="00C33C0A" w:rsidRDefault="00BF54DD" w:rsidP="001024CD">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I</w:t>
            </w:r>
            <w:r>
              <w:rPr>
                <w:rFonts w:ascii="Times New Roman" w:eastAsia="Times New Roman" w:hAnsi="Times New Roman" w:cs="Times New Roman"/>
                <w:b/>
                <w:bCs/>
                <w:szCs w:val="20"/>
                <w:lang w:eastAsia="hu-HU"/>
              </w:rPr>
              <w:t>-II</w:t>
            </w:r>
            <w:r w:rsidRPr="00C33C0A">
              <w:rPr>
                <w:rFonts w:ascii="Times New Roman" w:eastAsia="Times New Roman" w:hAnsi="Times New Roman" w:cs="Times New Roman"/>
                <w:b/>
                <w:bCs/>
                <w:szCs w:val="20"/>
                <w:lang w:eastAsia="hu-HU"/>
              </w:rPr>
              <w:t>. hó</w:t>
            </w:r>
          </w:p>
        </w:tc>
        <w:tc>
          <w:tcPr>
            <w:tcW w:w="226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0690EF37" w14:textId="77777777" w:rsidR="00BF54DD" w:rsidRPr="00C33C0A" w:rsidRDefault="00BF54DD" w:rsidP="001024CD">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Eltérés</w:t>
            </w:r>
          </w:p>
        </w:tc>
      </w:tr>
      <w:tr w:rsidR="00BF54DD" w:rsidRPr="00C33C0A" w14:paraId="42F2F3BB" w14:textId="77777777" w:rsidTr="00BA6020">
        <w:trPr>
          <w:trHeight w:val="340"/>
          <w:jc w:val="center"/>
        </w:trPr>
        <w:tc>
          <w:tcPr>
            <w:tcW w:w="3402"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4434AC3" w14:textId="77777777" w:rsidR="00BF54DD" w:rsidRPr="00C33C0A" w:rsidRDefault="00BF54DD" w:rsidP="001024CD">
            <w:pPr>
              <w:spacing w:after="0" w:line="240" w:lineRule="auto"/>
              <w:jc w:val="both"/>
              <w:rPr>
                <w:rFonts w:ascii="Times New Roman" w:eastAsia="Times New Roman" w:hAnsi="Times New Roman" w:cs="Times New Roman"/>
                <w:b/>
                <w:bCs/>
                <w:szCs w:val="20"/>
                <w:lang w:eastAsia="hu-HU"/>
              </w:rPr>
            </w:pPr>
          </w:p>
        </w:tc>
        <w:tc>
          <w:tcPr>
            <w:tcW w:w="1134"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497C3E7" w14:textId="77777777" w:rsidR="00BF54DD" w:rsidRPr="00C33C0A" w:rsidRDefault="00BF54DD" w:rsidP="001024CD">
            <w:pPr>
              <w:spacing w:after="0" w:line="240" w:lineRule="auto"/>
              <w:jc w:val="center"/>
              <w:rPr>
                <w:rFonts w:ascii="Times New Roman" w:eastAsia="Times New Roman" w:hAnsi="Times New Roman" w:cs="Times New Roman"/>
                <w:b/>
                <w:bCs/>
                <w:szCs w:val="20"/>
                <w:lang w:eastAsia="hu-HU"/>
              </w:rPr>
            </w:pPr>
          </w:p>
        </w:tc>
        <w:tc>
          <w:tcPr>
            <w:tcW w:w="1134"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D434891" w14:textId="77777777" w:rsidR="00BF54DD" w:rsidRPr="00C33C0A" w:rsidRDefault="00BF54DD" w:rsidP="001024CD">
            <w:pPr>
              <w:spacing w:after="0" w:line="240" w:lineRule="auto"/>
              <w:jc w:val="center"/>
              <w:rPr>
                <w:rFonts w:ascii="Times New Roman" w:eastAsia="Times New Roman" w:hAnsi="Times New Roman" w:cs="Times New Roman"/>
                <w:b/>
                <w:bCs/>
                <w:szCs w:val="20"/>
                <w:lang w:eastAsia="hu-HU"/>
              </w:rPr>
            </w:pPr>
          </w:p>
        </w:tc>
        <w:tc>
          <w:tcPr>
            <w:tcW w:w="1134"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4943E6D0" w14:textId="77777777" w:rsidR="00BF54DD" w:rsidRPr="00C33C0A" w:rsidRDefault="00BF54DD" w:rsidP="001024CD">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Mrd Ft</w:t>
            </w:r>
          </w:p>
        </w:tc>
        <w:tc>
          <w:tcPr>
            <w:tcW w:w="1134"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4CFA8CA8" w14:textId="77777777" w:rsidR="00BF54DD" w:rsidRPr="00C33C0A" w:rsidRDefault="00BF54DD" w:rsidP="001024CD">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w:t>
            </w:r>
          </w:p>
        </w:tc>
      </w:tr>
      <w:tr w:rsidR="00BF54DD" w:rsidRPr="00C33C0A" w14:paraId="5390E32E" w14:textId="77777777" w:rsidTr="001024CD">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7D7D1995" w14:textId="77777777" w:rsidR="00BF54DD" w:rsidRPr="00C33C0A" w:rsidRDefault="00BF54DD" w:rsidP="00BF54DD">
            <w:pPr>
              <w:spacing w:after="0" w:line="240" w:lineRule="auto"/>
              <w:jc w:val="both"/>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Üzemanyag jövedéki adó</w:t>
            </w:r>
          </w:p>
        </w:tc>
        <w:tc>
          <w:tcPr>
            <w:tcW w:w="1134" w:type="dxa"/>
            <w:tcBorders>
              <w:top w:val="single" w:sz="4" w:space="0" w:color="auto"/>
              <w:left w:val="single" w:sz="4" w:space="0" w:color="auto"/>
              <w:bottom w:val="single" w:sz="4" w:space="0" w:color="auto"/>
              <w:right w:val="single" w:sz="4" w:space="0" w:color="auto"/>
            </w:tcBorders>
            <w:noWrap/>
            <w:vAlign w:val="center"/>
          </w:tcPr>
          <w:p w14:paraId="434B625D" w14:textId="26D21CD7" w:rsidR="00BF54DD" w:rsidRPr="00C33C0A" w:rsidRDefault="00BF54DD" w:rsidP="00BF54DD">
            <w:pPr>
              <w:spacing w:after="0" w:line="240" w:lineRule="auto"/>
              <w:jc w:val="right"/>
              <w:rPr>
                <w:rFonts w:ascii="Times New Roman" w:eastAsia="Times New Roman" w:hAnsi="Times New Roman" w:cs="Times New Roman"/>
                <w:color w:val="000000"/>
                <w:lang w:eastAsia="hu-HU"/>
              </w:rPr>
            </w:pPr>
            <w:r w:rsidRPr="00E20C14">
              <w:rPr>
                <w:rFonts w:ascii="Times New Roman" w:eastAsia="Times New Roman" w:hAnsi="Times New Roman" w:cs="Times New Roman"/>
                <w:color w:val="000000"/>
                <w:lang w:eastAsia="hu-HU"/>
              </w:rPr>
              <w:t>136,9</w:t>
            </w:r>
          </w:p>
        </w:tc>
        <w:tc>
          <w:tcPr>
            <w:tcW w:w="1134" w:type="dxa"/>
            <w:tcBorders>
              <w:top w:val="single" w:sz="4" w:space="0" w:color="auto"/>
              <w:left w:val="single" w:sz="4" w:space="0" w:color="auto"/>
              <w:bottom w:val="single" w:sz="4" w:space="0" w:color="auto"/>
              <w:right w:val="single" w:sz="4" w:space="0" w:color="auto"/>
            </w:tcBorders>
            <w:noWrap/>
            <w:vAlign w:val="center"/>
          </w:tcPr>
          <w:p w14:paraId="3E095FBA" w14:textId="28BD1E75" w:rsidR="00BF54DD" w:rsidRPr="00C33C0A" w:rsidRDefault="00BF54DD" w:rsidP="00BF54DD">
            <w:pPr>
              <w:spacing w:after="0" w:line="240" w:lineRule="auto"/>
              <w:jc w:val="right"/>
              <w:rPr>
                <w:rFonts w:ascii="Times New Roman" w:eastAsia="Times New Roman" w:hAnsi="Times New Roman" w:cs="Times New Roman"/>
                <w:color w:val="000000"/>
                <w:highlight w:val="yellow"/>
                <w:lang w:eastAsia="hu-HU"/>
              </w:rPr>
            </w:pPr>
            <w:r w:rsidRPr="00E20C14">
              <w:rPr>
                <w:rFonts w:ascii="Times New Roman" w:eastAsia="Times New Roman" w:hAnsi="Times New Roman" w:cs="Times New Roman"/>
                <w:color w:val="000000"/>
                <w:lang w:eastAsia="hu-HU"/>
              </w:rPr>
              <w:t>137,8</w:t>
            </w:r>
          </w:p>
        </w:tc>
        <w:tc>
          <w:tcPr>
            <w:tcW w:w="1134" w:type="dxa"/>
            <w:tcBorders>
              <w:top w:val="single" w:sz="4" w:space="0" w:color="auto"/>
              <w:left w:val="single" w:sz="4" w:space="0" w:color="auto"/>
              <w:bottom w:val="single" w:sz="4" w:space="0" w:color="auto"/>
              <w:right w:val="single" w:sz="4" w:space="0" w:color="auto"/>
            </w:tcBorders>
            <w:noWrap/>
            <w:vAlign w:val="center"/>
          </w:tcPr>
          <w:p w14:paraId="08AA4987" w14:textId="74A2D187" w:rsidR="00BF54DD" w:rsidRPr="00C33C0A" w:rsidRDefault="00BF54DD" w:rsidP="00BF54DD">
            <w:pPr>
              <w:spacing w:after="0" w:line="240" w:lineRule="auto"/>
              <w:jc w:val="right"/>
              <w:rPr>
                <w:rFonts w:ascii="Times New Roman" w:eastAsia="Times New Roman" w:hAnsi="Times New Roman" w:cs="Times New Roman"/>
                <w:color w:val="000000"/>
                <w:highlight w:val="yellow"/>
                <w:lang w:eastAsia="hu-HU"/>
              </w:rPr>
            </w:pPr>
            <w:r w:rsidRPr="00E20C14">
              <w:rPr>
                <w:rFonts w:ascii="Times New Roman" w:eastAsia="Times New Roman" w:hAnsi="Times New Roman" w:cs="Times New Roman"/>
                <w:color w:val="000000"/>
                <w:lang w:eastAsia="hu-HU"/>
              </w:rPr>
              <w:t>0,9</w:t>
            </w:r>
          </w:p>
        </w:tc>
        <w:tc>
          <w:tcPr>
            <w:tcW w:w="1134" w:type="dxa"/>
            <w:tcBorders>
              <w:top w:val="single" w:sz="4" w:space="0" w:color="auto"/>
              <w:left w:val="single" w:sz="4" w:space="0" w:color="auto"/>
              <w:bottom w:val="single" w:sz="4" w:space="0" w:color="auto"/>
              <w:right w:val="single" w:sz="4" w:space="0" w:color="auto"/>
            </w:tcBorders>
            <w:noWrap/>
            <w:vAlign w:val="center"/>
          </w:tcPr>
          <w:p w14:paraId="07D36330" w14:textId="35C091E0" w:rsidR="00BF54DD" w:rsidRPr="00C33C0A" w:rsidRDefault="00BF54DD" w:rsidP="00BF54DD">
            <w:pPr>
              <w:spacing w:after="0" w:line="240" w:lineRule="auto"/>
              <w:jc w:val="right"/>
              <w:rPr>
                <w:rFonts w:ascii="Times New Roman" w:eastAsia="Times New Roman" w:hAnsi="Times New Roman" w:cs="Times New Roman"/>
                <w:color w:val="000000"/>
                <w:highlight w:val="yellow"/>
                <w:lang w:eastAsia="hu-HU"/>
              </w:rPr>
            </w:pPr>
            <w:r w:rsidRPr="00E20C14">
              <w:rPr>
                <w:rFonts w:ascii="Times New Roman" w:eastAsia="Times New Roman" w:hAnsi="Times New Roman" w:cs="Times New Roman"/>
                <w:color w:val="000000"/>
                <w:lang w:eastAsia="hu-HU"/>
              </w:rPr>
              <w:t>100,7</w:t>
            </w:r>
          </w:p>
        </w:tc>
      </w:tr>
      <w:tr w:rsidR="00BF54DD" w:rsidRPr="00C33C0A" w14:paraId="69AE117C" w14:textId="77777777" w:rsidTr="001024CD">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78684522" w14:textId="77777777" w:rsidR="00BF54DD" w:rsidRPr="00C33C0A" w:rsidRDefault="00BF54DD" w:rsidP="00BF54DD">
            <w:pPr>
              <w:spacing w:after="0" w:line="240" w:lineRule="auto"/>
              <w:jc w:val="both"/>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Dohánygyártmány jövedéki adó</w:t>
            </w:r>
          </w:p>
        </w:tc>
        <w:tc>
          <w:tcPr>
            <w:tcW w:w="1134" w:type="dxa"/>
            <w:tcBorders>
              <w:top w:val="single" w:sz="4" w:space="0" w:color="auto"/>
              <w:left w:val="single" w:sz="4" w:space="0" w:color="auto"/>
              <w:bottom w:val="single" w:sz="4" w:space="0" w:color="auto"/>
              <w:right w:val="single" w:sz="4" w:space="0" w:color="auto"/>
            </w:tcBorders>
            <w:noWrap/>
            <w:vAlign w:val="center"/>
          </w:tcPr>
          <w:p w14:paraId="533118FE" w14:textId="62925746" w:rsidR="00BF54DD" w:rsidRPr="00C33C0A" w:rsidRDefault="00BF54DD" w:rsidP="00BF54DD">
            <w:pPr>
              <w:spacing w:after="0" w:line="240" w:lineRule="auto"/>
              <w:jc w:val="right"/>
              <w:rPr>
                <w:rFonts w:ascii="Times New Roman" w:eastAsia="Times New Roman" w:hAnsi="Times New Roman" w:cs="Times New Roman"/>
                <w:color w:val="000000"/>
                <w:lang w:eastAsia="hu-HU"/>
              </w:rPr>
            </w:pPr>
            <w:r w:rsidRPr="00E20C14">
              <w:rPr>
                <w:rFonts w:ascii="Times New Roman" w:eastAsia="Times New Roman" w:hAnsi="Times New Roman" w:cs="Times New Roman"/>
                <w:color w:val="000000"/>
                <w:lang w:eastAsia="hu-HU"/>
              </w:rPr>
              <w:t>83,0</w:t>
            </w:r>
          </w:p>
        </w:tc>
        <w:tc>
          <w:tcPr>
            <w:tcW w:w="1134" w:type="dxa"/>
            <w:tcBorders>
              <w:top w:val="single" w:sz="4" w:space="0" w:color="auto"/>
              <w:left w:val="single" w:sz="4" w:space="0" w:color="auto"/>
              <w:bottom w:val="single" w:sz="4" w:space="0" w:color="auto"/>
              <w:right w:val="single" w:sz="4" w:space="0" w:color="auto"/>
            </w:tcBorders>
            <w:noWrap/>
            <w:vAlign w:val="center"/>
          </w:tcPr>
          <w:p w14:paraId="1D98BAFE" w14:textId="42522A97" w:rsidR="00BF54DD" w:rsidRPr="00C33C0A" w:rsidRDefault="00BF54DD" w:rsidP="00BF54DD">
            <w:pPr>
              <w:spacing w:after="0" w:line="240" w:lineRule="auto"/>
              <w:jc w:val="right"/>
              <w:rPr>
                <w:rFonts w:ascii="Times New Roman" w:eastAsia="Times New Roman" w:hAnsi="Times New Roman" w:cs="Times New Roman"/>
                <w:color w:val="000000"/>
                <w:highlight w:val="yellow"/>
                <w:lang w:eastAsia="hu-HU"/>
              </w:rPr>
            </w:pPr>
            <w:r w:rsidRPr="00E20C14">
              <w:rPr>
                <w:rFonts w:ascii="Times New Roman" w:eastAsia="Times New Roman" w:hAnsi="Times New Roman" w:cs="Times New Roman"/>
                <w:color w:val="000000"/>
                <w:lang w:eastAsia="hu-HU"/>
              </w:rPr>
              <w:t>111,4</w:t>
            </w:r>
          </w:p>
        </w:tc>
        <w:tc>
          <w:tcPr>
            <w:tcW w:w="1134" w:type="dxa"/>
            <w:tcBorders>
              <w:top w:val="single" w:sz="4" w:space="0" w:color="auto"/>
              <w:left w:val="single" w:sz="4" w:space="0" w:color="auto"/>
              <w:bottom w:val="single" w:sz="4" w:space="0" w:color="auto"/>
              <w:right w:val="single" w:sz="4" w:space="0" w:color="auto"/>
            </w:tcBorders>
            <w:noWrap/>
            <w:vAlign w:val="center"/>
          </w:tcPr>
          <w:p w14:paraId="074A5946" w14:textId="4DF09BB9" w:rsidR="00BF54DD" w:rsidRPr="00C33C0A" w:rsidRDefault="00BF54DD" w:rsidP="00BF54DD">
            <w:pPr>
              <w:spacing w:after="0" w:line="240" w:lineRule="auto"/>
              <w:jc w:val="right"/>
              <w:rPr>
                <w:rFonts w:ascii="Times New Roman" w:eastAsia="Times New Roman" w:hAnsi="Times New Roman" w:cs="Times New Roman"/>
                <w:color w:val="000000"/>
                <w:highlight w:val="yellow"/>
                <w:lang w:eastAsia="hu-HU"/>
              </w:rPr>
            </w:pPr>
            <w:r w:rsidRPr="00E20C14">
              <w:rPr>
                <w:rFonts w:ascii="Times New Roman" w:eastAsia="Times New Roman" w:hAnsi="Times New Roman" w:cs="Times New Roman"/>
                <w:color w:val="000000"/>
                <w:lang w:eastAsia="hu-HU"/>
              </w:rPr>
              <w:t>28,4</w:t>
            </w:r>
          </w:p>
        </w:tc>
        <w:tc>
          <w:tcPr>
            <w:tcW w:w="1134" w:type="dxa"/>
            <w:tcBorders>
              <w:top w:val="single" w:sz="4" w:space="0" w:color="auto"/>
              <w:left w:val="single" w:sz="4" w:space="0" w:color="auto"/>
              <w:bottom w:val="single" w:sz="4" w:space="0" w:color="auto"/>
              <w:right w:val="single" w:sz="4" w:space="0" w:color="auto"/>
            </w:tcBorders>
            <w:noWrap/>
            <w:vAlign w:val="center"/>
          </w:tcPr>
          <w:p w14:paraId="4A4F9258" w14:textId="37A91A50" w:rsidR="00BF54DD" w:rsidRPr="00C33C0A" w:rsidRDefault="00BF54DD" w:rsidP="00BF54DD">
            <w:pPr>
              <w:spacing w:after="0" w:line="240" w:lineRule="auto"/>
              <w:jc w:val="right"/>
              <w:rPr>
                <w:rFonts w:ascii="Times New Roman" w:eastAsia="Times New Roman" w:hAnsi="Times New Roman" w:cs="Times New Roman"/>
                <w:color w:val="000000"/>
                <w:highlight w:val="yellow"/>
                <w:lang w:eastAsia="hu-HU"/>
              </w:rPr>
            </w:pPr>
            <w:r w:rsidRPr="00E20C14">
              <w:rPr>
                <w:rFonts w:ascii="Times New Roman" w:eastAsia="Times New Roman" w:hAnsi="Times New Roman" w:cs="Times New Roman"/>
                <w:color w:val="000000"/>
                <w:lang w:eastAsia="hu-HU"/>
              </w:rPr>
              <w:t>134,2</w:t>
            </w:r>
          </w:p>
        </w:tc>
      </w:tr>
      <w:tr w:rsidR="00BF54DD" w:rsidRPr="00C33C0A" w14:paraId="44F2E2BF" w14:textId="77777777" w:rsidTr="001024CD">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55E1A1E1" w14:textId="77777777" w:rsidR="00BF54DD" w:rsidRPr="00C33C0A" w:rsidRDefault="00BF54DD" w:rsidP="00BF54DD">
            <w:pPr>
              <w:spacing w:after="0" w:line="240" w:lineRule="auto"/>
              <w:jc w:val="both"/>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Egyéb termék jövedéki adó</w:t>
            </w:r>
          </w:p>
        </w:tc>
        <w:tc>
          <w:tcPr>
            <w:tcW w:w="1134" w:type="dxa"/>
            <w:tcBorders>
              <w:top w:val="single" w:sz="4" w:space="0" w:color="auto"/>
              <w:left w:val="single" w:sz="4" w:space="0" w:color="auto"/>
              <w:bottom w:val="single" w:sz="4" w:space="0" w:color="auto"/>
              <w:right w:val="single" w:sz="4" w:space="0" w:color="auto"/>
            </w:tcBorders>
            <w:noWrap/>
            <w:vAlign w:val="center"/>
          </w:tcPr>
          <w:p w14:paraId="4C0C1ACA" w14:textId="2594E639" w:rsidR="00BF54DD" w:rsidRPr="00C33C0A" w:rsidRDefault="00BF54DD" w:rsidP="00BF54DD">
            <w:pPr>
              <w:spacing w:after="0" w:line="240" w:lineRule="auto"/>
              <w:jc w:val="right"/>
              <w:rPr>
                <w:rFonts w:ascii="Times New Roman" w:eastAsia="Times New Roman" w:hAnsi="Times New Roman" w:cs="Times New Roman"/>
                <w:color w:val="000000"/>
                <w:lang w:eastAsia="hu-HU"/>
              </w:rPr>
            </w:pPr>
            <w:r w:rsidRPr="00E20C14">
              <w:rPr>
                <w:rFonts w:ascii="Times New Roman" w:eastAsia="Times New Roman" w:hAnsi="Times New Roman" w:cs="Times New Roman"/>
                <w:color w:val="000000"/>
                <w:lang w:eastAsia="hu-HU"/>
              </w:rPr>
              <w:t>20,7</w:t>
            </w:r>
          </w:p>
        </w:tc>
        <w:tc>
          <w:tcPr>
            <w:tcW w:w="1134" w:type="dxa"/>
            <w:tcBorders>
              <w:top w:val="single" w:sz="4" w:space="0" w:color="auto"/>
              <w:left w:val="single" w:sz="4" w:space="0" w:color="auto"/>
              <w:bottom w:val="single" w:sz="4" w:space="0" w:color="auto"/>
              <w:right w:val="single" w:sz="4" w:space="0" w:color="auto"/>
            </w:tcBorders>
            <w:noWrap/>
            <w:vAlign w:val="center"/>
          </w:tcPr>
          <w:p w14:paraId="076CA05C" w14:textId="26BDEA52" w:rsidR="00BF54DD" w:rsidRPr="00C33C0A" w:rsidRDefault="00BF54DD" w:rsidP="00BF54DD">
            <w:pPr>
              <w:spacing w:after="0" w:line="240" w:lineRule="auto"/>
              <w:jc w:val="right"/>
              <w:rPr>
                <w:rFonts w:ascii="Times New Roman" w:eastAsia="Times New Roman" w:hAnsi="Times New Roman" w:cs="Times New Roman"/>
                <w:color w:val="000000"/>
                <w:highlight w:val="yellow"/>
                <w:lang w:eastAsia="hu-HU"/>
              </w:rPr>
            </w:pPr>
            <w:r w:rsidRPr="00E20C14">
              <w:rPr>
                <w:rFonts w:ascii="Times New Roman" w:eastAsia="Times New Roman" w:hAnsi="Times New Roman" w:cs="Times New Roman"/>
                <w:color w:val="000000"/>
                <w:lang w:eastAsia="hu-HU"/>
              </w:rPr>
              <w:t>20,2</w:t>
            </w:r>
          </w:p>
        </w:tc>
        <w:tc>
          <w:tcPr>
            <w:tcW w:w="1134" w:type="dxa"/>
            <w:tcBorders>
              <w:top w:val="single" w:sz="4" w:space="0" w:color="auto"/>
              <w:left w:val="single" w:sz="4" w:space="0" w:color="auto"/>
              <w:bottom w:val="single" w:sz="4" w:space="0" w:color="auto"/>
              <w:right w:val="single" w:sz="4" w:space="0" w:color="auto"/>
            </w:tcBorders>
            <w:noWrap/>
            <w:vAlign w:val="center"/>
          </w:tcPr>
          <w:p w14:paraId="6D50AF41" w14:textId="6207694F" w:rsidR="00BF54DD" w:rsidRPr="00C33C0A" w:rsidRDefault="00BF54DD" w:rsidP="00BF54DD">
            <w:pPr>
              <w:spacing w:after="0" w:line="240" w:lineRule="auto"/>
              <w:jc w:val="right"/>
              <w:rPr>
                <w:rFonts w:ascii="Times New Roman" w:eastAsia="Times New Roman" w:hAnsi="Times New Roman" w:cs="Times New Roman"/>
                <w:color w:val="000000"/>
                <w:highlight w:val="yellow"/>
                <w:lang w:eastAsia="hu-HU"/>
              </w:rPr>
            </w:pPr>
            <w:r w:rsidRPr="00E20C14">
              <w:rPr>
                <w:rFonts w:ascii="Times New Roman" w:eastAsia="Times New Roman" w:hAnsi="Times New Roman" w:cs="Times New Roman"/>
                <w:color w:val="000000"/>
                <w:lang w:eastAsia="hu-HU"/>
              </w:rPr>
              <w:t>-0,5</w:t>
            </w:r>
          </w:p>
        </w:tc>
        <w:tc>
          <w:tcPr>
            <w:tcW w:w="1134" w:type="dxa"/>
            <w:tcBorders>
              <w:top w:val="single" w:sz="4" w:space="0" w:color="auto"/>
              <w:left w:val="single" w:sz="4" w:space="0" w:color="auto"/>
              <w:bottom w:val="single" w:sz="4" w:space="0" w:color="auto"/>
              <w:right w:val="single" w:sz="4" w:space="0" w:color="auto"/>
            </w:tcBorders>
            <w:noWrap/>
            <w:vAlign w:val="center"/>
          </w:tcPr>
          <w:p w14:paraId="4B60358B" w14:textId="6D634407" w:rsidR="00BF54DD" w:rsidRPr="00C33C0A" w:rsidRDefault="00BF54DD" w:rsidP="00BF54DD">
            <w:pPr>
              <w:spacing w:after="0" w:line="240" w:lineRule="auto"/>
              <w:jc w:val="right"/>
              <w:rPr>
                <w:rFonts w:ascii="Times New Roman" w:eastAsia="Times New Roman" w:hAnsi="Times New Roman" w:cs="Times New Roman"/>
                <w:color w:val="000000"/>
                <w:highlight w:val="yellow"/>
                <w:lang w:eastAsia="hu-HU"/>
              </w:rPr>
            </w:pPr>
            <w:r w:rsidRPr="00E20C14">
              <w:rPr>
                <w:rFonts w:ascii="Times New Roman" w:eastAsia="Times New Roman" w:hAnsi="Times New Roman" w:cs="Times New Roman"/>
                <w:color w:val="000000"/>
                <w:lang w:eastAsia="hu-HU"/>
              </w:rPr>
              <w:t>97,6</w:t>
            </w:r>
          </w:p>
        </w:tc>
      </w:tr>
      <w:tr w:rsidR="00BF54DD" w:rsidRPr="00C33C0A" w14:paraId="64122DD8" w14:textId="77777777" w:rsidTr="001024CD">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34F19DA4" w14:textId="77777777" w:rsidR="00BF54DD" w:rsidRPr="00C33C0A" w:rsidRDefault="00BF54DD" w:rsidP="00BF54DD">
            <w:pPr>
              <w:spacing w:after="0" w:line="240" w:lineRule="auto"/>
              <w:jc w:val="both"/>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Import jövedéki adó és energiaadó</w:t>
            </w:r>
          </w:p>
        </w:tc>
        <w:tc>
          <w:tcPr>
            <w:tcW w:w="1134" w:type="dxa"/>
            <w:tcBorders>
              <w:top w:val="single" w:sz="4" w:space="0" w:color="auto"/>
              <w:left w:val="single" w:sz="4" w:space="0" w:color="auto"/>
              <w:bottom w:val="single" w:sz="4" w:space="0" w:color="auto"/>
              <w:right w:val="single" w:sz="4" w:space="0" w:color="auto"/>
            </w:tcBorders>
            <w:noWrap/>
            <w:vAlign w:val="center"/>
          </w:tcPr>
          <w:p w14:paraId="343977C4" w14:textId="3D0EEDA8" w:rsidR="00BF54DD" w:rsidRPr="00C33C0A" w:rsidRDefault="00BF54DD" w:rsidP="00BF54DD">
            <w:pPr>
              <w:spacing w:after="0" w:line="240" w:lineRule="auto"/>
              <w:jc w:val="right"/>
              <w:rPr>
                <w:rFonts w:ascii="Times New Roman" w:eastAsia="Times New Roman" w:hAnsi="Times New Roman" w:cs="Times New Roman"/>
                <w:color w:val="000000"/>
                <w:lang w:eastAsia="hu-HU"/>
              </w:rPr>
            </w:pPr>
            <w:r w:rsidRPr="00E20C14">
              <w:rPr>
                <w:rFonts w:ascii="Times New Roman" w:eastAsia="Times New Roman" w:hAnsi="Times New Roman" w:cs="Times New Roman"/>
                <w:color w:val="000000"/>
                <w:lang w:eastAsia="hu-HU"/>
              </w:rPr>
              <w:t>4,8</w:t>
            </w:r>
          </w:p>
        </w:tc>
        <w:tc>
          <w:tcPr>
            <w:tcW w:w="1134" w:type="dxa"/>
            <w:tcBorders>
              <w:top w:val="single" w:sz="4" w:space="0" w:color="auto"/>
              <w:left w:val="single" w:sz="4" w:space="0" w:color="auto"/>
              <w:bottom w:val="single" w:sz="4" w:space="0" w:color="auto"/>
              <w:right w:val="single" w:sz="4" w:space="0" w:color="auto"/>
            </w:tcBorders>
            <w:noWrap/>
            <w:vAlign w:val="center"/>
          </w:tcPr>
          <w:p w14:paraId="1BB47638" w14:textId="64518E2B" w:rsidR="00BF54DD" w:rsidRPr="00C33C0A" w:rsidRDefault="00BF54DD" w:rsidP="00BF54DD">
            <w:pPr>
              <w:spacing w:after="0" w:line="240" w:lineRule="auto"/>
              <w:jc w:val="right"/>
              <w:rPr>
                <w:rFonts w:ascii="Times New Roman" w:eastAsia="Times New Roman" w:hAnsi="Times New Roman" w:cs="Times New Roman"/>
                <w:color w:val="000000"/>
                <w:highlight w:val="yellow"/>
                <w:lang w:eastAsia="hu-HU"/>
              </w:rPr>
            </w:pPr>
            <w:r w:rsidRPr="00E20C14">
              <w:rPr>
                <w:rFonts w:ascii="Times New Roman" w:eastAsia="Times New Roman" w:hAnsi="Times New Roman" w:cs="Times New Roman"/>
                <w:color w:val="000000"/>
                <w:lang w:eastAsia="hu-HU"/>
              </w:rPr>
              <w:t>4,5</w:t>
            </w:r>
          </w:p>
        </w:tc>
        <w:tc>
          <w:tcPr>
            <w:tcW w:w="1134" w:type="dxa"/>
            <w:tcBorders>
              <w:top w:val="single" w:sz="4" w:space="0" w:color="auto"/>
              <w:left w:val="single" w:sz="4" w:space="0" w:color="auto"/>
              <w:bottom w:val="single" w:sz="4" w:space="0" w:color="auto"/>
              <w:right w:val="single" w:sz="4" w:space="0" w:color="auto"/>
            </w:tcBorders>
            <w:noWrap/>
            <w:vAlign w:val="center"/>
          </w:tcPr>
          <w:p w14:paraId="7527F7EA" w14:textId="3A3E07B6" w:rsidR="00BF54DD" w:rsidRPr="00C33C0A" w:rsidRDefault="00BF54DD" w:rsidP="00BF54DD">
            <w:pPr>
              <w:spacing w:after="0" w:line="240" w:lineRule="auto"/>
              <w:jc w:val="right"/>
              <w:rPr>
                <w:rFonts w:ascii="Times New Roman" w:eastAsia="Times New Roman" w:hAnsi="Times New Roman" w:cs="Times New Roman"/>
                <w:color w:val="000000"/>
                <w:highlight w:val="yellow"/>
                <w:lang w:eastAsia="hu-HU"/>
              </w:rPr>
            </w:pPr>
            <w:r w:rsidRPr="00E20C14">
              <w:rPr>
                <w:rFonts w:ascii="Times New Roman" w:eastAsia="Times New Roman" w:hAnsi="Times New Roman" w:cs="Times New Roman"/>
                <w:color w:val="000000"/>
                <w:lang w:eastAsia="hu-HU"/>
              </w:rPr>
              <w:t>-0,3</w:t>
            </w:r>
          </w:p>
        </w:tc>
        <w:tc>
          <w:tcPr>
            <w:tcW w:w="1134" w:type="dxa"/>
            <w:tcBorders>
              <w:top w:val="single" w:sz="4" w:space="0" w:color="auto"/>
              <w:left w:val="single" w:sz="4" w:space="0" w:color="auto"/>
              <w:bottom w:val="single" w:sz="4" w:space="0" w:color="auto"/>
              <w:right w:val="single" w:sz="4" w:space="0" w:color="auto"/>
            </w:tcBorders>
            <w:noWrap/>
            <w:vAlign w:val="center"/>
          </w:tcPr>
          <w:p w14:paraId="195EC758" w14:textId="1435C000" w:rsidR="00BF54DD" w:rsidRPr="00C33C0A" w:rsidRDefault="00BF54DD" w:rsidP="00BF54DD">
            <w:pPr>
              <w:spacing w:after="0" w:line="240" w:lineRule="auto"/>
              <w:jc w:val="right"/>
              <w:rPr>
                <w:rFonts w:ascii="Times New Roman" w:eastAsia="Times New Roman" w:hAnsi="Times New Roman" w:cs="Times New Roman"/>
                <w:color w:val="000000"/>
                <w:highlight w:val="yellow"/>
                <w:lang w:eastAsia="hu-HU"/>
              </w:rPr>
            </w:pPr>
            <w:r w:rsidRPr="00E20C14">
              <w:rPr>
                <w:rFonts w:ascii="Times New Roman" w:eastAsia="Times New Roman" w:hAnsi="Times New Roman" w:cs="Times New Roman"/>
                <w:color w:val="000000"/>
                <w:lang w:eastAsia="hu-HU"/>
              </w:rPr>
              <w:t>93,8</w:t>
            </w:r>
          </w:p>
        </w:tc>
      </w:tr>
      <w:tr w:rsidR="00BF54DD" w:rsidRPr="00C33C0A" w14:paraId="57EA3024" w14:textId="77777777" w:rsidTr="001024CD">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28759E1F" w14:textId="77777777" w:rsidR="00BF54DD" w:rsidRPr="00C33C0A" w:rsidRDefault="00BF54DD" w:rsidP="00BF54DD">
            <w:pPr>
              <w:spacing w:after="0" w:line="240" w:lineRule="auto"/>
              <w:jc w:val="both"/>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Jövedéki adók összesen</w:t>
            </w:r>
          </w:p>
        </w:tc>
        <w:tc>
          <w:tcPr>
            <w:tcW w:w="1134" w:type="dxa"/>
            <w:tcBorders>
              <w:top w:val="single" w:sz="4" w:space="0" w:color="auto"/>
              <w:left w:val="single" w:sz="4" w:space="0" w:color="auto"/>
              <w:bottom w:val="single" w:sz="4" w:space="0" w:color="auto"/>
              <w:right w:val="single" w:sz="4" w:space="0" w:color="auto"/>
            </w:tcBorders>
            <w:noWrap/>
            <w:vAlign w:val="center"/>
          </w:tcPr>
          <w:p w14:paraId="433FDF42" w14:textId="79508BA3" w:rsidR="00BF54DD" w:rsidRPr="00C33C0A" w:rsidRDefault="00BF54DD" w:rsidP="00BF54DD">
            <w:pPr>
              <w:spacing w:after="0" w:line="240" w:lineRule="auto"/>
              <w:jc w:val="right"/>
              <w:rPr>
                <w:rFonts w:ascii="Times New Roman" w:eastAsia="Times New Roman" w:hAnsi="Times New Roman" w:cs="Times New Roman"/>
                <w:b/>
                <w:bCs/>
                <w:color w:val="000000"/>
                <w:lang w:eastAsia="hu-HU"/>
              </w:rPr>
            </w:pPr>
            <w:r w:rsidRPr="00E20C14">
              <w:rPr>
                <w:rFonts w:ascii="Times New Roman" w:eastAsia="Times New Roman" w:hAnsi="Times New Roman" w:cs="Times New Roman"/>
                <w:b/>
                <w:bCs/>
                <w:color w:val="000000"/>
                <w:lang w:eastAsia="hu-HU"/>
              </w:rPr>
              <w:t>245,4</w:t>
            </w:r>
          </w:p>
        </w:tc>
        <w:tc>
          <w:tcPr>
            <w:tcW w:w="1134" w:type="dxa"/>
            <w:tcBorders>
              <w:top w:val="single" w:sz="4" w:space="0" w:color="auto"/>
              <w:left w:val="single" w:sz="4" w:space="0" w:color="auto"/>
              <w:bottom w:val="single" w:sz="4" w:space="0" w:color="auto"/>
              <w:right w:val="single" w:sz="4" w:space="0" w:color="auto"/>
            </w:tcBorders>
            <w:noWrap/>
            <w:vAlign w:val="center"/>
          </w:tcPr>
          <w:p w14:paraId="0464B235" w14:textId="6E38FF39" w:rsidR="00BF54DD" w:rsidRPr="00C33C0A" w:rsidRDefault="00BF54DD" w:rsidP="00BF54DD">
            <w:pPr>
              <w:spacing w:after="0" w:line="240" w:lineRule="auto"/>
              <w:jc w:val="right"/>
              <w:rPr>
                <w:rFonts w:ascii="Times New Roman" w:eastAsia="Times New Roman" w:hAnsi="Times New Roman" w:cs="Times New Roman"/>
                <w:b/>
                <w:bCs/>
                <w:color w:val="000000"/>
                <w:highlight w:val="yellow"/>
                <w:lang w:eastAsia="hu-HU"/>
              </w:rPr>
            </w:pPr>
            <w:r w:rsidRPr="00E20C14">
              <w:rPr>
                <w:rFonts w:ascii="Times New Roman" w:eastAsia="Times New Roman" w:hAnsi="Times New Roman" w:cs="Times New Roman"/>
                <w:b/>
                <w:bCs/>
                <w:color w:val="000000"/>
                <w:lang w:eastAsia="hu-HU"/>
              </w:rPr>
              <w:t>273,9</w:t>
            </w:r>
          </w:p>
        </w:tc>
        <w:tc>
          <w:tcPr>
            <w:tcW w:w="1134" w:type="dxa"/>
            <w:tcBorders>
              <w:top w:val="single" w:sz="4" w:space="0" w:color="auto"/>
              <w:left w:val="single" w:sz="4" w:space="0" w:color="auto"/>
              <w:bottom w:val="single" w:sz="4" w:space="0" w:color="auto"/>
              <w:right w:val="single" w:sz="4" w:space="0" w:color="auto"/>
            </w:tcBorders>
            <w:noWrap/>
            <w:vAlign w:val="center"/>
          </w:tcPr>
          <w:p w14:paraId="26155CD1" w14:textId="2355C1BA" w:rsidR="00BF54DD" w:rsidRPr="00C33C0A" w:rsidRDefault="00BF54DD" w:rsidP="00BF54DD">
            <w:pPr>
              <w:spacing w:after="0" w:line="240" w:lineRule="auto"/>
              <w:jc w:val="right"/>
              <w:rPr>
                <w:rFonts w:ascii="Times New Roman" w:eastAsia="Times New Roman" w:hAnsi="Times New Roman" w:cs="Times New Roman"/>
                <w:b/>
                <w:bCs/>
                <w:color w:val="000000"/>
                <w:highlight w:val="yellow"/>
                <w:lang w:eastAsia="hu-HU"/>
              </w:rPr>
            </w:pPr>
            <w:r w:rsidRPr="00E20C14">
              <w:rPr>
                <w:rFonts w:ascii="Times New Roman" w:eastAsia="Times New Roman" w:hAnsi="Times New Roman" w:cs="Times New Roman"/>
                <w:b/>
                <w:bCs/>
                <w:color w:val="000000"/>
                <w:lang w:eastAsia="hu-HU"/>
              </w:rPr>
              <w:t>28,</w:t>
            </w:r>
            <w:r w:rsidR="00791AF3">
              <w:rPr>
                <w:rFonts w:ascii="Times New Roman" w:eastAsia="Times New Roman" w:hAnsi="Times New Roman" w:cs="Times New Roman"/>
                <w:b/>
                <w:bCs/>
                <w:color w:val="000000"/>
                <w:lang w:eastAsia="hu-HU"/>
              </w:rPr>
              <w:t>5</w:t>
            </w:r>
          </w:p>
        </w:tc>
        <w:tc>
          <w:tcPr>
            <w:tcW w:w="1134" w:type="dxa"/>
            <w:tcBorders>
              <w:top w:val="single" w:sz="4" w:space="0" w:color="auto"/>
              <w:left w:val="single" w:sz="4" w:space="0" w:color="auto"/>
              <w:bottom w:val="single" w:sz="4" w:space="0" w:color="auto"/>
              <w:right w:val="single" w:sz="4" w:space="0" w:color="auto"/>
            </w:tcBorders>
            <w:noWrap/>
            <w:vAlign w:val="center"/>
          </w:tcPr>
          <w:p w14:paraId="1C96954B" w14:textId="6D13726D" w:rsidR="00BF54DD" w:rsidRPr="00C33C0A" w:rsidRDefault="00BF54DD" w:rsidP="00BF54DD">
            <w:pPr>
              <w:spacing w:after="0" w:line="240" w:lineRule="auto"/>
              <w:jc w:val="right"/>
              <w:rPr>
                <w:rFonts w:ascii="Times New Roman" w:eastAsia="Times New Roman" w:hAnsi="Times New Roman" w:cs="Times New Roman"/>
                <w:b/>
                <w:bCs/>
                <w:color w:val="000000"/>
                <w:highlight w:val="yellow"/>
                <w:lang w:eastAsia="hu-HU"/>
              </w:rPr>
            </w:pPr>
            <w:r w:rsidRPr="00E20C14">
              <w:rPr>
                <w:rFonts w:ascii="Times New Roman" w:eastAsia="Times New Roman" w:hAnsi="Times New Roman" w:cs="Times New Roman"/>
                <w:b/>
                <w:bCs/>
                <w:color w:val="000000"/>
                <w:lang w:eastAsia="hu-HU"/>
              </w:rPr>
              <w:t>111,6</w:t>
            </w:r>
          </w:p>
        </w:tc>
      </w:tr>
    </w:tbl>
    <w:p w14:paraId="51F7D191" w14:textId="401FE422" w:rsidR="00E20C14" w:rsidRPr="00E20C14" w:rsidRDefault="00E20C14" w:rsidP="00966B20">
      <w:pPr>
        <w:spacing w:before="240" w:after="120"/>
        <w:jc w:val="both"/>
        <w:rPr>
          <w:rFonts w:ascii="Times New Roman" w:eastAsia="Times New Roman" w:hAnsi="Times New Roman" w:cs="Times New Roman"/>
          <w:sz w:val="26"/>
          <w:szCs w:val="20"/>
          <w:lang w:eastAsia="hu-HU"/>
        </w:rPr>
      </w:pPr>
      <w:r w:rsidRPr="00E20C14">
        <w:rPr>
          <w:rFonts w:ascii="Times New Roman" w:eastAsia="Times New Roman" w:hAnsi="Times New Roman" w:cs="Times New Roman"/>
          <w:b/>
          <w:sz w:val="26"/>
          <w:szCs w:val="20"/>
          <w:lang w:eastAsia="hu-HU"/>
        </w:rPr>
        <w:t>Pénzügyi tranzakciós illetékből</w:t>
      </w:r>
      <w:r w:rsidRPr="00E20C14">
        <w:rPr>
          <w:rFonts w:ascii="Times New Roman" w:eastAsia="Times New Roman" w:hAnsi="Times New Roman" w:cs="Times New Roman"/>
          <w:sz w:val="26"/>
          <w:szCs w:val="20"/>
          <w:lang w:eastAsia="hu-HU"/>
        </w:rPr>
        <w:t xml:space="preserve"> 2026 első két hónapjában 101,4 milliárd forint bevétele keletkezett a költségvetésnek, ami 2,0 milliárd forinttal maradt el az egy évvel korábbi összegnél. </w:t>
      </w:r>
    </w:p>
    <w:p w14:paraId="2B2F7A9F" w14:textId="65230AEF" w:rsidR="00E20C14" w:rsidRPr="00E20C14" w:rsidRDefault="00E20C14" w:rsidP="00966B20">
      <w:pPr>
        <w:spacing w:before="120" w:after="120"/>
        <w:jc w:val="both"/>
        <w:rPr>
          <w:rFonts w:ascii="Times New Roman" w:eastAsia="Times New Roman" w:hAnsi="Times New Roman" w:cs="Times New Roman"/>
          <w:sz w:val="26"/>
          <w:szCs w:val="20"/>
          <w:highlight w:val="yellow"/>
          <w:lang w:eastAsia="hu-HU"/>
        </w:rPr>
      </w:pPr>
      <w:r w:rsidRPr="00E20C14">
        <w:rPr>
          <w:rFonts w:ascii="Times New Roman" w:eastAsia="Times New Roman" w:hAnsi="Times New Roman" w:cs="Times New Roman"/>
          <w:sz w:val="26"/>
          <w:szCs w:val="20"/>
          <w:lang w:eastAsia="hu-HU"/>
        </w:rPr>
        <w:t xml:space="preserve">A </w:t>
      </w:r>
      <w:r w:rsidRPr="00E20C14">
        <w:rPr>
          <w:rFonts w:ascii="Times New Roman" w:eastAsia="Times New Roman" w:hAnsi="Times New Roman" w:cs="Times New Roman"/>
          <w:b/>
          <w:sz w:val="26"/>
          <w:szCs w:val="20"/>
          <w:lang w:eastAsia="hu-HU"/>
        </w:rPr>
        <w:t xml:space="preserve">biztosítási adóból </w:t>
      </w:r>
      <w:r w:rsidRPr="00E20C14">
        <w:rPr>
          <w:rFonts w:ascii="Times New Roman" w:eastAsia="Times New Roman" w:hAnsi="Times New Roman" w:cs="Times New Roman"/>
          <w:sz w:val="26"/>
          <w:szCs w:val="20"/>
          <w:lang w:eastAsia="hu-HU"/>
        </w:rPr>
        <w:t>származó bevétel 2026 első két hónapjában 37,0 milliárd forintot tett ki, amely 3,4 milliárd forinttal alacsonyabb az egy évvel korábbi bevételnél. A</w:t>
      </w:r>
      <w:r w:rsidR="00BF54DD">
        <w:rPr>
          <w:rFonts w:ascii="Times New Roman" w:eastAsia="Times New Roman" w:hAnsi="Times New Roman" w:cs="Times New Roman"/>
          <w:sz w:val="26"/>
          <w:szCs w:val="20"/>
          <w:lang w:eastAsia="hu-HU"/>
        </w:rPr>
        <w:t> </w:t>
      </w:r>
      <w:r w:rsidRPr="00E20C14">
        <w:rPr>
          <w:rFonts w:ascii="Times New Roman" w:eastAsia="Times New Roman" w:hAnsi="Times New Roman" w:cs="Times New Roman"/>
          <w:sz w:val="26"/>
          <w:szCs w:val="20"/>
          <w:lang w:eastAsia="hu-HU"/>
        </w:rPr>
        <w:t xml:space="preserve">bevételek előző évhez viszonyított alacsonyabb teljesülését az okozza, hogy a 2024. évi biztosítási pótadó-kötelezettség 2025. januári elszámolása a bázisévben magasabb bevételt </w:t>
      </w:r>
      <w:r w:rsidRPr="00E20C14">
        <w:rPr>
          <w:rFonts w:ascii="Times New Roman" w:eastAsia="Times New Roman" w:hAnsi="Times New Roman" w:cs="Times New Roman"/>
          <w:sz w:val="26"/>
          <w:szCs w:val="20"/>
          <w:lang w:eastAsia="hu-HU"/>
        </w:rPr>
        <w:lastRenderedPageBreak/>
        <w:t>eredményezett, mint a 2025. évi biztosítási pótadó-kötelezettség 2026. január</w:t>
      </w:r>
      <w:r w:rsidR="007F0495">
        <w:rPr>
          <w:rFonts w:ascii="Times New Roman" w:eastAsia="Times New Roman" w:hAnsi="Times New Roman" w:cs="Times New Roman"/>
          <w:sz w:val="26"/>
          <w:szCs w:val="20"/>
          <w:lang w:eastAsia="hu-HU"/>
        </w:rPr>
        <w:t>i</w:t>
      </w:r>
      <w:r w:rsidRPr="00E20C14">
        <w:rPr>
          <w:rFonts w:ascii="Times New Roman" w:eastAsia="Times New Roman" w:hAnsi="Times New Roman" w:cs="Times New Roman"/>
          <w:sz w:val="26"/>
          <w:szCs w:val="20"/>
          <w:lang w:eastAsia="hu-HU"/>
        </w:rPr>
        <w:t xml:space="preserve"> és februári elszámolása a tárgyévben.</w:t>
      </w:r>
    </w:p>
    <w:p w14:paraId="2004CA8C" w14:textId="0C6750CA" w:rsidR="00E20C14" w:rsidRPr="00E20C14" w:rsidRDefault="00E20C14" w:rsidP="00966B20">
      <w:pPr>
        <w:spacing w:before="120" w:after="120"/>
        <w:jc w:val="both"/>
        <w:rPr>
          <w:rFonts w:ascii="Times New Roman" w:eastAsia="Times New Roman" w:hAnsi="Times New Roman" w:cs="Times New Roman"/>
          <w:color w:val="000000"/>
          <w:sz w:val="26"/>
          <w:szCs w:val="20"/>
          <w:lang w:eastAsia="hu-HU"/>
        </w:rPr>
      </w:pPr>
      <w:r w:rsidRPr="00E20C14">
        <w:rPr>
          <w:rFonts w:ascii="Times New Roman" w:eastAsia="Times New Roman" w:hAnsi="Times New Roman" w:cs="Times New Roman"/>
          <w:color w:val="000000"/>
          <w:sz w:val="26"/>
          <w:szCs w:val="20"/>
          <w:lang w:eastAsia="hu-HU"/>
        </w:rPr>
        <w:t xml:space="preserve">A </w:t>
      </w:r>
      <w:r w:rsidRPr="00E20C14">
        <w:rPr>
          <w:rFonts w:ascii="Times New Roman" w:eastAsia="Times New Roman" w:hAnsi="Times New Roman" w:cs="Times New Roman"/>
          <w:b/>
          <w:bCs/>
          <w:color w:val="000000"/>
          <w:sz w:val="26"/>
          <w:szCs w:val="20"/>
          <w:lang w:eastAsia="hu-HU"/>
        </w:rPr>
        <w:t>személyi jövedelemadó</w:t>
      </w:r>
      <w:r w:rsidRPr="00E20C14">
        <w:rPr>
          <w:rFonts w:ascii="Times New Roman" w:eastAsia="Times New Roman" w:hAnsi="Times New Roman" w:cs="Times New Roman"/>
          <w:color w:val="000000"/>
          <w:sz w:val="26"/>
          <w:szCs w:val="20"/>
          <w:lang w:eastAsia="hu-HU"/>
        </w:rPr>
        <w:t xml:space="preserve"> bevétele 2026 első két hónapjában 938,6</w:t>
      </w:r>
      <w:r w:rsidRPr="00E20C14">
        <w:rPr>
          <w:rFonts w:ascii="Times New Roman" w:eastAsia="Times New Roman" w:hAnsi="Times New Roman" w:cs="Times New Roman"/>
          <w:sz w:val="26"/>
          <w:szCs w:val="20"/>
          <w:lang w:eastAsia="hu-HU"/>
        </w:rPr>
        <w:t> </w:t>
      </w:r>
      <w:r w:rsidRPr="00E20C14">
        <w:rPr>
          <w:rFonts w:ascii="Times New Roman" w:eastAsia="Times New Roman" w:hAnsi="Times New Roman" w:cs="Times New Roman"/>
          <w:color w:val="000000"/>
          <w:sz w:val="26"/>
          <w:szCs w:val="20"/>
          <w:lang w:eastAsia="hu-HU"/>
        </w:rPr>
        <w:t>milliárd</w:t>
      </w:r>
      <w:r w:rsidRPr="00E20C14">
        <w:rPr>
          <w:rFonts w:ascii="Times New Roman" w:eastAsia="Times New Roman" w:hAnsi="Times New Roman" w:cs="Times New Roman"/>
          <w:sz w:val="26"/>
          <w:szCs w:val="20"/>
          <w:lang w:eastAsia="hu-HU"/>
        </w:rPr>
        <w:t> </w:t>
      </w:r>
      <w:r w:rsidRPr="00E20C14">
        <w:rPr>
          <w:rFonts w:ascii="Times New Roman" w:eastAsia="Times New Roman" w:hAnsi="Times New Roman" w:cs="Times New Roman"/>
          <w:color w:val="000000"/>
          <w:sz w:val="26"/>
          <w:szCs w:val="20"/>
          <w:lang w:eastAsia="hu-HU"/>
        </w:rPr>
        <w:t>forint volt, amely 77,8</w:t>
      </w:r>
      <w:r w:rsidRPr="00E20C14">
        <w:rPr>
          <w:rFonts w:ascii="Times New Roman" w:eastAsia="Times New Roman" w:hAnsi="Times New Roman" w:cs="Times New Roman"/>
          <w:sz w:val="26"/>
          <w:szCs w:val="20"/>
          <w:lang w:eastAsia="hu-HU"/>
        </w:rPr>
        <w:t> </w:t>
      </w:r>
      <w:r w:rsidRPr="00E20C14">
        <w:rPr>
          <w:rFonts w:ascii="Times New Roman" w:eastAsia="Times New Roman" w:hAnsi="Times New Roman" w:cs="Times New Roman"/>
          <w:color w:val="000000"/>
          <w:sz w:val="26"/>
          <w:szCs w:val="20"/>
          <w:lang w:eastAsia="hu-HU"/>
        </w:rPr>
        <w:t>milliárd</w:t>
      </w:r>
      <w:r w:rsidRPr="00E20C14">
        <w:rPr>
          <w:rFonts w:ascii="Times New Roman" w:eastAsia="Times New Roman" w:hAnsi="Times New Roman" w:cs="Times New Roman"/>
          <w:sz w:val="26"/>
          <w:szCs w:val="20"/>
          <w:lang w:eastAsia="hu-HU"/>
        </w:rPr>
        <w:t> </w:t>
      </w:r>
      <w:r w:rsidRPr="00E20C14">
        <w:rPr>
          <w:rFonts w:ascii="Times New Roman" w:eastAsia="Times New Roman" w:hAnsi="Times New Roman" w:cs="Times New Roman"/>
          <w:color w:val="000000"/>
          <w:sz w:val="26"/>
          <w:szCs w:val="20"/>
          <w:lang w:eastAsia="hu-HU"/>
        </w:rPr>
        <w:t xml:space="preserve">forinttal magasabb az egy évvel korábbi összegnél. </w:t>
      </w:r>
      <w:bookmarkStart w:id="0" w:name="_Hlk224053963"/>
      <w:r w:rsidRPr="00E20C14">
        <w:rPr>
          <w:rFonts w:ascii="Times New Roman" w:eastAsia="Times New Roman" w:hAnsi="Times New Roman" w:cs="Times New Roman"/>
          <w:color w:val="000000"/>
          <w:sz w:val="26"/>
          <w:szCs w:val="20"/>
          <w:lang w:eastAsia="hu-HU"/>
        </w:rPr>
        <w:t xml:space="preserve">Ennek oka a </w:t>
      </w:r>
      <w:bookmarkStart w:id="1" w:name="_Hlk224054592"/>
      <w:r w:rsidRPr="00E20C14">
        <w:rPr>
          <w:rFonts w:ascii="Times New Roman" w:eastAsia="Times New Roman" w:hAnsi="Times New Roman" w:cs="Times New Roman"/>
          <w:color w:val="000000"/>
          <w:sz w:val="26"/>
          <w:szCs w:val="20"/>
          <w:lang w:eastAsia="hu-HU"/>
        </w:rPr>
        <w:t>bértömeg növekedésének, a családi kedvezmények kiterjesztésének és az egyszeri kifizetésekhez kapcsolódó befizetéseknek az együttes hatása.</w:t>
      </w:r>
      <w:bookmarkEnd w:id="0"/>
      <w:bookmarkEnd w:id="1"/>
    </w:p>
    <w:p w14:paraId="00A5B237" w14:textId="77777777" w:rsidR="00C33C0A" w:rsidRPr="00C33C0A" w:rsidRDefault="4600C643" w:rsidP="4600C643">
      <w:pPr>
        <w:keepNext/>
        <w:keepLines/>
        <w:spacing w:before="120" w:after="120" w:line="240" w:lineRule="auto"/>
        <w:jc w:val="center"/>
        <w:rPr>
          <w:rFonts w:ascii="Times New Roman" w:eastAsia="Times New Roman" w:hAnsi="Times New Roman" w:cs="Times New Roman"/>
          <w:b/>
          <w:bCs/>
          <w:lang w:eastAsia="hu-HU"/>
        </w:rPr>
      </w:pPr>
      <w:r w:rsidRPr="4600C643">
        <w:rPr>
          <w:rFonts w:ascii="Times New Roman" w:eastAsia="Times New Roman" w:hAnsi="Times New Roman" w:cs="Times New Roman"/>
          <w:b/>
          <w:bCs/>
          <w:lang w:eastAsia="hu-HU"/>
        </w:rPr>
        <w:t xml:space="preserve">Személyi jövedelemadó bevétel alakulása (milliárd forint) </w:t>
      </w: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9"/>
        <w:gridCol w:w="1645"/>
        <w:gridCol w:w="1701"/>
        <w:gridCol w:w="992"/>
        <w:gridCol w:w="992"/>
      </w:tblGrid>
      <w:tr w:rsidR="00E20C14" w:rsidRPr="00E20C14" w14:paraId="44A9753D" w14:textId="77777777" w:rsidTr="00BA6020">
        <w:trPr>
          <w:trHeight w:val="283"/>
          <w:jc w:val="center"/>
        </w:trPr>
        <w:tc>
          <w:tcPr>
            <w:tcW w:w="1469" w:type="dxa"/>
            <w:vMerge w:val="restart"/>
            <w:shd w:val="clear" w:color="auto" w:fill="BDD6EE" w:themeFill="accent1" w:themeFillTint="66"/>
            <w:noWrap/>
            <w:vAlign w:val="center"/>
            <w:hideMark/>
          </w:tcPr>
          <w:p w14:paraId="5051BA39" w14:textId="77777777" w:rsidR="00E20C14" w:rsidRPr="00E20C14" w:rsidRDefault="00E20C14" w:rsidP="00E20C14">
            <w:pPr>
              <w:keepNext/>
              <w:keepLines/>
              <w:spacing w:after="0" w:line="240" w:lineRule="auto"/>
              <w:jc w:val="center"/>
              <w:rPr>
                <w:rFonts w:ascii="Times New Roman" w:eastAsia="Times New Roman" w:hAnsi="Times New Roman" w:cs="Times New Roman"/>
                <w:b/>
                <w:bCs/>
                <w:szCs w:val="20"/>
                <w:lang w:eastAsia="hu-HU"/>
              </w:rPr>
            </w:pPr>
            <w:r w:rsidRPr="00E20C14">
              <w:rPr>
                <w:rFonts w:ascii="Times New Roman" w:eastAsia="Times New Roman" w:hAnsi="Times New Roman" w:cs="Times New Roman"/>
                <w:b/>
                <w:bCs/>
                <w:szCs w:val="20"/>
                <w:lang w:eastAsia="hu-HU"/>
              </w:rPr>
              <w:t>Megnevezés</w:t>
            </w:r>
          </w:p>
        </w:tc>
        <w:tc>
          <w:tcPr>
            <w:tcW w:w="1645" w:type="dxa"/>
            <w:vMerge w:val="restart"/>
            <w:shd w:val="clear" w:color="auto" w:fill="BDD6EE" w:themeFill="accent1" w:themeFillTint="66"/>
            <w:vAlign w:val="center"/>
            <w:hideMark/>
          </w:tcPr>
          <w:p w14:paraId="6A61F3EC" w14:textId="77777777" w:rsidR="00E20C14" w:rsidRPr="00E20C14" w:rsidRDefault="00E20C14" w:rsidP="00E20C14">
            <w:pPr>
              <w:spacing w:after="0" w:line="240" w:lineRule="auto"/>
              <w:jc w:val="center"/>
              <w:rPr>
                <w:rFonts w:ascii="Times New Roman" w:eastAsia="Times New Roman" w:hAnsi="Times New Roman" w:cs="Times New Roman"/>
                <w:b/>
                <w:bCs/>
                <w:szCs w:val="20"/>
                <w:lang w:eastAsia="hu-HU"/>
              </w:rPr>
            </w:pPr>
            <w:r w:rsidRPr="00E20C14">
              <w:rPr>
                <w:rFonts w:ascii="Times New Roman" w:eastAsia="Times New Roman" w:hAnsi="Times New Roman" w:cs="Times New Roman"/>
                <w:b/>
                <w:bCs/>
                <w:szCs w:val="20"/>
                <w:lang w:eastAsia="hu-HU"/>
              </w:rPr>
              <w:t xml:space="preserve">2025. </w:t>
            </w:r>
            <w:r w:rsidRPr="00E20C14">
              <w:rPr>
                <w:rFonts w:ascii="Times New Roman" w:eastAsia="Times New Roman" w:hAnsi="Times New Roman" w:cs="Times New Roman"/>
                <w:b/>
                <w:bCs/>
                <w:szCs w:val="20"/>
                <w:lang w:eastAsia="hu-HU"/>
              </w:rPr>
              <w:br/>
              <w:t>I-II. hó</w:t>
            </w:r>
          </w:p>
        </w:tc>
        <w:tc>
          <w:tcPr>
            <w:tcW w:w="1701" w:type="dxa"/>
            <w:vMerge w:val="restart"/>
            <w:shd w:val="clear" w:color="auto" w:fill="BDD6EE" w:themeFill="accent1" w:themeFillTint="66"/>
            <w:vAlign w:val="center"/>
            <w:hideMark/>
          </w:tcPr>
          <w:p w14:paraId="4AD78F0F" w14:textId="77777777" w:rsidR="00E20C14" w:rsidRPr="00E20C14" w:rsidRDefault="00E20C14" w:rsidP="00E20C14">
            <w:pPr>
              <w:spacing w:after="0" w:line="240" w:lineRule="auto"/>
              <w:jc w:val="center"/>
              <w:rPr>
                <w:rFonts w:ascii="Times New Roman" w:eastAsia="Times New Roman" w:hAnsi="Times New Roman" w:cs="Times New Roman"/>
                <w:b/>
                <w:bCs/>
                <w:szCs w:val="20"/>
                <w:lang w:eastAsia="hu-HU"/>
              </w:rPr>
            </w:pPr>
            <w:r w:rsidRPr="00E20C14">
              <w:rPr>
                <w:rFonts w:ascii="Times New Roman" w:eastAsia="Times New Roman" w:hAnsi="Times New Roman" w:cs="Times New Roman"/>
                <w:b/>
                <w:bCs/>
                <w:szCs w:val="20"/>
                <w:lang w:eastAsia="hu-HU"/>
              </w:rPr>
              <w:t>2026.</w:t>
            </w:r>
            <w:r w:rsidRPr="00E20C14">
              <w:rPr>
                <w:rFonts w:ascii="Times New Roman" w:eastAsia="Times New Roman" w:hAnsi="Times New Roman" w:cs="Times New Roman"/>
                <w:b/>
                <w:bCs/>
                <w:szCs w:val="20"/>
                <w:lang w:eastAsia="hu-HU"/>
              </w:rPr>
              <w:br/>
              <w:t>I-II. hó</w:t>
            </w:r>
          </w:p>
        </w:tc>
        <w:tc>
          <w:tcPr>
            <w:tcW w:w="1984" w:type="dxa"/>
            <w:gridSpan w:val="2"/>
            <w:shd w:val="clear" w:color="auto" w:fill="BDD6EE" w:themeFill="accent1" w:themeFillTint="66"/>
            <w:vAlign w:val="center"/>
            <w:hideMark/>
          </w:tcPr>
          <w:p w14:paraId="4A98029F" w14:textId="77777777" w:rsidR="00E20C14" w:rsidRPr="00E20C14" w:rsidRDefault="00E20C14" w:rsidP="00E20C14">
            <w:pPr>
              <w:keepNext/>
              <w:keepLines/>
              <w:spacing w:after="0" w:line="240" w:lineRule="auto"/>
              <w:jc w:val="center"/>
              <w:rPr>
                <w:rFonts w:ascii="Times New Roman" w:eastAsia="Times New Roman" w:hAnsi="Times New Roman" w:cs="Times New Roman"/>
                <w:b/>
                <w:bCs/>
                <w:szCs w:val="20"/>
                <w:lang w:eastAsia="hu-HU"/>
              </w:rPr>
            </w:pPr>
            <w:r w:rsidRPr="00E20C14">
              <w:rPr>
                <w:rFonts w:ascii="Times New Roman" w:eastAsia="Times New Roman" w:hAnsi="Times New Roman" w:cs="Times New Roman"/>
                <w:b/>
                <w:bCs/>
                <w:szCs w:val="20"/>
                <w:lang w:eastAsia="hu-HU"/>
              </w:rPr>
              <w:t>Eltérés</w:t>
            </w:r>
          </w:p>
        </w:tc>
      </w:tr>
      <w:tr w:rsidR="00E20C14" w:rsidRPr="00E20C14" w14:paraId="1050C245" w14:textId="77777777" w:rsidTr="00BA6020">
        <w:trPr>
          <w:trHeight w:val="283"/>
          <w:jc w:val="center"/>
        </w:trPr>
        <w:tc>
          <w:tcPr>
            <w:tcW w:w="1469" w:type="dxa"/>
            <w:vMerge/>
            <w:shd w:val="clear" w:color="auto" w:fill="BDD6EE" w:themeFill="accent1" w:themeFillTint="66"/>
            <w:noWrap/>
            <w:vAlign w:val="center"/>
          </w:tcPr>
          <w:p w14:paraId="34037915" w14:textId="77777777" w:rsidR="00E20C14" w:rsidRPr="00E20C14" w:rsidRDefault="00E20C14" w:rsidP="00E20C14">
            <w:pPr>
              <w:keepNext/>
              <w:keepLines/>
              <w:spacing w:after="0" w:line="240" w:lineRule="auto"/>
              <w:jc w:val="center"/>
              <w:rPr>
                <w:rFonts w:ascii="Times New Roman" w:eastAsia="Times New Roman" w:hAnsi="Times New Roman" w:cs="Times New Roman"/>
                <w:b/>
                <w:bCs/>
                <w:szCs w:val="20"/>
                <w:lang w:eastAsia="hu-HU"/>
              </w:rPr>
            </w:pPr>
          </w:p>
        </w:tc>
        <w:tc>
          <w:tcPr>
            <w:tcW w:w="1645" w:type="dxa"/>
            <w:vMerge/>
            <w:shd w:val="clear" w:color="auto" w:fill="BDD6EE" w:themeFill="accent1" w:themeFillTint="66"/>
            <w:vAlign w:val="center"/>
          </w:tcPr>
          <w:p w14:paraId="0448DEE4" w14:textId="77777777" w:rsidR="00E20C14" w:rsidRPr="00E20C14" w:rsidRDefault="00E20C14" w:rsidP="00E20C14">
            <w:pPr>
              <w:spacing w:after="0" w:line="240" w:lineRule="auto"/>
              <w:jc w:val="center"/>
              <w:rPr>
                <w:rFonts w:ascii="Times New Roman" w:eastAsia="Times New Roman" w:hAnsi="Times New Roman" w:cs="Times New Roman"/>
                <w:b/>
                <w:bCs/>
                <w:szCs w:val="20"/>
                <w:lang w:eastAsia="hu-HU"/>
              </w:rPr>
            </w:pPr>
          </w:p>
        </w:tc>
        <w:tc>
          <w:tcPr>
            <w:tcW w:w="1701" w:type="dxa"/>
            <w:vMerge/>
            <w:shd w:val="clear" w:color="auto" w:fill="BDD6EE" w:themeFill="accent1" w:themeFillTint="66"/>
            <w:vAlign w:val="center"/>
          </w:tcPr>
          <w:p w14:paraId="7A9B9682" w14:textId="77777777" w:rsidR="00E20C14" w:rsidRPr="00E20C14" w:rsidRDefault="00E20C14" w:rsidP="00E20C14">
            <w:pPr>
              <w:spacing w:after="0" w:line="240" w:lineRule="auto"/>
              <w:jc w:val="center"/>
              <w:rPr>
                <w:rFonts w:ascii="Times New Roman" w:eastAsia="Times New Roman" w:hAnsi="Times New Roman" w:cs="Times New Roman"/>
                <w:b/>
                <w:bCs/>
                <w:szCs w:val="20"/>
                <w:lang w:eastAsia="hu-HU"/>
              </w:rPr>
            </w:pPr>
          </w:p>
        </w:tc>
        <w:tc>
          <w:tcPr>
            <w:tcW w:w="992" w:type="dxa"/>
            <w:shd w:val="clear" w:color="auto" w:fill="BDD6EE" w:themeFill="accent1" w:themeFillTint="66"/>
            <w:vAlign w:val="center"/>
          </w:tcPr>
          <w:p w14:paraId="3DE9F695" w14:textId="77777777" w:rsidR="00E20C14" w:rsidRPr="00E20C14" w:rsidRDefault="00E20C14" w:rsidP="00E20C14">
            <w:pPr>
              <w:keepNext/>
              <w:keepLines/>
              <w:spacing w:after="0" w:line="240" w:lineRule="auto"/>
              <w:jc w:val="center"/>
              <w:rPr>
                <w:rFonts w:ascii="Times New Roman" w:eastAsia="Times New Roman" w:hAnsi="Times New Roman" w:cs="Times New Roman"/>
                <w:b/>
                <w:bCs/>
                <w:szCs w:val="20"/>
                <w:lang w:eastAsia="hu-HU"/>
              </w:rPr>
            </w:pPr>
            <w:r w:rsidRPr="00E20C14">
              <w:rPr>
                <w:rFonts w:ascii="Times New Roman" w:eastAsia="Times New Roman" w:hAnsi="Times New Roman" w:cs="Times New Roman"/>
                <w:b/>
                <w:bCs/>
                <w:szCs w:val="20"/>
                <w:lang w:eastAsia="hu-HU"/>
              </w:rPr>
              <w:t>Mrd Ft</w:t>
            </w:r>
          </w:p>
        </w:tc>
        <w:tc>
          <w:tcPr>
            <w:tcW w:w="992" w:type="dxa"/>
            <w:shd w:val="clear" w:color="auto" w:fill="BDD6EE" w:themeFill="accent1" w:themeFillTint="66"/>
          </w:tcPr>
          <w:p w14:paraId="53A5879F" w14:textId="77777777" w:rsidR="00E20C14" w:rsidRPr="00E20C14" w:rsidRDefault="00E20C14" w:rsidP="00E20C14">
            <w:pPr>
              <w:keepNext/>
              <w:keepLines/>
              <w:spacing w:after="0" w:line="240" w:lineRule="auto"/>
              <w:jc w:val="center"/>
              <w:rPr>
                <w:rFonts w:ascii="Times New Roman" w:eastAsia="Times New Roman" w:hAnsi="Times New Roman" w:cs="Times New Roman"/>
                <w:b/>
                <w:bCs/>
                <w:szCs w:val="20"/>
                <w:lang w:eastAsia="hu-HU"/>
              </w:rPr>
            </w:pPr>
            <w:r w:rsidRPr="00E20C14">
              <w:rPr>
                <w:rFonts w:ascii="Times New Roman" w:eastAsia="Times New Roman" w:hAnsi="Times New Roman" w:cs="Times New Roman"/>
                <w:b/>
                <w:bCs/>
                <w:szCs w:val="20"/>
                <w:lang w:eastAsia="hu-HU"/>
              </w:rPr>
              <w:t>%</w:t>
            </w:r>
          </w:p>
        </w:tc>
      </w:tr>
      <w:tr w:rsidR="00E20C14" w:rsidRPr="00E20C14" w14:paraId="7F290335" w14:textId="77777777" w:rsidTr="00BE083B">
        <w:trPr>
          <w:trHeight w:val="340"/>
          <w:jc w:val="center"/>
        </w:trPr>
        <w:tc>
          <w:tcPr>
            <w:tcW w:w="1469" w:type="dxa"/>
            <w:noWrap/>
            <w:vAlign w:val="center"/>
            <w:hideMark/>
          </w:tcPr>
          <w:p w14:paraId="05398CF0" w14:textId="77777777" w:rsidR="00E20C14" w:rsidRPr="00E20C14" w:rsidRDefault="00E20C14" w:rsidP="00E20C14">
            <w:pPr>
              <w:keepNext/>
              <w:keepLines/>
              <w:spacing w:after="0" w:line="240" w:lineRule="auto"/>
              <w:jc w:val="both"/>
              <w:rPr>
                <w:rFonts w:ascii="Times New Roman" w:eastAsia="Times New Roman" w:hAnsi="Times New Roman" w:cs="Times New Roman"/>
                <w:szCs w:val="20"/>
                <w:lang w:eastAsia="hu-HU"/>
              </w:rPr>
            </w:pPr>
            <w:r w:rsidRPr="00E20C14">
              <w:rPr>
                <w:rFonts w:ascii="Times New Roman" w:eastAsia="Times New Roman" w:hAnsi="Times New Roman" w:cs="Times New Roman"/>
                <w:szCs w:val="20"/>
                <w:lang w:eastAsia="hu-HU"/>
              </w:rPr>
              <w:t>Befizetés</w:t>
            </w:r>
          </w:p>
        </w:tc>
        <w:tc>
          <w:tcPr>
            <w:tcW w:w="1645" w:type="dxa"/>
            <w:noWrap/>
            <w:vAlign w:val="center"/>
          </w:tcPr>
          <w:p w14:paraId="0BE08BB0" w14:textId="77777777" w:rsidR="00E20C14" w:rsidRPr="00E20C14" w:rsidRDefault="00E20C14" w:rsidP="00E20C14">
            <w:pPr>
              <w:keepNext/>
              <w:keepLines/>
              <w:spacing w:after="0" w:line="240" w:lineRule="auto"/>
              <w:jc w:val="right"/>
              <w:rPr>
                <w:rFonts w:ascii="Times New Roman" w:eastAsia="Times New Roman" w:hAnsi="Times New Roman" w:cs="Times New Roman"/>
                <w:szCs w:val="20"/>
                <w:lang w:eastAsia="hu-HU"/>
              </w:rPr>
            </w:pPr>
            <w:r w:rsidRPr="00E20C14">
              <w:rPr>
                <w:rFonts w:ascii="Times New Roman" w:eastAsia="Times New Roman" w:hAnsi="Times New Roman" w:cs="Times New Roman"/>
                <w:szCs w:val="20"/>
                <w:lang w:eastAsia="hu-HU"/>
              </w:rPr>
              <w:t>867,9</w:t>
            </w:r>
          </w:p>
        </w:tc>
        <w:tc>
          <w:tcPr>
            <w:tcW w:w="1701" w:type="dxa"/>
            <w:noWrap/>
            <w:vAlign w:val="center"/>
          </w:tcPr>
          <w:p w14:paraId="405B90C4" w14:textId="77777777" w:rsidR="00E20C14" w:rsidRPr="00E20C14" w:rsidRDefault="00E20C14" w:rsidP="00E20C14">
            <w:pPr>
              <w:keepNext/>
              <w:keepLines/>
              <w:spacing w:after="0" w:line="240" w:lineRule="auto"/>
              <w:jc w:val="right"/>
              <w:rPr>
                <w:rFonts w:ascii="Times New Roman" w:eastAsia="Times New Roman" w:hAnsi="Times New Roman" w:cs="Times New Roman"/>
                <w:szCs w:val="20"/>
                <w:lang w:eastAsia="hu-HU"/>
              </w:rPr>
            </w:pPr>
            <w:r w:rsidRPr="00E20C14">
              <w:rPr>
                <w:rFonts w:ascii="Times New Roman" w:eastAsia="Times New Roman" w:hAnsi="Times New Roman" w:cs="Times New Roman"/>
                <w:szCs w:val="20"/>
                <w:lang w:eastAsia="hu-HU"/>
              </w:rPr>
              <w:t>946,3</w:t>
            </w:r>
          </w:p>
        </w:tc>
        <w:tc>
          <w:tcPr>
            <w:tcW w:w="992" w:type="dxa"/>
            <w:noWrap/>
            <w:vAlign w:val="center"/>
          </w:tcPr>
          <w:p w14:paraId="13CD8107" w14:textId="77777777" w:rsidR="00E20C14" w:rsidRPr="00E20C14" w:rsidRDefault="00E20C14" w:rsidP="00E20C14">
            <w:pPr>
              <w:keepNext/>
              <w:keepLines/>
              <w:spacing w:after="0" w:line="240" w:lineRule="auto"/>
              <w:jc w:val="right"/>
              <w:rPr>
                <w:rFonts w:ascii="Times New Roman" w:eastAsia="Times New Roman" w:hAnsi="Times New Roman" w:cs="Times New Roman"/>
                <w:szCs w:val="20"/>
                <w:lang w:eastAsia="hu-HU"/>
              </w:rPr>
            </w:pPr>
            <w:r w:rsidRPr="00E20C14">
              <w:rPr>
                <w:rFonts w:ascii="Times New Roman" w:eastAsia="Times New Roman" w:hAnsi="Times New Roman" w:cs="Times New Roman"/>
                <w:szCs w:val="20"/>
                <w:lang w:eastAsia="hu-HU"/>
              </w:rPr>
              <w:t>78,4</w:t>
            </w:r>
          </w:p>
        </w:tc>
        <w:tc>
          <w:tcPr>
            <w:tcW w:w="992" w:type="dxa"/>
            <w:vAlign w:val="center"/>
          </w:tcPr>
          <w:p w14:paraId="4DDBAA81" w14:textId="77777777" w:rsidR="00E20C14" w:rsidRPr="00E20C14" w:rsidRDefault="00E20C14" w:rsidP="00E20C14">
            <w:pPr>
              <w:keepNext/>
              <w:keepLines/>
              <w:spacing w:after="0" w:line="240" w:lineRule="auto"/>
              <w:jc w:val="right"/>
              <w:rPr>
                <w:rFonts w:ascii="Times New Roman" w:eastAsia="Times New Roman" w:hAnsi="Times New Roman" w:cs="Times New Roman"/>
                <w:szCs w:val="20"/>
                <w:lang w:eastAsia="hu-HU"/>
              </w:rPr>
            </w:pPr>
            <w:r w:rsidRPr="00E20C14">
              <w:rPr>
                <w:rFonts w:ascii="Times New Roman" w:eastAsia="Times New Roman" w:hAnsi="Times New Roman" w:cs="Times New Roman"/>
                <w:szCs w:val="20"/>
                <w:lang w:eastAsia="hu-HU"/>
              </w:rPr>
              <w:t>109,0</w:t>
            </w:r>
          </w:p>
        </w:tc>
      </w:tr>
      <w:tr w:rsidR="00E20C14" w:rsidRPr="00E20C14" w14:paraId="1F8F0759" w14:textId="77777777" w:rsidTr="00BE083B">
        <w:trPr>
          <w:trHeight w:val="340"/>
          <w:jc w:val="center"/>
        </w:trPr>
        <w:tc>
          <w:tcPr>
            <w:tcW w:w="1469" w:type="dxa"/>
            <w:noWrap/>
            <w:vAlign w:val="center"/>
            <w:hideMark/>
          </w:tcPr>
          <w:p w14:paraId="636CFB1E" w14:textId="77777777" w:rsidR="00E20C14" w:rsidRPr="00E20C14" w:rsidRDefault="00E20C14" w:rsidP="00E20C14">
            <w:pPr>
              <w:keepNext/>
              <w:keepLines/>
              <w:spacing w:after="0" w:line="240" w:lineRule="auto"/>
              <w:jc w:val="both"/>
              <w:rPr>
                <w:rFonts w:ascii="Times New Roman" w:eastAsia="Times New Roman" w:hAnsi="Times New Roman" w:cs="Times New Roman"/>
                <w:szCs w:val="20"/>
                <w:lang w:eastAsia="hu-HU"/>
              </w:rPr>
            </w:pPr>
            <w:r w:rsidRPr="00E20C14">
              <w:rPr>
                <w:rFonts w:ascii="Times New Roman" w:eastAsia="Times New Roman" w:hAnsi="Times New Roman" w:cs="Times New Roman"/>
                <w:szCs w:val="20"/>
                <w:lang w:eastAsia="hu-HU"/>
              </w:rPr>
              <w:t>Kiutalás</w:t>
            </w:r>
          </w:p>
        </w:tc>
        <w:tc>
          <w:tcPr>
            <w:tcW w:w="1645" w:type="dxa"/>
            <w:noWrap/>
            <w:vAlign w:val="center"/>
          </w:tcPr>
          <w:p w14:paraId="66EA9945" w14:textId="77777777" w:rsidR="00E20C14" w:rsidRPr="00E20C14" w:rsidRDefault="00E20C14" w:rsidP="00E20C14">
            <w:pPr>
              <w:keepNext/>
              <w:keepLines/>
              <w:spacing w:after="0" w:line="240" w:lineRule="auto"/>
              <w:jc w:val="right"/>
              <w:rPr>
                <w:rFonts w:ascii="Times New Roman" w:eastAsia="Times New Roman" w:hAnsi="Times New Roman" w:cs="Times New Roman"/>
                <w:szCs w:val="20"/>
                <w:lang w:eastAsia="hu-HU"/>
              </w:rPr>
            </w:pPr>
            <w:r w:rsidRPr="00E20C14">
              <w:rPr>
                <w:rFonts w:ascii="Times New Roman" w:eastAsia="Times New Roman" w:hAnsi="Times New Roman" w:cs="Times New Roman"/>
                <w:szCs w:val="20"/>
                <w:lang w:eastAsia="hu-HU"/>
              </w:rPr>
              <w:t>7,1</w:t>
            </w:r>
          </w:p>
        </w:tc>
        <w:tc>
          <w:tcPr>
            <w:tcW w:w="1701" w:type="dxa"/>
            <w:noWrap/>
            <w:vAlign w:val="center"/>
          </w:tcPr>
          <w:p w14:paraId="5106D112" w14:textId="77777777" w:rsidR="00E20C14" w:rsidRPr="00E20C14" w:rsidRDefault="00E20C14" w:rsidP="00E20C14">
            <w:pPr>
              <w:keepNext/>
              <w:keepLines/>
              <w:spacing w:after="0" w:line="240" w:lineRule="auto"/>
              <w:jc w:val="right"/>
              <w:rPr>
                <w:rFonts w:ascii="Times New Roman" w:eastAsia="Times New Roman" w:hAnsi="Times New Roman" w:cs="Times New Roman"/>
                <w:szCs w:val="20"/>
                <w:lang w:eastAsia="hu-HU"/>
              </w:rPr>
            </w:pPr>
            <w:r w:rsidRPr="00E20C14">
              <w:rPr>
                <w:rFonts w:ascii="Times New Roman" w:eastAsia="Times New Roman" w:hAnsi="Times New Roman" w:cs="Times New Roman"/>
                <w:szCs w:val="20"/>
                <w:lang w:eastAsia="hu-HU"/>
              </w:rPr>
              <w:t>7,7</w:t>
            </w:r>
          </w:p>
        </w:tc>
        <w:tc>
          <w:tcPr>
            <w:tcW w:w="992" w:type="dxa"/>
            <w:noWrap/>
            <w:vAlign w:val="center"/>
          </w:tcPr>
          <w:p w14:paraId="0D8F73B0" w14:textId="77777777" w:rsidR="00E20C14" w:rsidRPr="00E20C14" w:rsidRDefault="00E20C14" w:rsidP="00E20C14">
            <w:pPr>
              <w:keepNext/>
              <w:keepLines/>
              <w:spacing w:after="0" w:line="240" w:lineRule="auto"/>
              <w:jc w:val="right"/>
              <w:rPr>
                <w:rFonts w:ascii="Times New Roman" w:eastAsia="Times New Roman" w:hAnsi="Times New Roman" w:cs="Times New Roman"/>
                <w:szCs w:val="20"/>
                <w:lang w:eastAsia="hu-HU"/>
              </w:rPr>
            </w:pPr>
            <w:r w:rsidRPr="00E20C14">
              <w:rPr>
                <w:rFonts w:ascii="Times New Roman" w:eastAsia="Times New Roman" w:hAnsi="Times New Roman" w:cs="Times New Roman"/>
                <w:szCs w:val="20"/>
                <w:lang w:eastAsia="hu-HU"/>
              </w:rPr>
              <w:t>0,6</w:t>
            </w:r>
          </w:p>
        </w:tc>
        <w:tc>
          <w:tcPr>
            <w:tcW w:w="992" w:type="dxa"/>
            <w:vAlign w:val="center"/>
          </w:tcPr>
          <w:p w14:paraId="5355D9BD" w14:textId="77777777" w:rsidR="00E20C14" w:rsidRPr="00E20C14" w:rsidRDefault="00E20C14" w:rsidP="00E20C14">
            <w:pPr>
              <w:keepNext/>
              <w:keepLines/>
              <w:spacing w:after="0" w:line="240" w:lineRule="auto"/>
              <w:jc w:val="right"/>
              <w:rPr>
                <w:rFonts w:ascii="Times New Roman" w:eastAsia="Times New Roman" w:hAnsi="Times New Roman" w:cs="Times New Roman"/>
                <w:szCs w:val="20"/>
                <w:lang w:eastAsia="hu-HU"/>
              </w:rPr>
            </w:pPr>
            <w:r w:rsidRPr="00E20C14">
              <w:rPr>
                <w:rFonts w:ascii="Times New Roman" w:eastAsia="Times New Roman" w:hAnsi="Times New Roman" w:cs="Times New Roman"/>
                <w:szCs w:val="20"/>
                <w:lang w:eastAsia="hu-HU"/>
              </w:rPr>
              <w:t>108,5</w:t>
            </w:r>
          </w:p>
        </w:tc>
      </w:tr>
      <w:tr w:rsidR="00E20C14" w:rsidRPr="00E20C14" w14:paraId="39D799AA" w14:textId="77777777" w:rsidTr="00BE083B">
        <w:trPr>
          <w:trHeight w:val="340"/>
          <w:jc w:val="center"/>
        </w:trPr>
        <w:tc>
          <w:tcPr>
            <w:tcW w:w="1469" w:type="dxa"/>
            <w:noWrap/>
            <w:vAlign w:val="center"/>
            <w:hideMark/>
          </w:tcPr>
          <w:p w14:paraId="4D199315" w14:textId="77777777" w:rsidR="00E20C14" w:rsidRPr="00E20C14" w:rsidRDefault="00E20C14" w:rsidP="00E20C14">
            <w:pPr>
              <w:widowControl w:val="0"/>
              <w:spacing w:after="0" w:line="240" w:lineRule="auto"/>
              <w:jc w:val="both"/>
              <w:rPr>
                <w:rFonts w:ascii="Times New Roman" w:eastAsia="Times New Roman" w:hAnsi="Times New Roman" w:cs="Times New Roman"/>
                <w:b/>
                <w:bCs/>
                <w:szCs w:val="20"/>
                <w:lang w:eastAsia="hu-HU"/>
              </w:rPr>
            </w:pPr>
            <w:r w:rsidRPr="00E20C14">
              <w:rPr>
                <w:rFonts w:ascii="Times New Roman" w:eastAsia="Times New Roman" w:hAnsi="Times New Roman" w:cs="Times New Roman"/>
                <w:b/>
                <w:bCs/>
                <w:szCs w:val="20"/>
                <w:lang w:eastAsia="hu-HU"/>
              </w:rPr>
              <w:t>Egyenleg</w:t>
            </w:r>
          </w:p>
        </w:tc>
        <w:tc>
          <w:tcPr>
            <w:tcW w:w="1645" w:type="dxa"/>
            <w:noWrap/>
            <w:vAlign w:val="center"/>
          </w:tcPr>
          <w:p w14:paraId="692C7DD8" w14:textId="77777777" w:rsidR="00E20C14" w:rsidRPr="00E20C14" w:rsidRDefault="00E20C14" w:rsidP="00E20C14">
            <w:pPr>
              <w:widowControl w:val="0"/>
              <w:spacing w:after="0" w:line="240" w:lineRule="auto"/>
              <w:jc w:val="right"/>
              <w:rPr>
                <w:rFonts w:ascii="Times New Roman" w:eastAsia="Times New Roman" w:hAnsi="Times New Roman" w:cs="Times New Roman"/>
                <w:b/>
                <w:bCs/>
                <w:szCs w:val="20"/>
                <w:lang w:eastAsia="hu-HU"/>
              </w:rPr>
            </w:pPr>
            <w:r w:rsidRPr="00E20C14">
              <w:rPr>
                <w:rFonts w:ascii="Times New Roman" w:eastAsia="Times New Roman" w:hAnsi="Times New Roman" w:cs="Times New Roman"/>
                <w:b/>
                <w:bCs/>
                <w:szCs w:val="20"/>
                <w:lang w:eastAsia="hu-HU"/>
              </w:rPr>
              <w:t>860,8</w:t>
            </w:r>
          </w:p>
        </w:tc>
        <w:tc>
          <w:tcPr>
            <w:tcW w:w="1701" w:type="dxa"/>
            <w:noWrap/>
            <w:vAlign w:val="center"/>
          </w:tcPr>
          <w:p w14:paraId="6AE4B2EA" w14:textId="77777777" w:rsidR="00E20C14" w:rsidRPr="00E20C14" w:rsidRDefault="00E20C14" w:rsidP="00E20C14">
            <w:pPr>
              <w:widowControl w:val="0"/>
              <w:spacing w:after="0" w:line="240" w:lineRule="auto"/>
              <w:jc w:val="right"/>
              <w:rPr>
                <w:rFonts w:ascii="Times New Roman" w:eastAsia="Times New Roman" w:hAnsi="Times New Roman" w:cs="Times New Roman"/>
                <w:b/>
                <w:bCs/>
                <w:szCs w:val="20"/>
                <w:lang w:eastAsia="hu-HU"/>
              </w:rPr>
            </w:pPr>
            <w:r w:rsidRPr="00E20C14">
              <w:rPr>
                <w:rFonts w:ascii="Times New Roman" w:eastAsia="Times New Roman" w:hAnsi="Times New Roman" w:cs="Times New Roman"/>
                <w:b/>
                <w:bCs/>
                <w:szCs w:val="20"/>
                <w:lang w:eastAsia="hu-HU"/>
              </w:rPr>
              <w:t>938,6</w:t>
            </w:r>
          </w:p>
        </w:tc>
        <w:tc>
          <w:tcPr>
            <w:tcW w:w="992" w:type="dxa"/>
            <w:noWrap/>
            <w:vAlign w:val="center"/>
          </w:tcPr>
          <w:p w14:paraId="62B0A6FA" w14:textId="77777777" w:rsidR="00E20C14" w:rsidRPr="00E20C14" w:rsidRDefault="00E20C14" w:rsidP="00E20C14">
            <w:pPr>
              <w:widowControl w:val="0"/>
              <w:spacing w:after="0" w:line="240" w:lineRule="auto"/>
              <w:jc w:val="right"/>
              <w:rPr>
                <w:rFonts w:ascii="Times New Roman" w:eastAsia="Times New Roman" w:hAnsi="Times New Roman" w:cs="Times New Roman"/>
                <w:b/>
                <w:bCs/>
                <w:szCs w:val="20"/>
                <w:lang w:eastAsia="hu-HU"/>
              </w:rPr>
            </w:pPr>
            <w:r w:rsidRPr="00E20C14">
              <w:rPr>
                <w:rFonts w:ascii="Times New Roman" w:eastAsia="Times New Roman" w:hAnsi="Times New Roman" w:cs="Times New Roman"/>
                <w:b/>
                <w:bCs/>
                <w:szCs w:val="20"/>
                <w:lang w:eastAsia="hu-HU"/>
              </w:rPr>
              <w:t>77,8</w:t>
            </w:r>
          </w:p>
        </w:tc>
        <w:tc>
          <w:tcPr>
            <w:tcW w:w="992" w:type="dxa"/>
            <w:vAlign w:val="center"/>
          </w:tcPr>
          <w:p w14:paraId="2E02BB49" w14:textId="77777777" w:rsidR="00E20C14" w:rsidRPr="00E20C14" w:rsidRDefault="00E20C14" w:rsidP="00E20C14">
            <w:pPr>
              <w:widowControl w:val="0"/>
              <w:spacing w:after="0" w:line="240" w:lineRule="auto"/>
              <w:jc w:val="right"/>
              <w:rPr>
                <w:rFonts w:ascii="Times New Roman" w:eastAsia="Times New Roman" w:hAnsi="Times New Roman" w:cs="Times New Roman"/>
                <w:b/>
                <w:bCs/>
                <w:szCs w:val="20"/>
                <w:lang w:eastAsia="hu-HU"/>
              </w:rPr>
            </w:pPr>
            <w:r w:rsidRPr="00E20C14">
              <w:rPr>
                <w:rFonts w:ascii="Times New Roman" w:eastAsia="Times New Roman" w:hAnsi="Times New Roman" w:cs="Times New Roman"/>
                <w:b/>
                <w:bCs/>
                <w:szCs w:val="20"/>
                <w:lang w:eastAsia="hu-HU"/>
              </w:rPr>
              <w:t>109,0</w:t>
            </w:r>
          </w:p>
        </w:tc>
      </w:tr>
    </w:tbl>
    <w:p w14:paraId="54234F12" w14:textId="03ACCA7E" w:rsidR="123EFD2F" w:rsidRPr="00381A54" w:rsidRDefault="4600C643" w:rsidP="4600C643">
      <w:pPr>
        <w:spacing w:before="240"/>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 xml:space="preserve">A </w:t>
      </w:r>
      <w:r w:rsidRPr="4600C643">
        <w:rPr>
          <w:rFonts w:ascii="Times New Roman" w:eastAsia="Times New Roman" w:hAnsi="Times New Roman" w:cs="Times New Roman"/>
          <w:b/>
          <w:bCs/>
          <w:sz w:val="26"/>
          <w:szCs w:val="26"/>
        </w:rPr>
        <w:t>Központi Maradványelszámolási Alapba</w:t>
      </w:r>
      <w:r w:rsidRPr="4600C643">
        <w:rPr>
          <w:rFonts w:ascii="Times New Roman" w:eastAsia="Times New Roman" w:hAnsi="Times New Roman" w:cs="Times New Roman"/>
          <w:sz w:val="26"/>
          <w:szCs w:val="26"/>
        </w:rPr>
        <w:t xml:space="preserve"> </w:t>
      </w:r>
      <w:r w:rsidRPr="4600C643">
        <w:rPr>
          <w:rFonts w:ascii="Times New Roman" w:eastAsia="Times New Roman" w:hAnsi="Times New Roman" w:cs="Times New Roman"/>
          <w:b/>
          <w:bCs/>
          <w:sz w:val="26"/>
          <w:szCs w:val="26"/>
        </w:rPr>
        <w:t>történő befizetések</w:t>
      </w:r>
      <w:r w:rsidRPr="4600C643">
        <w:rPr>
          <w:rFonts w:ascii="Times New Roman" w:eastAsia="Times New Roman" w:hAnsi="Times New Roman" w:cs="Times New Roman"/>
          <w:sz w:val="26"/>
          <w:szCs w:val="26"/>
        </w:rPr>
        <w:t xml:space="preserve"> mérlegsorra az év első két hónapjában 268,5 milliárd forint maradvány került befizetésre, szemben az előző év azonos időszakában befolyt 1,7 milliárd forintos összeggel.</w:t>
      </w:r>
    </w:p>
    <w:p w14:paraId="25C427CE" w14:textId="72930050" w:rsidR="029C2633" w:rsidRPr="00381A54" w:rsidRDefault="4600C643" w:rsidP="4600C643">
      <w:pPr>
        <w:jc w:val="both"/>
        <w:rPr>
          <w:rFonts w:ascii="Times New Roman" w:eastAsia="Times New Roman" w:hAnsi="Times New Roman" w:cs="Times New Roman"/>
          <w:b/>
          <w:bCs/>
          <w:sz w:val="26"/>
          <w:szCs w:val="26"/>
        </w:rPr>
      </w:pPr>
      <w:r w:rsidRPr="4600C643">
        <w:rPr>
          <w:rFonts w:ascii="Times New Roman" w:eastAsia="Times New Roman" w:hAnsi="Times New Roman" w:cs="Times New Roman"/>
          <w:sz w:val="26"/>
          <w:szCs w:val="26"/>
        </w:rPr>
        <w:t xml:space="preserve">Az </w:t>
      </w:r>
      <w:r w:rsidRPr="4600C643">
        <w:rPr>
          <w:rFonts w:ascii="Times New Roman" w:eastAsia="Times New Roman" w:hAnsi="Times New Roman" w:cs="Times New Roman"/>
          <w:b/>
          <w:bCs/>
          <w:sz w:val="26"/>
          <w:szCs w:val="26"/>
        </w:rPr>
        <w:t xml:space="preserve">állami vagyonnal kapcsolatos befizetések </w:t>
      </w:r>
      <w:r w:rsidRPr="4600C643">
        <w:rPr>
          <w:rFonts w:ascii="Times New Roman" w:eastAsia="Times New Roman" w:hAnsi="Times New Roman" w:cs="Times New Roman"/>
          <w:sz w:val="26"/>
          <w:szCs w:val="26"/>
        </w:rPr>
        <w:t>februári összege 39,8 milliárd forint, amelynek meghatározó tétele a kvótaértékesítés volt.</w:t>
      </w:r>
      <w:r w:rsidRPr="4600C643">
        <w:rPr>
          <w:rFonts w:ascii="Times New Roman" w:eastAsia="Times New Roman" w:hAnsi="Times New Roman" w:cs="Times New Roman"/>
          <w:b/>
          <w:bCs/>
          <w:sz w:val="26"/>
          <w:szCs w:val="26"/>
        </w:rPr>
        <w:t xml:space="preserve"> </w:t>
      </w:r>
    </w:p>
    <w:p w14:paraId="0D0F2783" w14:textId="52B41848" w:rsidR="009D55B4" w:rsidRPr="00377D59" w:rsidRDefault="009B2CCB" w:rsidP="009D55B4">
      <w:pPr>
        <w:jc w:val="center"/>
        <w:rPr>
          <w:rFonts w:ascii="Times New Roman" w:eastAsia="Times New Roman" w:hAnsi="Times New Roman" w:cs="Times New Roman"/>
          <w:sz w:val="26"/>
          <w:szCs w:val="26"/>
        </w:rPr>
      </w:pPr>
      <w:r w:rsidRPr="009B2CCB">
        <w:rPr>
          <w:rFonts w:ascii="Times New Roman" w:eastAsia="Times New Roman" w:hAnsi="Times New Roman" w:cs="Times New Roman"/>
          <w:noProof/>
          <w:sz w:val="26"/>
          <w:szCs w:val="26"/>
        </w:rPr>
        <w:drawing>
          <wp:inline distT="0" distB="0" distL="0" distR="0" wp14:anchorId="62145B78" wp14:editId="7F97AAF5">
            <wp:extent cx="5724930" cy="3257488"/>
            <wp:effectExtent l="0" t="0" r="0" b="635"/>
            <wp:docPr id="771634425" name="Kép 1" descr="A képen szöveg, képernyőkép, sor, Diagra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634425" name="Kép 1" descr="A képen szöveg, képernyőkép, sor, Diagram látható&#10;&#10;Előfordulhat, hogy a mesterséges intelligencia által létrehozott tartalom helytelen."/>
                    <pic:cNvPicPr/>
                  </pic:nvPicPr>
                  <pic:blipFill>
                    <a:blip r:embed="rId16"/>
                    <a:stretch>
                      <a:fillRect/>
                    </a:stretch>
                  </pic:blipFill>
                  <pic:spPr>
                    <a:xfrm>
                      <a:off x="0" y="0"/>
                      <a:ext cx="5729284" cy="3259965"/>
                    </a:xfrm>
                    <a:prstGeom prst="rect">
                      <a:avLst/>
                    </a:prstGeom>
                  </pic:spPr>
                </pic:pic>
              </a:graphicData>
            </a:graphic>
          </wp:inline>
        </w:drawing>
      </w:r>
    </w:p>
    <w:p w14:paraId="23623F4E" w14:textId="0A14C2A7" w:rsidR="5B67C7D7" w:rsidRPr="00920F4D" w:rsidRDefault="4600C643" w:rsidP="00966B20">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 xml:space="preserve">A költségvetés XLV. </w:t>
      </w:r>
      <w:r w:rsidRPr="4600C643">
        <w:rPr>
          <w:rFonts w:ascii="Times New Roman" w:eastAsia="Times New Roman" w:hAnsi="Times New Roman" w:cs="Times New Roman"/>
          <w:b/>
          <w:bCs/>
          <w:sz w:val="26"/>
          <w:szCs w:val="26"/>
        </w:rPr>
        <w:t>Állami beruházások</w:t>
      </w:r>
      <w:r w:rsidRPr="4600C643">
        <w:rPr>
          <w:rFonts w:ascii="Times New Roman" w:eastAsia="Times New Roman" w:hAnsi="Times New Roman" w:cs="Times New Roman"/>
          <w:sz w:val="26"/>
          <w:szCs w:val="26"/>
        </w:rPr>
        <w:t xml:space="preserve"> fejezetének bevételei 2026</w:t>
      </w:r>
      <w:r w:rsidR="007A3FE5">
        <w:rPr>
          <w:rFonts w:ascii="Times New Roman" w:eastAsia="Times New Roman" w:hAnsi="Times New Roman" w:cs="Times New Roman"/>
          <w:sz w:val="26"/>
          <w:szCs w:val="26"/>
        </w:rPr>
        <w:t>.</w:t>
      </w:r>
      <w:r w:rsidRPr="4600C643">
        <w:rPr>
          <w:rFonts w:ascii="Times New Roman" w:eastAsia="Times New Roman" w:hAnsi="Times New Roman" w:cs="Times New Roman"/>
          <w:sz w:val="26"/>
          <w:szCs w:val="26"/>
        </w:rPr>
        <w:t xml:space="preserve"> február végéig 51,4 milliárd forintot tettek ki.</w:t>
      </w:r>
    </w:p>
    <w:p w14:paraId="1A94A750" w14:textId="7BEB1E0B" w:rsidR="00D32B0C" w:rsidRPr="00377D59" w:rsidRDefault="4600C643" w:rsidP="00966B20">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 xml:space="preserve">Az uniós bevételek főszabály szerint a XLII. A költségvetés közvetlen bevételei és kiadásai fejezetbe érkeznek, ezek kimutatására szolgál az </w:t>
      </w:r>
      <w:r w:rsidRPr="4600C643">
        <w:rPr>
          <w:rFonts w:ascii="Times New Roman" w:eastAsia="Times New Roman" w:hAnsi="Times New Roman" w:cs="Times New Roman"/>
          <w:b/>
          <w:bCs/>
          <w:sz w:val="26"/>
          <w:szCs w:val="26"/>
        </w:rPr>
        <w:t>Uniós programok bevételei</w:t>
      </w:r>
      <w:r w:rsidRPr="4600C643">
        <w:rPr>
          <w:rFonts w:ascii="Times New Roman" w:eastAsia="Times New Roman" w:hAnsi="Times New Roman" w:cs="Times New Roman"/>
          <w:sz w:val="26"/>
          <w:szCs w:val="26"/>
        </w:rPr>
        <w:t xml:space="preserve">, az </w:t>
      </w:r>
      <w:r w:rsidRPr="4600C643">
        <w:rPr>
          <w:rFonts w:ascii="Times New Roman" w:eastAsia="Times New Roman" w:hAnsi="Times New Roman" w:cs="Times New Roman"/>
          <w:b/>
          <w:bCs/>
          <w:sz w:val="26"/>
          <w:szCs w:val="26"/>
        </w:rPr>
        <w:t>Egyéb uniós bevételek</w:t>
      </w:r>
      <w:r w:rsidRPr="4600C643">
        <w:rPr>
          <w:rFonts w:ascii="Times New Roman" w:eastAsia="Times New Roman" w:hAnsi="Times New Roman" w:cs="Times New Roman"/>
          <w:sz w:val="26"/>
          <w:szCs w:val="26"/>
        </w:rPr>
        <w:t xml:space="preserve">, valamint az </w:t>
      </w:r>
      <w:r w:rsidRPr="4600C643">
        <w:rPr>
          <w:rFonts w:ascii="Times New Roman" w:eastAsia="Times New Roman" w:hAnsi="Times New Roman" w:cs="Times New Roman"/>
          <w:b/>
          <w:bCs/>
          <w:sz w:val="26"/>
          <w:szCs w:val="26"/>
        </w:rPr>
        <w:t>Uniós támogatások utólagos megtérülése</w:t>
      </w:r>
      <w:r w:rsidRPr="4600C643">
        <w:rPr>
          <w:rFonts w:ascii="Times New Roman" w:eastAsia="Times New Roman" w:hAnsi="Times New Roman" w:cs="Times New Roman"/>
          <w:sz w:val="26"/>
          <w:szCs w:val="26"/>
        </w:rPr>
        <w:t xml:space="preserve"> mérlegsor.</w:t>
      </w:r>
    </w:p>
    <w:p w14:paraId="3C3A66C8" w14:textId="71BFFCC1" w:rsidR="74B9DF17" w:rsidRDefault="4600C643" w:rsidP="00966B20">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 xml:space="preserve">Az </w:t>
      </w:r>
      <w:r w:rsidRPr="4600C643">
        <w:rPr>
          <w:rFonts w:ascii="Times New Roman" w:eastAsia="Times New Roman" w:hAnsi="Times New Roman" w:cs="Times New Roman"/>
          <w:b/>
          <w:bCs/>
          <w:sz w:val="26"/>
          <w:szCs w:val="26"/>
        </w:rPr>
        <w:t>Uniós programok bevételei</w:t>
      </w:r>
      <w:r w:rsidRPr="4600C643">
        <w:rPr>
          <w:rFonts w:ascii="Times New Roman" w:eastAsia="Times New Roman" w:hAnsi="Times New Roman" w:cs="Times New Roman"/>
          <w:sz w:val="26"/>
          <w:szCs w:val="26"/>
        </w:rPr>
        <w:t xml:space="preserve"> mérlegsoron 2026. február végéig 363,7 milliárd forint bevétel keletkezett. Ez az összeg a törvényi előirányzat (1894,0 milliárd forint) 19,2%-át </w:t>
      </w:r>
      <w:r w:rsidRPr="4600C643">
        <w:rPr>
          <w:rFonts w:ascii="Times New Roman" w:eastAsia="Times New Roman" w:hAnsi="Times New Roman" w:cs="Times New Roman"/>
          <w:sz w:val="26"/>
          <w:szCs w:val="26"/>
        </w:rPr>
        <w:lastRenderedPageBreak/>
        <w:t>teszi ki. A teljesült bevételből 343,4 milliárd forint az uniós, 10,3 milliárd forint az egyéb bevételekhez, illetve 10</w:t>
      </w:r>
      <w:r w:rsidR="00581259">
        <w:rPr>
          <w:rFonts w:ascii="Times New Roman" w:eastAsia="Times New Roman" w:hAnsi="Times New Roman" w:cs="Times New Roman"/>
          <w:sz w:val="26"/>
          <w:szCs w:val="26"/>
        </w:rPr>
        <w:t>,0</w:t>
      </w:r>
      <w:r w:rsidRPr="4600C643">
        <w:rPr>
          <w:rFonts w:ascii="Times New Roman" w:eastAsia="Times New Roman" w:hAnsi="Times New Roman" w:cs="Times New Roman"/>
          <w:sz w:val="26"/>
          <w:szCs w:val="26"/>
        </w:rPr>
        <w:t xml:space="preserve"> milliárd forint az uniós támogatások utólagos megtérüléséhez tartozik.</w:t>
      </w:r>
    </w:p>
    <w:p w14:paraId="040E2327" w14:textId="27C5B179" w:rsidR="74B9DF17" w:rsidRPr="00FE12D5" w:rsidRDefault="4600C643" w:rsidP="00966B20">
      <w:pPr>
        <w:jc w:val="both"/>
        <w:rPr>
          <w:rFonts w:ascii="Times New Roman" w:hAnsi="Times New Roman" w:cs="Times New Roman"/>
        </w:rPr>
      </w:pPr>
      <w:r w:rsidRPr="4600C643">
        <w:rPr>
          <w:rFonts w:ascii="Times New Roman" w:eastAsia="Times New Roman" w:hAnsi="Times New Roman" w:cs="Times New Roman"/>
          <w:sz w:val="26"/>
          <w:szCs w:val="26"/>
        </w:rPr>
        <w:t xml:space="preserve">A </w:t>
      </w:r>
      <w:r w:rsidRPr="4600C643">
        <w:rPr>
          <w:rFonts w:ascii="Times New Roman" w:eastAsia="Times New Roman" w:hAnsi="Times New Roman" w:cs="Times New Roman"/>
          <w:b/>
          <w:bCs/>
          <w:sz w:val="26"/>
          <w:szCs w:val="26"/>
        </w:rPr>
        <w:t xml:space="preserve">vámbeszedési költség megtérítése </w:t>
      </w:r>
      <w:r w:rsidRPr="4600C643">
        <w:rPr>
          <w:rFonts w:ascii="Times New Roman" w:eastAsia="Times New Roman" w:hAnsi="Times New Roman" w:cs="Times New Roman"/>
          <w:sz w:val="26"/>
          <w:szCs w:val="26"/>
        </w:rPr>
        <w:t>mérlegsoron 7,4 milliárd forint bevétel jelentkezett 2026. február végéig. Ez az összeg a törvényi előirányzat 21,4%-a</w:t>
      </w:r>
      <w:r w:rsidR="00581259">
        <w:rPr>
          <w:rFonts w:ascii="Times New Roman" w:eastAsia="Times New Roman" w:hAnsi="Times New Roman" w:cs="Times New Roman"/>
          <w:sz w:val="26"/>
          <w:szCs w:val="26"/>
        </w:rPr>
        <w:t>,</w:t>
      </w:r>
      <w:r w:rsidRPr="4600C643">
        <w:rPr>
          <w:rFonts w:ascii="Times New Roman" w:eastAsia="Times New Roman" w:hAnsi="Times New Roman" w:cs="Times New Roman"/>
          <w:sz w:val="26"/>
          <w:szCs w:val="26"/>
        </w:rPr>
        <w:t xml:space="preserve"> és 2</w:t>
      </w:r>
      <w:r w:rsidR="00581259">
        <w:rPr>
          <w:rFonts w:ascii="Times New Roman" w:eastAsia="Times New Roman" w:hAnsi="Times New Roman" w:cs="Times New Roman"/>
          <w:sz w:val="26"/>
          <w:szCs w:val="26"/>
        </w:rPr>
        <w:t>,0</w:t>
      </w:r>
      <w:r w:rsidRPr="4600C643">
        <w:rPr>
          <w:rFonts w:ascii="Times New Roman" w:eastAsia="Times New Roman" w:hAnsi="Times New Roman" w:cs="Times New Roman"/>
          <w:sz w:val="26"/>
          <w:szCs w:val="26"/>
        </w:rPr>
        <w:t xml:space="preserve"> milliárd forinttal haladja meg a 2025. év azonos időszakában keletkezett bevételt.</w:t>
      </w:r>
    </w:p>
    <w:p w14:paraId="01FB956A" w14:textId="0E6F2807" w:rsidR="00E20C14" w:rsidRPr="00E20C14" w:rsidRDefault="00E20C14" w:rsidP="00966B20">
      <w:pPr>
        <w:jc w:val="both"/>
        <w:rPr>
          <w:rFonts w:ascii="Times New Roman" w:eastAsia="Calibri" w:hAnsi="Times New Roman" w:cs="Times New Roman"/>
          <w:sz w:val="26"/>
          <w:szCs w:val="26"/>
          <w:highlight w:val="yellow"/>
          <w:lang w:eastAsia="hu-HU"/>
        </w:rPr>
      </w:pPr>
      <w:r w:rsidRPr="00E20C14">
        <w:rPr>
          <w:rFonts w:ascii="Times New Roman" w:eastAsia="Calibri" w:hAnsi="Times New Roman" w:cs="Times New Roman"/>
          <w:sz w:val="26"/>
          <w:szCs w:val="26"/>
          <w:lang w:eastAsia="hu-HU"/>
        </w:rPr>
        <w:t>A befizetett társadalombiztosítási járulék 8,1%-át az állami adóhatóság a foglalkoztatási programokkal kapcsolatos elkülönített állami pénzalapnak utalja át. 2026 első két</w:t>
      </w:r>
      <w:r w:rsidR="00581259">
        <w:rPr>
          <w:rFonts w:ascii="Times New Roman" w:eastAsia="Calibri" w:hAnsi="Times New Roman" w:cs="Times New Roman"/>
          <w:sz w:val="26"/>
          <w:szCs w:val="26"/>
          <w:lang w:eastAsia="hu-HU"/>
        </w:rPr>
        <w:t> </w:t>
      </w:r>
      <w:r w:rsidRPr="00E20C14">
        <w:rPr>
          <w:rFonts w:ascii="Times New Roman" w:eastAsia="Calibri" w:hAnsi="Times New Roman" w:cs="Times New Roman"/>
          <w:sz w:val="26"/>
          <w:szCs w:val="26"/>
          <w:lang w:eastAsia="hu-HU"/>
        </w:rPr>
        <w:t xml:space="preserve">hónapjában a </w:t>
      </w:r>
      <w:r w:rsidRPr="00E20C14">
        <w:rPr>
          <w:rFonts w:ascii="Times New Roman" w:eastAsia="Calibri" w:hAnsi="Times New Roman" w:cs="Times New Roman"/>
          <w:b/>
          <w:bCs/>
          <w:sz w:val="26"/>
          <w:szCs w:val="26"/>
          <w:lang w:eastAsia="hu-HU"/>
        </w:rPr>
        <w:t xml:space="preserve">társadalombiztosítási járulék </w:t>
      </w:r>
      <w:r w:rsidRPr="00E20C14">
        <w:rPr>
          <w:rFonts w:ascii="Times New Roman" w:eastAsia="Times New Roman" w:hAnsi="Times New Roman" w:cs="Times New Roman"/>
          <w:b/>
          <w:bCs/>
          <w:sz w:val="26"/>
          <w:szCs w:val="26"/>
          <w:lang w:eastAsia="hu-HU"/>
        </w:rPr>
        <w:t xml:space="preserve">Nemzeti Foglalkoztatási </w:t>
      </w:r>
      <w:r w:rsidRPr="00E20C14">
        <w:rPr>
          <w:rFonts w:ascii="Times New Roman" w:eastAsia="Calibri" w:hAnsi="Times New Roman" w:cs="Times New Roman"/>
          <w:b/>
          <w:bCs/>
          <w:sz w:val="26"/>
          <w:szCs w:val="26"/>
          <w:lang w:eastAsia="hu-HU"/>
        </w:rPr>
        <w:t xml:space="preserve">Alapot megillető része </w:t>
      </w:r>
      <w:r w:rsidRPr="00E20C14">
        <w:rPr>
          <w:rFonts w:ascii="Times New Roman" w:eastAsia="Calibri" w:hAnsi="Times New Roman" w:cs="Times New Roman"/>
          <w:bCs/>
          <w:sz w:val="26"/>
          <w:szCs w:val="26"/>
          <w:lang w:eastAsia="hu-HU"/>
        </w:rPr>
        <w:t>83,3</w:t>
      </w:r>
      <w:r w:rsidRPr="00E20C14">
        <w:rPr>
          <w:rFonts w:ascii="Times New Roman" w:eastAsia="Calibri" w:hAnsi="Times New Roman" w:cs="Times New Roman"/>
          <w:sz w:val="26"/>
          <w:szCs w:val="26"/>
          <w:lang w:eastAsia="hu-HU"/>
        </w:rPr>
        <w:t> milliárd</w:t>
      </w:r>
      <w:r w:rsidRPr="00E20C14">
        <w:rPr>
          <w:rFonts w:ascii="Times New Roman" w:eastAsia="Times New Roman" w:hAnsi="Times New Roman" w:cs="Times New Roman"/>
          <w:sz w:val="26"/>
          <w:szCs w:val="20"/>
          <w:lang w:eastAsia="hu-HU"/>
        </w:rPr>
        <w:t> </w:t>
      </w:r>
      <w:r w:rsidRPr="00E20C14">
        <w:rPr>
          <w:rFonts w:ascii="Times New Roman" w:eastAsia="Calibri" w:hAnsi="Times New Roman" w:cs="Times New Roman"/>
          <w:sz w:val="26"/>
          <w:szCs w:val="26"/>
          <w:lang w:eastAsia="hu-HU"/>
        </w:rPr>
        <w:t>forintban teljesült, amely az előző év azonos időszakában befolyt bevételt 11,4</w:t>
      </w:r>
      <w:r w:rsidRPr="00E20C14">
        <w:rPr>
          <w:rFonts w:ascii="Times New Roman" w:eastAsia="Times New Roman" w:hAnsi="Times New Roman" w:cs="Times New Roman"/>
          <w:sz w:val="26"/>
          <w:szCs w:val="20"/>
          <w:lang w:eastAsia="hu-HU"/>
        </w:rPr>
        <w:t> </w:t>
      </w:r>
      <w:r w:rsidRPr="00E20C14">
        <w:rPr>
          <w:rFonts w:ascii="Times New Roman" w:eastAsia="Calibri" w:hAnsi="Times New Roman" w:cs="Times New Roman"/>
          <w:sz w:val="26"/>
          <w:szCs w:val="26"/>
          <w:lang w:eastAsia="hu-HU"/>
        </w:rPr>
        <w:t>milliárd</w:t>
      </w:r>
      <w:r w:rsidRPr="00E20C14">
        <w:rPr>
          <w:rFonts w:ascii="Times New Roman" w:eastAsia="Times New Roman" w:hAnsi="Times New Roman" w:cs="Times New Roman"/>
          <w:sz w:val="26"/>
          <w:szCs w:val="20"/>
          <w:lang w:eastAsia="hu-HU"/>
        </w:rPr>
        <w:t> </w:t>
      </w:r>
      <w:r w:rsidRPr="00E20C14">
        <w:rPr>
          <w:rFonts w:ascii="Times New Roman" w:eastAsia="Calibri" w:hAnsi="Times New Roman" w:cs="Times New Roman"/>
          <w:sz w:val="26"/>
          <w:szCs w:val="26"/>
          <w:lang w:eastAsia="hu-HU"/>
        </w:rPr>
        <w:t xml:space="preserve">forinttal haladta meg. </w:t>
      </w:r>
      <w:bookmarkStart w:id="2" w:name="_Hlk224054089"/>
      <w:r w:rsidRPr="00E20C14">
        <w:rPr>
          <w:rFonts w:ascii="Times New Roman" w:eastAsia="Calibri" w:hAnsi="Times New Roman" w:cs="Times New Roman"/>
          <w:sz w:val="26"/>
          <w:szCs w:val="26"/>
          <w:lang w:eastAsia="hu-HU"/>
        </w:rPr>
        <w:t>A bevételnövekedés oka a</w:t>
      </w:r>
      <w:r w:rsidR="006F2787">
        <w:rPr>
          <w:rFonts w:ascii="Times New Roman" w:eastAsia="Calibri" w:hAnsi="Times New Roman" w:cs="Times New Roman"/>
          <w:sz w:val="26"/>
          <w:szCs w:val="26"/>
          <w:lang w:eastAsia="hu-HU"/>
        </w:rPr>
        <w:t> </w:t>
      </w:r>
      <w:r w:rsidRPr="00E20C14">
        <w:rPr>
          <w:rFonts w:ascii="Times New Roman" w:eastAsia="Calibri" w:hAnsi="Times New Roman" w:cs="Times New Roman"/>
          <w:sz w:val="26"/>
          <w:szCs w:val="26"/>
          <w:lang w:eastAsia="hu-HU"/>
        </w:rPr>
        <w:t>járulékköteles bértömeg növekedésének, a családi kedvezmények kiterjesztésének és az</w:t>
      </w:r>
      <w:r w:rsidR="006F2787">
        <w:rPr>
          <w:rFonts w:ascii="Times New Roman" w:eastAsia="Calibri" w:hAnsi="Times New Roman" w:cs="Times New Roman"/>
          <w:sz w:val="26"/>
          <w:szCs w:val="26"/>
          <w:lang w:eastAsia="hu-HU"/>
        </w:rPr>
        <w:t> </w:t>
      </w:r>
      <w:r w:rsidRPr="00E20C14">
        <w:rPr>
          <w:rFonts w:ascii="Times New Roman" w:eastAsia="Calibri" w:hAnsi="Times New Roman" w:cs="Times New Roman"/>
          <w:sz w:val="26"/>
          <w:szCs w:val="26"/>
          <w:lang w:eastAsia="hu-HU"/>
        </w:rPr>
        <w:t>egyszeri kifizetésekhez kapcsolódó befizetéseknek az együttes hatása.</w:t>
      </w:r>
    </w:p>
    <w:bookmarkEnd w:id="2"/>
    <w:p w14:paraId="2B9FAE98" w14:textId="1B42625F" w:rsidR="00E20C14" w:rsidRPr="00E20C14" w:rsidRDefault="00E20C14" w:rsidP="00966B20">
      <w:pPr>
        <w:jc w:val="both"/>
        <w:rPr>
          <w:rFonts w:ascii="Times New Roman" w:eastAsia="Times New Roman" w:hAnsi="Times New Roman" w:cs="Times New Roman"/>
          <w:sz w:val="26"/>
          <w:szCs w:val="26"/>
          <w:highlight w:val="yellow"/>
          <w:lang w:eastAsia="hu-HU"/>
        </w:rPr>
      </w:pPr>
      <w:r w:rsidRPr="00E20C14">
        <w:rPr>
          <w:rFonts w:ascii="Times New Roman" w:eastAsia="Times New Roman" w:hAnsi="Times New Roman" w:cs="Times New Roman"/>
          <w:sz w:val="26"/>
          <w:szCs w:val="26"/>
          <w:lang w:eastAsia="hu-HU"/>
        </w:rPr>
        <w:t xml:space="preserve">2026-ban a szociális hozzájárulási adó megfizetett összegének 82,81%-a </w:t>
      </w:r>
      <w:proofErr w:type="spellStart"/>
      <w:r w:rsidRPr="00E20C14">
        <w:rPr>
          <w:rFonts w:ascii="Times New Roman" w:eastAsia="Times New Roman" w:hAnsi="Times New Roman" w:cs="Times New Roman"/>
          <w:sz w:val="26"/>
          <w:szCs w:val="26"/>
          <w:lang w:eastAsia="hu-HU"/>
        </w:rPr>
        <w:t>a</w:t>
      </w:r>
      <w:proofErr w:type="spellEnd"/>
      <w:r w:rsidR="00581259">
        <w:rPr>
          <w:rFonts w:ascii="Times New Roman" w:eastAsia="Times New Roman" w:hAnsi="Times New Roman" w:cs="Times New Roman"/>
          <w:sz w:val="26"/>
          <w:szCs w:val="26"/>
          <w:lang w:eastAsia="hu-HU"/>
        </w:rPr>
        <w:t> </w:t>
      </w:r>
      <w:r w:rsidRPr="00E20C14">
        <w:rPr>
          <w:rFonts w:ascii="Times New Roman" w:eastAsia="Times New Roman" w:hAnsi="Times New Roman" w:cs="Times New Roman"/>
          <w:sz w:val="26"/>
          <w:szCs w:val="26"/>
          <w:lang w:eastAsia="hu-HU"/>
        </w:rPr>
        <w:t xml:space="preserve">Nyugdíjbiztosítási Alapot illeti meg. A </w:t>
      </w:r>
      <w:r w:rsidRPr="00E20C14">
        <w:rPr>
          <w:rFonts w:ascii="Times New Roman" w:eastAsia="Times New Roman" w:hAnsi="Times New Roman" w:cs="Times New Roman"/>
          <w:b/>
          <w:bCs/>
          <w:sz w:val="26"/>
          <w:szCs w:val="26"/>
          <w:lang w:eastAsia="hu-HU"/>
        </w:rPr>
        <w:t xml:space="preserve">szociális hozzájárulási adó Nyugdíjbiztosítási Alapot megillető része </w:t>
      </w:r>
      <w:r w:rsidRPr="00E20C14">
        <w:rPr>
          <w:rFonts w:ascii="Times New Roman" w:eastAsia="Times New Roman" w:hAnsi="Times New Roman" w:cs="Times New Roman"/>
          <w:bCs/>
          <w:sz w:val="26"/>
          <w:szCs w:val="26"/>
          <w:lang w:eastAsia="hu-HU"/>
        </w:rPr>
        <w:t>2026 első két hónapjában 555,6</w:t>
      </w:r>
      <w:r w:rsidRPr="00E20C14">
        <w:rPr>
          <w:rFonts w:ascii="Times New Roman" w:eastAsia="Times New Roman" w:hAnsi="Times New Roman" w:cs="Times New Roman"/>
          <w:sz w:val="26"/>
          <w:szCs w:val="20"/>
          <w:lang w:eastAsia="hu-HU"/>
        </w:rPr>
        <w:t> </w:t>
      </w:r>
      <w:r w:rsidRPr="00E20C14">
        <w:rPr>
          <w:rFonts w:ascii="Times New Roman" w:eastAsia="Times New Roman" w:hAnsi="Times New Roman" w:cs="Times New Roman"/>
          <w:sz w:val="26"/>
          <w:szCs w:val="26"/>
          <w:lang w:eastAsia="hu-HU"/>
        </w:rPr>
        <w:t>milliárd</w:t>
      </w:r>
      <w:r w:rsidRPr="00E20C14">
        <w:rPr>
          <w:rFonts w:ascii="Times New Roman" w:eastAsia="Times New Roman" w:hAnsi="Times New Roman" w:cs="Times New Roman"/>
          <w:sz w:val="26"/>
          <w:szCs w:val="20"/>
          <w:lang w:eastAsia="hu-HU"/>
        </w:rPr>
        <w:t> </w:t>
      </w:r>
      <w:r w:rsidRPr="00E20C14">
        <w:rPr>
          <w:rFonts w:ascii="Times New Roman" w:eastAsia="Times New Roman" w:hAnsi="Times New Roman" w:cs="Times New Roman"/>
          <w:sz w:val="26"/>
          <w:szCs w:val="26"/>
          <w:lang w:eastAsia="hu-HU"/>
        </w:rPr>
        <w:t>forintban teljesült, amely 61,6</w:t>
      </w:r>
      <w:r w:rsidRPr="00E20C14">
        <w:rPr>
          <w:rFonts w:ascii="Times New Roman" w:eastAsia="Times New Roman" w:hAnsi="Times New Roman" w:cs="Times New Roman"/>
          <w:sz w:val="26"/>
          <w:szCs w:val="20"/>
          <w:lang w:eastAsia="hu-HU"/>
        </w:rPr>
        <w:t> </w:t>
      </w:r>
      <w:r w:rsidRPr="00E20C14">
        <w:rPr>
          <w:rFonts w:ascii="Times New Roman" w:eastAsia="Times New Roman" w:hAnsi="Times New Roman" w:cs="Times New Roman"/>
          <w:sz w:val="26"/>
          <w:szCs w:val="26"/>
          <w:lang w:eastAsia="hu-HU"/>
        </w:rPr>
        <w:t>milliárd</w:t>
      </w:r>
      <w:r w:rsidRPr="00E20C14">
        <w:rPr>
          <w:rFonts w:ascii="Times New Roman" w:eastAsia="Times New Roman" w:hAnsi="Times New Roman" w:cs="Times New Roman"/>
          <w:sz w:val="26"/>
          <w:szCs w:val="20"/>
          <w:lang w:eastAsia="hu-HU"/>
        </w:rPr>
        <w:t> </w:t>
      </w:r>
      <w:r w:rsidRPr="00E20C14">
        <w:rPr>
          <w:rFonts w:ascii="Times New Roman" w:eastAsia="Times New Roman" w:hAnsi="Times New Roman" w:cs="Times New Roman"/>
          <w:sz w:val="26"/>
          <w:szCs w:val="26"/>
          <w:lang w:eastAsia="hu-HU"/>
        </w:rPr>
        <w:t>forinttal haladta meg az előző év</w:t>
      </w:r>
      <w:r w:rsidRPr="00E20C14">
        <w:rPr>
          <w:rFonts w:ascii="Times New Roman" w:eastAsia="Calibri" w:hAnsi="Times New Roman" w:cs="Times New Roman"/>
          <w:sz w:val="26"/>
          <w:szCs w:val="26"/>
          <w:lang w:eastAsia="hu-HU"/>
        </w:rPr>
        <w:t xml:space="preserve"> azonos időszakában </w:t>
      </w:r>
      <w:r w:rsidRPr="00E20C14">
        <w:rPr>
          <w:rFonts w:ascii="Times New Roman" w:eastAsia="Times New Roman" w:hAnsi="Times New Roman" w:cs="Times New Roman"/>
          <w:sz w:val="26"/>
          <w:szCs w:val="26"/>
          <w:lang w:eastAsia="hu-HU"/>
        </w:rPr>
        <w:t xml:space="preserve">befolyt bevételt. </w:t>
      </w:r>
      <w:bookmarkStart w:id="3" w:name="_Hlk224054676"/>
      <w:r w:rsidRPr="00E20C14">
        <w:rPr>
          <w:rFonts w:ascii="Times New Roman" w:eastAsia="Times New Roman" w:hAnsi="Times New Roman" w:cs="Times New Roman"/>
          <w:sz w:val="26"/>
          <w:szCs w:val="26"/>
          <w:lang w:eastAsia="hu-HU"/>
        </w:rPr>
        <w:t>A bevétel változása az adóköteles jövedelmek növekedésével és az alapok közötti megoszlási arány változásával</w:t>
      </w:r>
      <w:r w:rsidRPr="00E20C14">
        <w:rPr>
          <w:rFonts w:ascii="Times New Roman" w:eastAsia="Times New Roman" w:hAnsi="Times New Roman" w:cs="Times New Roman"/>
          <w:color w:val="000000"/>
          <w:sz w:val="26"/>
          <w:szCs w:val="20"/>
          <w:lang w:eastAsia="hu-HU"/>
        </w:rPr>
        <w:t xml:space="preserve"> magyarázható, valamint az egyszeri kifizetésekhez kapcsolódó befizetésekkel.</w:t>
      </w:r>
      <w:bookmarkEnd w:id="3"/>
    </w:p>
    <w:p w14:paraId="0F69A6EF" w14:textId="27F9C1B5" w:rsidR="00E20C14" w:rsidRDefault="00E20C14" w:rsidP="00966B20">
      <w:pPr>
        <w:jc w:val="both"/>
        <w:rPr>
          <w:rFonts w:ascii="Times New Roman" w:eastAsia="Calibri" w:hAnsi="Times New Roman" w:cs="Times New Roman"/>
          <w:sz w:val="26"/>
          <w:szCs w:val="26"/>
          <w:lang w:eastAsia="hu-HU"/>
        </w:rPr>
      </w:pPr>
      <w:r w:rsidRPr="00E20C14">
        <w:rPr>
          <w:rFonts w:ascii="Times New Roman" w:eastAsia="Times New Roman" w:hAnsi="Times New Roman" w:cs="Times New Roman"/>
          <w:sz w:val="26"/>
          <w:szCs w:val="26"/>
          <w:lang w:eastAsia="hu-HU"/>
        </w:rPr>
        <w:t xml:space="preserve">A befizetett társadalombiztosítási járulék 54%-át az állami adóhatóság a Nyugdíjbiztosítási Alapnak utalja át. A 2026. első két hónapjában a </w:t>
      </w:r>
      <w:r w:rsidRPr="00E20C14">
        <w:rPr>
          <w:rFonts w:ascii="Times New Roman" w:eastAsia="Times New Roman" w:hAnsi="Times New Roman" w:cs="Times New Roman"/>
          <w:b/>
          <w:bCs/>
          <w:sz w:val="26"/>
          <w:szCs w:val="26"/>
          <w:lang w:eastAsia="hu-HU"/>
        </w:rPr>
        <w:t>társadalombiztosítási járulék Nyugdíjbiztosítási Alapot megillető része és nyugdíjjárulék</w:t>
      </w:r>
      <w:r w:rsidRPr="00E20C14">
        <w:rPr>
          <w:rFonts w:ascii="Times New Roman" w:eastAsia="Times New Roman" w:hAnsi="Times New Roman" w:cs="Times New Roman"/>
          <w:sz w:val="26"/>
          <w:szCs w:val="26"/>
          <w:lang w:eastAsia="hu-HU"/>
        </w:rPr>
        <w:t xml:space="preserve"> 566,3</w:t>
      </w:r>
      <w:r w:rsidRPr="00E20C14">
        <w:rPr>
          <w:rFonts w:ascii="Times New Roman" w:eastAsia="Times New Roman" w:hAnsi="Times New Roman" w:cs="Times New Roman"/>
          <w:sz w:val="26"/>
          <w:szCs w:val="20"/>
          <w:lang w:eastAsia="hu-HU"/>
        </w:rPr>
        <w:t> </w:t>
      </w:r>
      <w:r w:rsidRPr="00E20C14">
        <w:rPr>
          <w:rFonts w:ascii="Times New Roman" w:eastAsia="Times New Roman" w:hAnsi="Times New Roman" w:cs="Times New Roman"/>
          <w:sz w:val="26"/>
          <w:szCs w:val="26"/>
          <w:lang w:eastAsia="hu-HU"/>
        </w:rPr>
        <w:t>milliárd</w:t>
      </w:r>
      <w:r w:rsidRPr="00E20C14">
        <w:rPr>
          <w:rFonts w:ascii="Times New Roman" w:eastAsia="Times New Roman" w:hAnsi="Times New Roman" w:cs="Times New Roman"/>
          <w:sz w:val="26"/>
          <w:szCs w:val="20"/>
          <w:lang w:eastAsia="hu-HU"/>
        </w:rPr>
        <w:t> </w:t>
      </w:r>
      <w:r w:rsidRPr="00E20C14">
        <w:rPr>
          <w:rFonts w:ascii="Times New Roman" w:eastAsia="Times New Roman" w:hAnsi="Times New Roman" w:cs="Times New Roman"/>
          <w:sz w:val="26"/>
          <w:szCs w:val="26"/>
          <w:lang w:eastAsia="hu-HU"/>
        </w:rPr>
        <w:t xml:space="preserve">forintban teljesült, amely az előző </w:t>
      </w:r>
      <w:r w:rsidRPr="00E20C14">
        <w:rPr>
          <w:rFonts w:ascii="Times New Roman" w:eastAsia="Calibri" w:hAnsi="Times New Roman" w:cs="Times New Roman"/>
          <w:sz w:val="26"/>
          <w:szCs w:val="26"/>
          <w:lang w:eastAsia="hu-HU"/>
        </w:rPr>
        <w:t>év azonos időszakában</w:t>
      </w:r>
      <w:r w:rsidRPr="00E20C14">
        <w:rPr>
          <w:rFonts w:ascii="Times New Roman" w:eastAsia="Times New Roman" w:hAnsi="Times New Roman" w:cs="Times New Roman"/>
          <w:sz w:val="26"/>
          <w:szCs w:val="26"/>
          <w:lang w:eastAsia="hu-HU"/>
        </w:rPr>
        <w:t xml:space="preserve"> befolyt bevételt 75,7</w:t>
      </w:r>
      <w:r w:rsidRPr="00E20C14">
        <w:rPr>
          <w:rFonts w:ascii="Times New Roman" w:eastAsia="Times New Roman" w:hAnsi="Times New Roman" w:cs="Times New Roman"/>
          <w:sz w:val="26"/>
          <w:szCs w:val="20"/>
          <w:lang w:eastAsia="hu-HU"/>
        </w:rPr>
        <w:t> </w:t>
      </w:r>
      <w:r w:rsidRPr="00E20C14">
        <w:rPr>
          <w:rFonts w:ascii="Times New Roman" w:eastAsia="Times New Roman" w:hAnsi="Times New Roman" w:cs="Times New Roman"/>
          <w:sz w:val="26"/>
          <w:szCs w:val="26"/>
          <w:lang w:eastAsia="hu-HU"/>
        </w:rPr>
        <w:t>milliárd</w:t>
      </w:r>
      <w:r w:rsidRPr="00E20C14">
        <w:rPr>
          <w:rFonts w:ascii="Times New Roman" w:eastAsia="Times New Roman" w:hAnsi="Times New Roman" w:cs="Times New Roman"/>
          <w:sz w:val="26"/>
          <w:szCs w:val="20"/>
          <w:lang w:eastAsia="hu-HU"/>
        </w:rPr>
        <w:t> </w:t>
      </w:r>
      <w:r w:rsidRPr="00E20C14">
        <w:rPr>
          <w:rFonts w:ascii="Times New Roman" w:eastAsia="Times New Roman" w:hAnsi="Times New Roman" w:cs="Times New Roman"/>
          <w:sz w:val="26"/>
          <w:szCs w:val="26"/>
          <w:lang w:eastAsia="hu-HU"/>
        </w:rPr>
        <w:t xml:space="preserve">forinttal haladta meg. </w:t>
      </w:r>
      <w:r w:rsidRPr="00E20C14">
        <w:rPr>
          <w:rFonts w:ascii="Times New Roman" w:eastAsia="Calibri" w:hAnsi="Times New Roman" w:cs="Times New Roman"/>
          <w:sz w:val="26"/>
          <w:szCs w:val="26"/>
          <w:lang w:eastAsia="hu-HU"/>
        </w:rPr>
        <w:t>A bevételnövekedés oka a járulékköteles bértömeg növekedésének, a családi kedvezmények kiterjesztésének és az egyszeri kifizetésekhez kapcsolódó befizetéseknek az együttes hatása.</w:t>
      </w:r>
    </w:p>
    <w:p w14:paraId="0858CB79" w14:textId="70588816" w:rsidR="00A76FE3" w:rsidRDefault="4600C643" w:rsidP="00966B20">
      <w:pPr>
        <w:jc w:val="both"/>
      </w:pPr>
      <w:r w:rsidRPr="4600C643">
        <w:rPr>
          <w:rFonts w:ascii="Times New Roman" w:eastAsia="Times New Roman" w:hAnsi="Times New Roman" w:cs="Times New Roman"/>
          <w:sz w:val="26"/>
          <w:szCs w:val="26"/>
        </w:rPr>
        <w:t xml:space="preserve">A </w:t>
      </w:r>
      <w:r w:rsidRPr="4600C643">
        <w:rPr>
          <w:rFonts w:ascii="Times New Roman" w:eastAsia="Times New Roman" w:hAnsi="Times New Roman" w:cs="Times New Roman"/>
          <w:b/>
          <w:bCs/>
          <w:sz w:val="26"/>
          <w:szCs w:val="26"/>
        </w:rPr>
        <w:t>Nyugdíjbiztosítási Alap</w:t>
      </w:r>
      <w:r w:rsidRPr="4600C643">
        <w:rPr>
          <w:rFonts w:ascii="Times New Roman" w:eastAsia="Times New Roman" w:hAnsi="Times New Roman" w:cs="Times New Roman"/>
          <w:sz w:val="26"/>
          <w:szCs w:val="26"/>
        </w:rPr>
        <w:t xml:space="preserve"> 2026. évi költségvetése az ellátási kiadások támogatására 626,0 milliárd forint </w:t>
      </w:r>
      <w:r w:rsidRPr="4600C643">
        <w:rPr>
          <w:rFonts w:ascii="Times New Roman" w:eastAsia="Times New Roman" w:hAnsi="Times New Roman" w:cs="Times New Roman"/>
          <w:b/>
          <w:bCs/>
          <w:sz w:val="26"/>
          <w:szCs w:val="26"/>
        </w:rPr>
        <w:t>központi költségvetési hozzájárulás</w:t>
      </w:r>
      <w:r w:rsidRPr="006E4416">
        <w:rPr>
          <w:rFonts w:ascii="Times New Roman" w:eastAsia="Times New Roman" w:hAnsi="Times New Roman" w:cs="Times New Roman"/>
          <w:b/>
          <w:bCs/>
          <w:sz w:val="26"/>
          <w:szCs w:val="26"/>
        </w:rPr>
        <w:t>t</w:t>
      </w:r>
      <w:r w:rsidRPr="4600C643">
        <w:rPr>
          <w:rFonts w:ascii="Times New Roman" w:eastAsia="Times New Roman" w:hAnsi="Times New Roman" w:cs="Times New Roman"/>
          <w:sz w:val="26"/>
          <w:szCs w:val="26"/>
        </w:rPr>
        <w:t xml:space="preserve"> tartalmaz, ami 61,5 milliárd forinttal magasabb az előző évi előirányzat összegénél.</w:t>
      </w:r>
    </w:p>
    <w:p w14:paraId="6AC8A7EE" w14:textId="74176834" w:rsidR="00A76FE3" w:rsidRDefault="4600C643" w:rsidP="00966B20">
      <w:pPr>
        <w:jc w:val="both"/>
      </w:pPr>
      <w:r w:rsidRPr="4600C643">
        <w:rPr>
          <w:rFonts w:ascii="Times New Roman" w:eastAsia="Times New Roman" w:hAnsi="Times New Roman" w:cs="Times New Roman"/>
          <w:sz w:val="26"/>
          <w:szCs w:val="26"/>
        </w:rPr>
        <w:t>A költségvetési hozzájárulás előirányzataiból 70 milliárd forintot pénzeszközátadás útján biztosít az alap részére, és 556 milliárd forintot – a 13. havi nyugdíj, illetve a nyugdíjprémium fedezeteként – címzett támogatás formájában. A 13. havi nyugdíj és a nyugdíjprémium támogatásának előirányzatai év közben előirányzat-módosítás nélkül túlléphetők. A 14. havi egyheti nyugdíjnak a tárgyévben nincs címzett támogatása, a kiadások fedezetét az érintett előirányzatok automatikus túlteljesíthetősége biztosítja.</w:t>
      </w:r>
    </w:p>
    <w:p w14:paraId="6BF2F156" w14:textId="4EB77418" w:rsidR="00A76FE3" w:rsidRDefault="4600C643" w:rsidP="00966B20">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 xml:space="preserve">A </w:t>
      </w:r>
      <w:r w:rsidRPr="4600C643">
        <w:rPr>
          <w:rFonts w:ascii="Times New Roman" w:eastAsia="Times New Roman" w:hAnsi="Times New Roman" w:cs="Times New Roman"/>
          <w:b/>
          <w:bCs/>
          <w:sz w:val="26"/>
          <w:szCs w:val="26"/>
        </w:rPr>
        <w:t>Nyugdíjbiztosítási Alap</w:t>
      </w:r>
      <w:r w:rsidRPr="4600C643">
        <w:rPr>
          <w:rFonts w:ascii="Times New Roman" w:eastAsia="Times New Roman" w:hAnsi="Times New Roman" w:cs="Times New Roman"/>
          <w:sz w:val="26"/>
          <w:szCs w:val="26"/>
        </w:rPr>
        <w:t xml:space="preserve"> részére 2026. február végéig a Magyar Államkincstár a költségvetési törvény előirányzatainak figyelembevételével jóváhagyásra benyújtott éves előirányzat-felhasználási terv ütemezésének megfelelően 11,7 milliárd forint </w:t>
      </w:r>
      <w:r w:rsidRPr="4600C643">
        <w:rPr>
          <w:rFonts w:ascii="Times New Roman" w:eastAsia="Times New Roman" w:hAnsi="Times New Roman" w:cs="Times New Roman"/>
          <w:b/>
          <w:bCs/>
          <w:sz w:val="26"/>
          <w:szCs w:val="26"/>
        </w:rPr>
        <w:t>központi támogatást</w:t>
      </w:r>
      <w:r w:rsidRPr="4600C643">
        <w:rPr>
          <w:rFonts w:ascii="Times New Roman" w:eastAsia="Times New Roman" w:hAnsi="Times New Roman" w:cs="Times New Roman"/>
          <w:sz w:val="26"/>
          <w:szCs w:val="26"/>
        </w:rPr>
        <w:t xml:space="preserve"> utalt át pénzeszköz-átadás jogcímen, ami az előző év azonos időszakában </w:t>
      </w:r>
      <w:r w:rsidRPr="4600C643">
        <w:rPr>
          <w:rFonts w:ascii="Times New Roman" w:eastAsia="Times New Roman" w:hAnsi="Times New Roman" w:cs="Times New Roman"/>
          <w:sz w:val="26"/>
          <w:szCs w:val="26"/>
        </w:rPr>
        <w:lastRenderedPageBreak/>
        <w:t>folyósított havi támogatás összegénél 1,2 milliárd forinttal kevesebb. A pénzeszköz-átadás az alap költségvetési egyensúlyának biztosítását szolgálja.</w:t>
      </w:r>
    </w:p>
    <w:p w14:paraId="62A2D78D" w14:textId="22F936C8" w:rsidR="560FAF85" w:rsidRDefault="4600C643" w:rsidP="00966B20">
      <w:pPr>
        <w:jc w:val="both"/>
      </w:pPr>
      <w:r w:rsidRPr="4600C643">
        <w:rPr>
          <w:rFonts w:ascii="Times New Roman" w:eastAsia="Times New Roman" w:hAnsi="Times New Roman" w:cs="Times New Roman"/>
          <w:sz w:val="26"/>
          <w:szCs w:val="26"/>
        </w:rPr>
        <w:t xml:space="preserve">A </w:t>
      </w:r>
      <w:r w:rsidRPr="4600C643">
        <w:rPr>
          <w:rFonts w:ascii="Times New Roman" w:eastAsia="Times New Roman" w:hAnsi="Times New Roman" w:cs="Times New Roman"/>
          <w:b/>
          <w:bCs/>
          <w:sz w:val="26"/>
          <w:szCs w:val="26"/>
        </w:rPr>
        <w:t>13. havi nyugdíj kifizetésének</w:t>
      </w:r>
      <w:r w:rsidRPr="4600C643">
        <w:rPr>
          <w:rFonts w:ascii="Times New Roman" w:eastAsia="Times New Roman" w:hAnsi="Times New Roman" w:cs="Times New Roman"/>
          <w:sz w:val="26"/>
          <w:szCs w:val="26"/>
        </w:rPr>
        <w:t xml:space="preserve"> támogatására február hónapban 531,7 milliárd forint került átutalásra a Nyugdíjbiztosítási Alap részére, ami 44,6 milliárd forinttal haladja meg az előző év azonos időszakában ugyanezen a jogcímen nyújtott támogatás összegét.</w:t>
      </w:r>
    </w:p>
    <w:p w14:paraId="1E5039D7" w14:textId="681EF065" w:rsidR="475F3A1A" w:rsidRDefault="00A36AD4" w:rsidP="005861AE">
      <w:pPr>
        <w:jc w:val="center"/>
        <w:rPr>
          <w:rFonts w:ascii="Times New Roman" w:eastAsia="Times New Roman" w:hAnsi="Times New Roman" w:cs="Times New Roman"/>
          <w:sz w:val="26"/>
          <w:szCs w:val="26"/>
        </w:rPr>
      </w:pPr>
      <w:r w:rsidRPr="00A36AD4">
        <w:rPr>
          <w:rFonts w:ascii="Times New Roman" w:eastAsia="Times New Roman" w:hAnsi="Times New Roman" w:cs="Times New Roman"/>
          <w:noProof/>
          <w:sz w:val="26"/>
          <w:szCs w:val="26"/>
        </w:rPr>
        <w:drawing>
          <wp:inline distT="0" distB="0" distL="0" distR="0" wp14:anchorId="05F952F9" wp14:editId="4BFE4B0D">
            <wp:extent cx="5471769" cy="2330839"/>
            <wp:effectExtent l="0" t="0" r="0" b="0"/>
            <wp:docPr id="603669098" name="Kép 1" descr="A képen szöveg, diagram, képernyőkép, kö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669098" name="Kép 1" descr="A képen szöveg, diagram, képernyőkép, kör látható&#10;&#10;Előfordulhat, hogy a mesterséges intelligencia által létrehozott tartalom helytelen."/>
                    <pic:cNvPicPr/>
                  </pic:nvPicPr>
                  <pic:blipFill>
                    <a:blip r:embed="rId17"/>
                    <a:stretch>
                      <a:fillRect/>
                    </a:stretch>
                  </pic:blipFill>
                  <pic:spPr>
                    <a:xfrm>
                      <a:off x="0" y="0"/>
                      <a:ext cx="5482732" cy="2335509"/>
                    </a:xfrm>
                    <a:prstGeom prst="rect">
                      <a:avLst/>
                    </a:prstGeom>
                  </pic:spPr>
                </pic:pic>
              </a:graphicData>
            </a:graphic>
          </wp:inline>
        </w:drawing>
      </w:r>
    </w:p>
    <w:p w14:paraId="7276B309" w14:textId="185F49BC" w:rsidR="00E20C14" w:rsidRPr="00E20C14" w:rsidRDefault="00E20C14" w:rsidP="00966B20">
      <w:pPr>
        <w:jc w:val="both"/>
        <w:rPr>
          <w:rFonts w:ascii="Times New Roman" w:eastAsia="Calibri" w:hAnsi="Times New Roman" w:cs="Times New Roman"/>
          <w:sz w:val="26"/>
          <w:szCs w:val="26"/>
          <w:lang w:eastAsia="hu-HU"/>
        </w:rPr>
      </w:pPr>
      <w:r w:rsidRPr="00E20C14">
        <w:rPr>
          <w:rFonts w:ascii="Times New Roman" w:eastAsia="Calibri" w:hAnsi="Times New Roman" w:cs="Times New Roman"/>
          <w:sz w:val="26"/>
          <w:szCs w:val="26"/>
          <w:lang w:eastAsia="hu-HU"/>
        </w:rPr>
        <w:t>2026-ban a szociális hozzájárulási adó megfizetett összegének 17,19%-a az</w:t>
      </w:r>
      <w:r w:rsidR="00A36AD4">
        <w:rPr>
          <w:rFonts w:ascii="Times New Roman" w:eastAsia="Calibri" w:hAnsi="Times New Roman" w:cs="Times New Roman"/>
          <w:sz w:val="26"/>
          <w:szCs w:val="26"/>
          <w:lang w:eastAsia="hu-HU"/>
        </w:rPr>
        <w:t> </w:t>
      </w:r>
      <w:r w:rsidRPr="00E20C14">
        <w:rPr>
          <w:rFonts w:ascii="Times New Roman" w:eastAsia="Calibri" w:hAnsi="Times New Roman" w:cs="Times New Roman"/>
          <w:sz w:val="26"/>
          <w:szCs w:val="26"/>
          <w:lang w:eastAsia="hu-HU"/>
        </w:rPr>
        <w:t xml:space="preserve">Egészségbiztosítási Alapot illeti meg. 2026 első két hónapjában évben a </w:t>
      </w:r>
      <w:r w:rsidRPr="00E20C14">
        <w:rPr>
          <w:rFonts w:ascii="Times New Roman" w:eastAsia="Calibri" w:hAnsi="Times New Roman" w:cs="Times New Roman"/>
          <w:b/>
          <w:bCs/>
          <w:sz w:val="26"/>
          <w:szCs w:val="26"/>
          <w:lang w:eastAsia="hu-HU"/>
        </w:rPr>
        <w:t>szociális hozzájárulási adó Egészségbiztosítási Alapot megillető része</w:t>
      </w:r>
      <w:r w:rsidRPr="00E20C14">
        <w:rPr>
          <w:rFonts w:ascii="Times New Roman" w:eastAsia="Calibri" w:hAnsi="Times New Roman" w:cs="Times New Roman"/>
          <w:sz w:val="26"/>
          <w:szCs w:val="26"/>
          <w:lang w:eastAsia="hu-HU"/>
        </w:rPr>
        <w:t xml:space="preserve"> 115,4</w:t>
      </w:r>
      <w:r w:rsidRPr="00E20C14">
        <w:rPr>
          <w:rFonts w:ascii="Times New Roman" w:eastAsia="Times New Roman" w:hAnsi="Times New Roman" w:cs="Times New Roman"/>
          <w:sz w:val="26"/>
          <w:szCs w:val="20"/>
          <w:lang w:eastAsia="hu-HU"/>
        </w:rPr>
        <w:t> </w:t>
      </w:r>
      <w:r w:rsidRPr="00E20C14">
        <w:rPr>
          <w:rFonts w:ascii="Times New Roman" w:eastAsia="Calibri" w:hAnsi="Times New Roman" w:cs="Times New Roman"/>
          <w:sz w:val="26"/>
          <w:szCs w:val="26"/>
          <w:lang w:eastAsia="hu-HU"/>
        </w:rPr>
        <w:t>milliárd</w:t>
      </w:r>
      <w:r w:rsidRPr="00E20C14">
        <w:rPr>
          <w:rFonts w:ascii="Times New Roman" w:eastAsia="Times New Roman" w:hAnsi="Times New Roman" w:cs="Times New Roman"/>
          <w:sz w:val="26"/>
          <w:szCs w:val="20"/>
          <w:lang w:eastAsia="hu-HU"/>
        </w:rPr>
        <w:t> </w:t>
      </w:r>
      <w:r w:rsidRPr="00E20C14">
        <w:rPr>
          <w:rFonts w:ascii="Times New Roman" w:eastAsia="Calibri" w:hAnsi="Times New Roman" w:cs="Times New Roman"/>
          <w:sz w:val="26"/>
          <w:szCs w:val="26"/>
          <w:lang w:eastAsia="hu-HU"/>
        </w:rPr>
        <w:t>forintban teljesült, amely 41,3</w:t>
      </w:r>
      <w:r w:rsidRPr="00E20C14">
        <w:rPr>
          <w:rFonts w:ascii="Times New Roman" w:eastAsia="Times New Roman" w:hAnsi="Times New Roman" w:cs="Times New Roman"/>
          <w:sz w:val="26"/>
          <w:szCs w:val="20"/>
          <w:lang w:eastAsia="hu-HU"/>
        </w:rPr>
        <w:t> </w:t>
      </w:r>
      <w:r w:rsidRPr="00E20C14">
        <w:rPr>
          <w:rFonts w:ascii="Times New Roman" w:eastAsia="Calibri" w:hAnsi="Times New Roman" w:cs="Times New Roman"/>
          <w:sz w:val="26"/>
          <w:szCs w:val="26"/>
          <w:lang w:eastAsia="hu-HU"/>
        </w:rPr>
        <w:t>milliárd</w:t>
      </w:r>
      <w:r w:rsidRPr="00E20C14">
        <w:rPr>
          <w:rFonts w:ascii="Times New Roman" w:eastAsia="Times New Roman" w:hAnsi="Times New Roman" w:cs="Times New Roman"/>
          <w:sz w:val="26"/>
          <w:szCs w:val="20"/>
          <w:lang w:eastAsia="hu-HU"/>
        </w:rPr>
        <w:t> </w:t>
      </w:r>
      <w:r w:rsidRPr="00E20C14">
        <w:rPr>
          <w:rFonts w:ascii="Times New Roman" w:eastAsia="Calibri" w:hAnsi="Times New Roman" w:cs="Times New Roman"/>
          <w:sz w:val="26"/>
          <w:szCs w:val="26"/>
          <w:lang w:eastAsia="hu-HU"/>
        </w:rPr>
        <w:t xml:space="preserve">forinttal </w:t>
      </w:r>
      <w:r w:rsidRPr="00E20C14">
        <w:rPr>
          <w:rFonts w:ascii="Times New Roman" w:eastAsia="Times New Roman" w:hAnsi="Times New Roman" w:cs="Times New Roman"/>
          <w:sz w:val="26"/>
          <w:szCs w:val="26"/>
          <w:lang w:eastAsia="hu-HU"/>
        </w:rPr>
        <w:t xml:space="preserve">haladta meg az előző </w:t>
      </w:r>
      <w:r w:rsidRPr="00E20C14">
        <w:rPr>
          <w:rFonts w:ascii="Times New Roman" w:eastAsia="Calibri" w:hAnsi="Times New Roman" w:cs="Times New Roman"/>
          <w:sz w:val="26"/>
          <w:szCs w:val="26"/>
          <w:lang w:eastAsia="hu-HU"/>
        </w:rPr>
        <w:t>év azonos időszakában</w:t>
      </w:r>
      <w:r w:rsidRPr="00E20C14">
        <w:rPr>
          <w:rFonts w:ascii="Times New Roman" w:eastAsia="Times New Roman" w:hAnsi="Times New Roman" w:cs="Times New Roman"/>
          <w:sz w:val="26"/>
          <w:szCs w:val="26"/>
          <w:lang w:eastAsia="hu-HU"/>
        </w:rPr>
        <w:t xml:space="preserve"> befolyt bevételt.</w:t>
      </w:r>
      <w:r w:rsidRPr="00E20C14">
        <w:rPr>
          <w:rFonts w:ascii="Times New Roman" w:eastAsia="Times New Roman" w:hAnsi="Times New Roman" w:cs="Times New Roman"/>
          <w:sz w:val="26"/>
          <w:szCs w:val="20"/>
          <w:lang w:eastAsia="hu-HU"/>
        </w:rPr>
        <w:t xml:space="preserve"> </w:t>
      </w:r>
      <w:r w:rsidRPr="00E20C14">
        <w:rPr>
          <w:rFonts w:ascii="Times New Roman" w:eastAsia="Calibri" w:hAnsi="Times New Roman" w:cs="Times New Roman"/>
          <w:sz w:val="26"/>
          <w:szCs w:val="26"/>
          <w:lang w:eastAsia="hu-HU"/>
        </w:rPr>
        <w:t>A bevétel változása az adóköteles jövedelmek növekedésével és az alapok közötti megoszlási arány változásával magyarázható, valamint az egyszeri kifizetésekhez kapcsolódó befizetésekkel.</w:t>
      </w:r>
    </w:p>
    <w:p w14:paraId="287ED0DA" w14:textId="231BA7F5" w:rsidR="00C33C0A" w:rsidRDefault="00E20C14" w:rsidP="00966B20">
      <w:pPr>
        <w:jc w:val="both"/>
        <w:rPr>
          <w:rFonts w:ascii="Times New Roman" w:eastAsia="Calibri" w:hAnsi="Times New Roman" w:cs="Times New Roman"/>
          <w:sz w:val="26"/>
          <w:szCs w:val="26"/>
          <w:lang w:eastAsia="hu-HU"/>
        </w:rPr>
      </w:pPr>
      <w:r w:rsidRPr="00E20C14">
        <w:rPr>
          <w:rFonts w:ascii="Times New Roman" w:eastAsia="Calibri" w:hAnsi="Times New Roman" w:cs="Times New Roman"/>
          <w:sz w:val="26"/>
          <w:szCs w:val="26"/>
          <w:lang w:eastAsia="hu-HU"/>
        </w:rPr>
        <w:t xml:space="preserve">A befizetett társadalombiztosítási járulék 37,9%-át az állami adóhatóság az Egészségbiztosítási Alapnak utalja át. 2026 első két hónapjában a </w:t>
      </w:r>
      <w:r w:rsidRPr="00E20C14">
        <w:rPr>
          <w:rFonts w:ascii="Times New Roman" w:eastAsia="Calibri" w:hAnsi="Times New Roman" w:cs="Times New Roman"/>
          <w:b/>
          <w:bCs/>
          <w:sz w:val="26"/>
          <w:szCs w:val="26"/>
          <w:lang w:eastAsia="hu-HU"/>
        </w:rPr>
        <w:t>társadalombiztosítási járulék Egészségbiztosítási Alapot megillető része és egészségbiztosítási járulék</w:t>
      </w:r>
      <w:r w:rsidRPr="00E20C14">
        <w:rPr>
          <w:rFonts w:ascii="Times New Roman" w:eastAsia="Calibri" w:hAnsi="Times New Roman" w:cs="Times New Roman"/>
          <w:sz w:val="26"/>
          <w:szCs w:val="26"/>
          <w:lang w:eastAsia="hu-HU"/>
        </w:rPr>
        <w:t xml:space="preserve"> 387,3</w:t>
      </w:r>
      <w:r w:rsidRPr="00E20C14">
        <w:rPr>
          <w:rFonts w:ascii="Times New Roman" w:eastAsia="Times New Roman" w:hAnsi="Times New Roman" w:cs="Times New Roman"/>
          <w:sz w:val="26"/>
          <w:szCs w:val="20"/>
          <w:lang w:eastAsia="hu-HU"/>
        </w:rPr>
        <w:t> </w:t>
      </w:r>
      <w:r w:rsidRPr="00E20C14">
        <w:rPr>
          <w:rFonts w:ascii="Times New Roman" w:eastAsia="Calibri" w:hAnsi="Times New Roman" w:cs="Times New Roman"/>
          <w:sz w:val="26"/>
          <w:szCs w:val="26"/>
          <w:lang w:eastAsia="hu-HU"/>
        </w:rPr>
        <w:t>milliárd</w:t>
      </w:r>
      <w:r w:rsidRPr="00E20C14">
        <w:rPr>
          <w:rFonts w:ascii="Times New Roman" w:eastAsia="Times New Roman" w:hAnsi="Times New Roman" w:cs="Times New Roman"/>
          <w:sz w:val="26"/>
          <w:szCs w:val="20"/>
          <w:lang w:eastAsia="hu-HU"/>
        </w:rPr>
        <w:t> </w:t>
      </w:r>
      <w:r w:rsidRPr="00E20C14">
        <w:rPr>
          <w:rFonts w:ascii="Times New Roman" w:eastAsia="Calibri" w:hAnsi="Times New Roman" w:cs="Times New Roman"/>
          <w:sz w:val="26"/>
          <w:szCs w:val="26"/>
          <w:lang w:eastAsia="hu-HU"/>
        </w:rPr>
        <w:t xml:space="preserve">forintban teljesült, </w:t>
      </w:r>
      <w:r w:rsidRPr="00E20C14">
        <w:rPr>
          <w:rFonts w:ascii="Times New Roman" w:eastAsia="Times New Roman" w:hAnsi="Times New Roman" w:cs="Times New Roman"/>
          <w:sz w:val="26"/>
          <w:szCs w:val="26"/>
          <w:lang w:eastAsia="hu-HU"/>
        </w:rPr>
        <w:t xml:space="preserve">amely az előző </w:t>
      </w:r>
      <w:r w:rsidRPr="00E20C14">
        <w:rPr>
          <w:rFonts w:ascii="Times New Roman" w:eastAsia="Calibri" w:hAnsi="Times New Roman" w:cs="Times New Roman"/>
          <w:sz w:val="26"/>
          <w:szCs w:val="26"/>
          <w:lang w:eastAsia="hu-HU"/>
        </w:rPr>
        <w:t>év azonos időszakában</w:t>
      </w:r>
      <w:r w:rsidRPr="00E20C14">
        <w:rPr>
          <w:rFonts w:ascii="Times New Roman" w:eastAsia="Times New Roman" w:hAnsi="Times New Roman" w:cs="Times New Roman"/>
          <w:sz w:val="26"/>
          <w:szCs w:val="26"/>
          <w:lang w:eastAsia="hu-HU"/>
        </w:rPr>
        <w:t xml:space="preserve"> befolyt bevételt</w:t>
      </w:r>
      <w:r w:rsidRPr="00E20C14">
        <w:rPr>
          <w:rFonts w:ascii="Times New Roman" w:eastAsia="Calibri" w:hAnsi="Times New Roman" w:cs="Times New Roman"/>
          <w:sz w:val="26"/>
          <w:szCs w:val="26"/>
          <w:lang w:eastAsia="hu-HU"/>
        </w:rPr>
        <w:t xml:space="preserve"> 52,6 milliárd</w:t>
      </w:r>
      <w:r w:rsidRPr="00E20C14">
        <w:rPr>
          <w:rFonts w:ascii="Times New Roman" w:eastAsia="Times New Roman" w:hAnsi="Times New Roman" w:cs="Times New Roman"/>
          <w:sz w:val="26"/>
          <w:szCs w:val="20"/>
          <w:lang w:eastAsia="hu-HU"/>
        </w:rPr>
        <w:t> </w:t>
      </w:r>
      <w:r w:rsidRPr="00E20C14">
        <w:rPr>
          <w:rFonts w:ascii="Times New Roman" w:eastAsia="Calibri" w:hAnsi="Times New Roman" w:cs="Times New Roman"/>
          <w:sz w:val="26"/>
          <w:szCs w:val="26"/>
          <w:lang w:eastAsia="hu-HU"/>
        </w:rPr>
        <w:t>forinttal haladta meg. A bevételnövekedés oka a járulékköteles bértömeg növekedésének, a családi kedvezmények kiterjesztésének és az egyszeri kifizetésekhez kapcsolódó befizetéseknek az együttes hatása.</w:t>
      </w:r>
    </w:p>
    <w:p w14:paraId="52DBA44B" w14:textId="7CD87BBE" w:rsidR="00AB3A4C" w:rsidRDefault="070AFB42" w:rsidP="00966B20">
      <w:pPr>
        <w:jc w:val="both"/>
        <w:rPr>
          <w:rFonts w:ascii="Times New Roman" w:hAnsi="Times New Roman" w:cs="Times New Roman"/>
          <w:sz w:val="26"/>
          <w:szCs w:val="26"/>
        </w:rPr>
      </w:pPr>
      <w:r w:rsidRPr="070AFB42">
        <w:rPr>
          <w:rFonts w:ascii="Times New Roman" w:hAnsi="Times New Roman" w:cs="Times New Roman"/>
          <w:sz w:val="26"/>
          <w:szCs w:val="26"/>
        </w:rPr>
        <w:t xml:space="preserve">Az </w:t>
      </w:r>
      <w:r w:rsidRPr="070AFB42">
        <w:rPr>
          <w:rFonts w:ascii="Times New Roman" w:hAnsi="Times New Roman" w:cs="Times New Roman"/>
          <w:b/>
          <w:bCs/>
          <w:sz w:val="26"/>
          <w:szCs w:val="26"/>
        </w:rPr>
        <w:t>Egészségbiztosítási Alap költségvetési hozzájárulásai</w:t>
      </w:r>
      <w:r w:rsidRPr="070AFB42">
        <w:rPr>
          <w:rFonts w:ascii="Times New Roman" w:hAnsi="Times New Roman" w:cs="Times New Roman"/>
          <w:sz w:val="26"/>
          <w:szCs w:val="26"/>
        </w:rPr>
        <w:t xml:space="preserve"> 2026 első két hónapjában összesen 285,3 milliárd forintot tettek ki, amely 29,6 milliárd forinttal alacsonyabb, mint az előző év azonos időszakában átutalt összeg. 2026 február végéig az Egészségbiztosítási Alap járulék címen átvett pénzeszközként 121,7 milliárd forint támogatást kapott, szemben a tavalyi év első két hónapjában átutalt 115,4 milliárd forinttal. Az alap kiadásainak támogatására szolgáló tervezett pénzeszköz-átvétel és az egészségügyi feladatok ellátásával kapcsolatos hozzájárulás együttes összege 2026 február végéig 163,6 milliárd forintot tett ki, amely 35,9 milliárd forinttal elmarad az előző év ezen időszakában átutalt összegtől.</w:t>
      </w:r>
    </w:p>
    <w:p w14:paraId="51F08DF7" w14:textId="6FA8B559" w:rsidR="009E34AE" w:rsidRPr="00377D59" w:rsidRDefault="4600C643" w:rsidP="4600C643">
      <w:pPr>
        <w:keepNext/>
        <w:numPr>
          <w:ilvl w:val="0"/>
          <w:numId w:val="3"/>
        </w:numPr>
        <w:spacing w:after="120" w:line="240" w:lineRule="auto"/>
        <w:jc w:val="both"/>
        <w:outlineLvl w:val="2"/>
        <w:rPr>
          <w:rFonts w:ascii="Times New Roman" w:eastAsia="Times New Roman" w:hAnsi="Times New Roman" w:cs="Times New Roman"/>
          <w:b/>
          <w:bCs/>
          <w:smallCaps/>
          <w:sz w:val="28"/>
          <w:szCs w:val="28"/>
          <w:lang w:eastAsia="hu-HU"/>
        </w:rPr>
      </w:pPr>
      <w:r w:rsidRPr="4600C643">
        <w:rPr>
          <w:rFonts w:ascii="Times New Roman" w:eastAsia="Times New Roman" w:hAnsi="Times New Roman" w:cs="Times New Roman"/>
          <w:b/>
          <w:bCs/>
          <w:smallCaps/>
          <w:sz w:val="28"/>
          <w:szCs w:val="28"/>
          <w:lang w:eastAsia="hu-HU"/>
        </w:rPr>
        <w:lastRenderedPageBreak/>
        <w:t xml:space="preserve">A főbb kiadások </w:t>
      </w:r>
    </w:p>
    <w:p w14:paraId="11333658" w14:textId="23636E35" w:rsidR="00671F24" w:rsidRPr="00671F24" w:rsidRDefault="4600C643" w:rsidP="00671F24">
      <w:pPr>
        <w:jc w:val="both"/>
        <w:rPr>
          <w:rFonts w:ascii="Times New Roman" w:eastAsia="Times New Roman" w:hAnsi="Times New Roman" w:cs="Times New Roman"/>
          <w:b/>
          <w:bCs/>
          <w:sz w:val="26"/>
          <w:szCs w:val="26"/>
          <w:lang w:eastAsia="hu-HU"/>
        </w:rPr>
      </w:pPr>
      <w:r w:rsidRPr="4600C643">
        <w:rPr>
          <w:rFonts w:ascii="Times New Roman" w:eastAsia="Times New Roman" w:hAnsi="Times New Roman" w:cs="Times New Roman"/>
          <w:b/>
          <w:bCs/>
          <w:sz w:val="26"/>
          <w:szCs w:val="26"/>
          <w:lang w:eastAsia="hu-HU"/>
        </w:rPr>
        <w:t xml:space="preserve">A központi alrendszer </w:t>
      </w:r>
      <w:r w:rsidR="00671F24" w:rsidRPr="00671F24">
        <w:rPr>
          <w:rFonts w:ascii="Times New Roman" w:eastAsia="Times New Roman" w:hAnsi="Times New Roman" w:cs="Times New Roman"/>
          <w:b/>
          <w:bCs/>
          <w:sz w:val="26"/>
          <w:szCs w:val="26"/>
          <w:lang w:eastAsia="hu-HU"/>
        </w:rPr>
        <w:t>február végi 9549,8 milliárd forint összegű kiadásai 1512,2</w:t>
      </w:r>
      <w:r w:rsidR="00671F24">
        <w:rPr>
          <w:rFonts w:ascii="Times New Roman" w:eastAsia="Times New Roman" w:hAnsi="Times New Roman" w:cs="Times New Roman"/>
          <w:b/>
          <w:bCs/>
          <w:sz w:val="26"/>
          <w:szCs w:val="26"/>
          <w:lang w:eastAsia="hu-HU"/>
        </w:rPr>
        <w:t> </w:t>
      </w:r>
      <w:r w:rsidR="00671F24" w:rsidRPr="00671F24">
        <w:rPr>
          <w:rFonts w:ascii="Times New Roman" w:eastAsia="Times New Roman" w:hAnsi="Times New Roman" w:cs="Times New Roman"/>
          <w:b/>
          <w:bCs/>
          <w:sz w:val="26"/>
          <w:szCs w:val="26"/>
          <w:lang w:eastAsia="hu-HU"/>
        </w:rPr>
        <w:t xml:space="preserve">milliárd forinttal, 18,8%-kal haladták meg az előző év azonos időszaki adatát. </w:t>
      </w:r>
    </w:p>
    <w:p w14:paraId="74B89A05" w14:textId="473ED2F9" w:rsidR="00671F24" w:rsidRPr="00671F24" w:rsidRDefault="00671F24" w:rsidP="00671F24">
      <w:pPr>
        <w:jc w:val="both"/>
        <w:rPr>
          <w:rFonts w:ascii="Times New Roman" w:eastAsia="Times New Roman" w:hAnsi="Times New Roman" w:cs="Times New Roman"/>
          <w:b/>
          <w:bCs/>
          <w:sz w:val="26"/>
          <w:szCs w:val="26"/>
          <w:lang w:eastAsia="hu-HU"/>
        </w:rPr>
      </w:pPr>
      <w:r w:rsidRPr="00671F24">
        <w:rPr>
          <w:rFonts w:ascii="Times New Roman" w:eastAsia="Times New Roman" w:hAnsi="Times New Roman" w:cs="Times New Roman"/>
          <w:b/>
          <w:bCs/>
          <w:sz w:val="26"/>
          <w:szCs w:val="26"/>
          <w:lang w:eastAsia="hu-HU"/>
        </w:rPr>
        <w:t>Magasabban teljesültek az egy évvel korábbihoz képest többek között a költségvetési szervek kiadásai, a szakmai fejezeti kezelésű előirányzatok kiadásai, a</w:t>
      </w:r>
      <w:r>
        <w:rPr>
          <w:rFonts w:ascii="Times New Roman" w:eastAsia="Times New Roman" w:hAnsi="Times New Roman" w:cs="Times New Roman"/>
          <w:b/>
          <w:bCs/>
          <w:sz w:val="26"/>
          <w:szCs w:val="26"/>
          <w:lang w:eastAsia="hu-HU"/>
        </w:rPr>
        <w:t> </w:t>
      </w:r>
      <w:r w:rsidRPr="00671F24">
        <w:rPr>
          <w:rFonts w:ascii="Times New Roman" w:eastAsia="Times New Roman" w:hAnsi="Times New Roman" w:cs="Times New Roman"/>
          <w:b/>
          <w:bCs/>
          <w:sz w:val="26"/>
          <w:szCs w:val="26"/>
          <w:lang w:eastAsia="hu-HU"/>
        </w:rPr>
        <w:t>lakástámogatások és az állami beruházási fejezet kiadásai.</w:t>
      </w:r>
    </w:p>
    <w:p w14:paraId="1660E392" w14:textId="7A8DAF26" w:rsidR="00F46F72" w:rsidRPr="00AA3374" w:rsidRDefault="00671F24" w:rsidP="00671F24">
      <w:pPr>
        <w:jc w:val="both"/>
        <w:rPr>
          <w:rFonts w:ascii="Times New Roman" w:hAnsi="Times New Roman" w:cs="Times New Roman"/>
          <w:b/>
          <w:bCs/>
          <w:sz w:val="26"/>
          <w:szCs w:val="26"/>
        </w:rPr>
      </w:pPr>
      <w:r w:rsidRPr="00671F24">
        <w:rPr>
          <w:rFonts w:ascii="Times New Roman" w:eastAsia="Times New Roman" w:hAnsi="Times New Roman" w:cs="Times New Roman"/>
          <w:b/>
          <w:bCs/>
          <w:sz w:val="26"/>
          <w:szCs w:val="26"/>
          <w:lang w:eastAsia="hu-HU"/>
        </w:rPr>
        <w:t xml:space="preserve">Meghaladták az egy évvel korábbi kifizetést a nyugellátásokra és a gyógyító-megelőző ellátásra fordított összegek is. Nyugellátásokra </w:t>
      </w:r>
      <w:r w:rsidR="00791AF3">
        <w:rPr>
          <w:rFonts w:ascii="Times New Roman" w:eastAsia="Times New Roman" w:hAnsi="Times New Roman" w:cs="Times New Roman"/>
          <w:b/>
          <w:bCs/>
          <w:sz w:val="26"/>
          <w:szCs w:val="26"/>
          <w:lang w:eastAsia="hu-HU"/>
        </w:rPr>
        <w:t xml:space="preserve">és nyugdíjszerű ellátásokra </w:t>
      </w:r>
      <w:r w:rsidRPr="00671F24">
        <w:rPr>
          <w:rFonts w:ascii="Times New Roman" w:eastAsia="Times New Roman" w:hAnsi="Times New Roman" w:cs="Times New Roman"/>
          <w:b/>
          <w:bCs/>
          <w:sz w:val="26"/>
          <w:szCs w:val="26"/>
          <w:lang w:eastAsia="hu-HU"/>
        </w:rPr>
        <w:t>1</w:t>
      </w:r>
      <w:r w:rsidR="00791AF3">
        <w:rPr>
          <w:rFonts w:ascii="Times New Roman" w:eastAsia="Times New Roman" w:hAnsi="Times New Roman" w:cs="Times New Roman"/>
          <w:b/>
          <w:bCs/>
          <w:sz w:val="26"/>
          <w:szCs w:val="26"/>
          <w:lang w:eastAsia="hu-HU"/>
        </w:rPr>
        <w:t>922,4 </w:t>
      </w:r>
      <w:r w:rsidRPr="00671F24">
        <w:rPr>
          <w:rFonts w:ascii="Times New Roman" w:eastAsia="Times New Roman" w:hAnsi="Times New Roman" w:cs="Times New Roman"/>
          <w:b/>
          <w:bCs/>
          <w:sz w:val="26"/>
          <w:szCs w:val="26"/>
          <w:lang w:eastAsia="hu-HU"/>
        </w:rPr>
        <w:t>milliárd forint, míg a gyógyító-megelőző ellátásra 537,1 milliárd forint került kifizetésre február végéig</w:t>
      </w:r>
      <w:r w:rsidR="4600C643" w:rsidRPr="4600C643">
        <w:rPr>
          <w:rFonts w:ascii="Times New Roman" w:hAnsi="Times New Roman" w:cs="Times New Roman"/>
          <w:b/>
          <w:bCs/>
          <w:sz w:val="26"/>
          <w:szCs w:val="26"/>
        </w:rPr>
        <w:t>.</w:t>
      </w:r>
    </w:p>
    <w:p w14:paraId="71AFDEF8" w14:textId="6C918185" w:rsidR="00C35E13" w:rsidRDefault="003434B6" w:rsidP="003415FE">
      <w:pPr>
        <w:pStyle w:val="NormlWeb"/>
        <w:spacing w:after="0" w:afterAutospacing="0"/>
        <w:jc w:val="center"/>
      </w:pPr>
      <w:r w:rsidRPr="003434B6">
        <w:rPr>
          <w:noProof/>
        </w:rPr>
        <w:drawing>
          <wp:inline distT="0" distB="0" distL="0" distR="0" wp14:anchorId="2522B9D6" wp14:editId="02FF0D91">
            <wp:extent cx="5727802" cy="2274374"/>
            <wp:effectExtent l="0" t="0" r="6350" b="0"/>
            <wp:docPr id="1642111621" name="Kép 1" descr="A képen szöveg, diagram, kör, képernyőkép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111621" name="Kép 1" descr="A képen szöveg, diagram, kör, képernyőkép látható&#10;&#10;Előfordulhat, hogy a mesterséges intelligencia által létrehozott tartalom helytelen."/>
                    <pic:cNvPicPr/>
                  </pic:nvPicPr>
                  <pic:blipFill>
                    <a:blip r:embed="rId18"/>
                    <a:stretch>
                      <a:fillRect/>
                    </a:stretch>
                  </pic:blipFill>
                  <pic:spPr>
                    <a:xfrm>
                      <a:off x="0" y="0"/>
                      <a:ext cx="5770966" cy="2291513"/>
                    </a:xfrm>
                    <a:prstGeom prst="rect">
                      <a:avLst/>
                    </a:prstGeom>
                  </pic:spPr>
                </pic:pic>
              </a:graphicData>
            </a:graphic>
          </wp:inline>
        </w:drawing>
      </w:r>
    </w:p>
    <w:p w14:paraId="53EF96F0" w14:textId="09CAA8E8" w:rsidR="00371825" w:rsidRDefault="4600C643" w:rsidP="4600C643">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 xml:space="preserve">Az </w:t>
      </w:r>
      <w:r w:rsidRPr="4600C643">
        <w:rPr>
          <w:rFonts w:ascii="Times New Roman" w:eastAsia="Times New Roman" w:hAnsi="Times New Roman" w:cs="Times New Roman"/>
          <w:b/>
          <w:bCs/>
          <w:sz w:val="26"/>
          <w:szCs w:val="26"/>
        </w:rPr>
        <w:t>úthálózat rendelkezésre állási díjak</w:t>
      </w:r>
      <w:r w:rsidRPr="4600C643">
        <w:rPr>
          <w:rFonts w:ascii="Times New Roman" w:eastAsia="Times New Roman" w:hAnsi="Times New Roman" w:cs="Times New Roman"/>
          <w:sz w:val="26"/>
          <w:szCs w:val="26"/>
        </w:rPr>
        <w:t xml:space="preserve"> mérlegsor tartalmazza az M5, M6 autópálya rendelkezésre állási díjak, valamint a gyorsforgalmi úthálózat rendelkezésre állási díj előirányzatok kiadásait, amelynek összege 2026 első két hónapjában 63,4 milliárd forint volt, ami 2,6 milliárd forinttal alacsonyabban alakult a 2025. év azonos időszakához képest.</w:t>
      </w:r>
    </w:p>
    <w:p w14:paraId="182A3A7A" w14:textId="662EE7D9" w:rsidR="1EBF714E" w:rsidRPr="003772C6" w:rsidRDefault="4600C643" w:rsidP="4600C643">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 xml:space="preserve">A </w:t>
      </w:r>
      <w:r w:rsidRPr="4600C643">
        <w:rPr>
          <w:rFonts w:ascii="Times New Roman" w:eastAsia="Times New Roman" w:hAnsi="Times New Roman" w:cs="Times New Roman"/>
          <w:b/>
          <w:bCs/>
          <w:sz w:val="26"/>
          <w:szCs w:val="26"/>
        </w:rPr>
        <w:t>közösségi közlekedés költségtérítés és támogatás</w:t>
      </w:r>
      <w:r w:rsidRPr="4600C643">
        <w:rPr>
          <w:rFonts w:ascii="Times New Roman" w:eastAsia="Times New Roman" w:hAnsi="Times New Roman" w:cs="Times New Roman"/>
          <w:sz w:val="26"/>
          <w:szCs w:val="26"/>
        </w:rPr>
        <w:t xml:space="preserve"> mérlegsor kiadásai 2026. február végéig 87,5 milliárd forintot tettek ki, amelyek magasabb teljesítést mutatnak a megelőző év azonos időszakának adataival összevetve. Ennek oka, hogy az idei évben korábban kezdődött meg a közlekedési közszolgáltatások költségtérítésének folyósítása. A</w:t>
      </w:r>
      <w:r w:rsidR="00A36AD4">
        <w:rPr>
          <w:rFonts w:ascii="Times New Roman" w:eastAsia="Times New Roman" w:hAnsi="Times New Roman" w:cs="Times New Roman"/>
          <w:sz w:val="26"/>
          <w:szCs w:val="26"/>
        </w:rPr>
        <w:t> </w:t>
      </w:r>
      <w:r w:rsidRPr="4600C643">
        <w:rPr>
          <w:rFonts w:ascii="Times New Roman" w:eastAsia="Times New Roman" w:hAnsi="Times New Roman" w:cs="Times New Roman"/>
          <w:sz w:val="26"/>
          <w:szCs w:val="26"/>
        </w:rPr>
        <w:t>mérlegsoron belül kifizetés a vasúti pályahálózat működtetésének költségtérítése, az</w:t>
      </w:r>
      <w:r w:rsidR="00A36AD4">
        <w:rPr>
          <w:rFonts w:ascii="Times New Roman" w:eastAsia="Times New Roman" w:hAnsi="Times New Roman" w:cs="Times New Roman"/>
          <w:sz w:val="26"/>
          <w:szCs w:val="26"/>
        </w:rPr>
        <w:t> </w:t>
      </w:r>
      <w:r w:rsidRPr="4600C643">
        <w:rPr>
          <w:rFonts w:ascii="Times New Roman" w:eastAsia="Times New Roman" w:hAnsi="Times New Roman" w:cs="Times New Roman"/>
          <w:sz w:val="26"/>
          <w:szCs w:val="26"/>
        </w:rPr>
        <w:t xml:space="preserve">autóbusszal végzett személyszállítási közszolgáltatások </w:t>
      </w:r>
      <w:r w:rsidR="00A36AD4" w:rsidRPr="4600C643">
        <w:rPr>
          <w:rFonts w:ascii="Times New Roman" w:eastAsia="Times New Roman" w:hAnsi="Times New Roman" w:cs="Times New Roman"/>
          <w:sz w:val="26"/>
          <w:szCs w:val="26"/>
        </w:rPr>
        <w:t>ellentételezése,</w:t>
      </w:r>
      <w:r w:rsidRPr="4600C643">
        <w:rPr>
          <w:rFonts w:ascii="Times New Roman" w:eastAsia="Times New Roman" w:hAnsi="Times New Roman" w:cs="Times New Roman"/>
          <w:sz w:val="26"/>
          <w:szCs w:val="26"/>
        </w:rPr>
        <w:t xml:space="preserve"> valamint a</w:t>
      </w:r>
      <w:r w:rsidR="00A36AD4">
        <w:rPr>
          <w:rFonts w:ascii="Times New Roman" w:eastAsia="Times New Roman" w:hAnsi="Times New Roman" w:cs="Times New Roman"/>
          <w:sz w:val="26"/>
          <w:szCs w:val="26"/>
        </w:rPr>
        <w:t> </w:t>
      </w:r>
      <w:r w:rsidRPr="4600C643">
        <w:rPr>
          <w:rFonts w:ascii="Times New Roman" w:eastAsia="Times New Roman" w:hAnsi="Times New Roman" w:cs="Times New Roman"/>
          <w:sz w:val="26"/>
          <w:szCs w:val="26"/>
        </w:rPr>
        <w:t>szociálpolitikai menetdíj támogatás vonatkozásában történt.</w:t>
      </w:r>
    </w:p>
    <w:p w14:paraId="3B52873E" w14:textId="54C2A376" w:rsidR="008D3E76" w:rsidRDefault="4600C643" w:rsidP="4600C643">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 xml:space="preserve">A </w:t>
      </w:r>
      <w:r w:rsidRPr="4600C643">
        <w:rPr>
          <w:rFonts w:ascii="Times New Roman" w:eastAsia="Times New Roman" w:hAnsi="Times New Roman" w:cs="Times New Roman"/>
          <w:b/>
          <w:bCs/>
          <w:sz w:val="26"/>
          <w:szCs w:val="26"/>
        </w:rPr>
        <w:t>közüzemi szolgáltatások támogatása</w:t>
      </w:r>
      <w:r w:rsidRPr="4600C643">
        <w:rPr>
          <w:rFonts w:ascii="Times New Roman" w:eastAsia="Times New Roman" w:hAnsi="Times New Roman" w:cs="Times New Roman"/>
          <w:sz w:val="26"/>
          <w:szCs w:val="26"/>
        </w:rPr>
        <w:t xml:space="preserve"> mérlegsor tartalmazza a lakossági energia rezsivédelmi szolgáltatás, a rezsivédelmi készletezési szolgáltatás és a távhőszolgáltatók kompenzációjával kapcsolatos kiadásokat, valamint a Víziközmű-fejlesztési és Ellentételezési Alap kiadásait is, illetve ezen a mérlegsoron jelennek meg a januári rezsitöbblet átvállalásának kiadásai is. A közüzemi szolgáltatások támogatására fordított kiadások 2026. február végéig 271,0 milliárd forintot tettek ki. A mérlegsor jelenlegi teljesítése 61,5 milliárd forinttal alacsonyabb, mint a 2025. év azonos időszakában </w:t>
      </w:r>
      <w:r w:rsidRPr="4600C643">
        <w:rPr>
          <w:rFonts w:ascii="Times New Roman" w:eastAsia="Times New Roman" w:hAnsi="Times New Roman" w:cs="Times New Roman"/>
          <w:sz w:val="26"/>
          <w:szCs w:val="26"/>
        </w:rPr>
        <w:lastRenderedPageBreak/>
        <w:t>a közüzemi szolgáltatások teljesítésére fordított 332,5 milliárd forint, amely a kifizetések eltérő ütemezéséből fakadt.</w:t>
      </w:r>
    </w:p>
    <w:p w14:paraId="79E44A54" w14:textId="6FC287C2" w:rsidR="0F03D9E1" w:rsidRDefault="4600C643" w:rsidP="4600C643">
      <w:pPr>
        <w:jc w:val="both"/>
        <w:rPr>
          <w:rFonts w:ascii="Times New Roman" w:eastAsia="Times New Roman" w:hAnsi="Times New Roman" w:cs="Times New Roman"/>
          <w:sz w:val="26"/>
          <w:szCs w:val="26"/>
        </w:rPr>
      </w:pPr>
      <w:r w:rsidRPr="4600C643">
        <w:rPr>
          <w:rFonts w:ascii="Times New Roman" w:eastAsia="Times New Roman" w:hAnsi="Times New Roman" w:cs="Times New Roman"/>
          <w:b/>
          <w:bCs/>
          <w:sz w:val="26"/>
          <w:szCs w:val="26"/>
          <w:lang w:eastAsia="hu-HU"/>
        </w:rPr>
        <w:t xml:space="preserve">Lakástámogatásokra </w:t>
      </w:r>
      <w:r w:rsidRPr="4600C643">
        <w:rPr>
          <w:rFonts w:ascii="Times New Roman" w:eastAsia="Times New Roman" w:hAnsi="Times New Roman" w:cs="Times New Roman"/>
          <w:sz w:val="26"/>
          <w:szCs w:val="26"/>
        </w:rPr>
        <w:t>fordított kiadások összege február végéig 121,7 milliárd forint volt, mely az előző év azonos időszakához viszonyítva 97,</w:t>
      </w:r>
      <w:r w:rsidR="00A035BA">
        <w:rPr>
          <w:rFonts w:ascii="Times New Roman" w:eastAsia="Times New Roman" w:hAnsi="Times New Roman" w:cs="Times New Roman"/>
          <w:sz w:val="26"/>
          <w:szCs w:val="26"/>
        </w:rPr>
        <w:t>2</w:t>
      </w:r>
      <w:r w:rsidRPr="4600C643">
        <w:rPr>
          <w:rFonts w:ascii="Times New Roman" w:eastAsia="Times New Roman" w:hAnsi="Times New Roman" w:cs="Times New Roman"/>
          <w:sz w:val="26"/>
          <w:szCs w:val="26"/>
        </w:rPr>
        <w:t> milliárd forinttal teljesült magasabban</w:t>
      </w:r>
      <w:r w:rsidR="00901E7D">
        <w:rPr>
          <w:rFonts w:ascii="Times New Roman" w:eastAsia="Times New Roman" w:hAnsi="Times New Roman" w:cs="Times New Roman"/>
          <w:sz w:val="26"/>
          <w:szCs w:val="26"/>
        </w:rPr>
        <w:t xml:space="preserve"> az otthontámogatásokhoz kapcsolódó kifizetések miatt</w:t>
      </w:r>
      <w:r w:rsidRPr="4600C643">
        <w:rPr>
          <w:rFonts w:ascii="Times New Roman" w:eastAsia="Times New Roman" w:hAnsi="Times New Roman" w:cs="Times New Roman"/>
          <w:sz w:val="26"/>
          <w:szCs w:val="26"/>
        </w:rPr>
        <w:t>.</w:t>
      </w:r>
    </w:p>
    <w:p w14:paraId="671B8652" w14:textId="0AECDBF2" w:rsidR="1D3ABBAA" w:rsidRDefault="4600C643" w:rsidP="1D3ABBAA">
      <w:pPr>
        <w:jc w:val="both"/>
      </w:pPr>
      <w:r w:rsidRPr="4600C643">
        <w:rPr>
          <w:rFonts w:ascii="Times New Roman" w:eastAsia="Times New Roman" w:hAnsi="Times New Roman" w:cs="Times New Roman"/>
          <w:sz w:val="26"/>
          <w:szCs w:val="26"/>
        </w:rPr>
        <w:t xml:space="preserve">A </w:t>
      </w:r>
      <w:r w:rsidRPr="4600C643">
        <w:rPr>
          <w:rFonts w:ascii="Times New Roman" w:eastAsia="Times New Roman" w:hAnsi="Times New Roman" w:cs="Times New Roman"/>
          <w:b/>
          <w:bCs/>
          <w:sz w:val="26"/>
          <w:szCs w:val="26"/>
        </w:rPr>
        <w:t>Nemzeti Család- és Szociálpolitikai Alap</w:t>
      </w:r>
      <w:r w:rsidRPr="4600C643">
        <w:rPr>
          <w:rFonts w:ascii="Times New Roman" w:eastAsia="Times New Roman" w:hAnsi="Times New Roman" w:cs="Times New Roman"/>
          <w:sz w:val="26"/>
          <w:szCs w:val="26"/>
        </w:rPr>
        <w:t xml:space="preserve"> a családi támogatásokat, a korhatár alatti ellátásokat, a jövedelempótló és jövedelemkiegészítő szociális támogatásokat, valamint a különféle jogcímen adott térítéseket tartalmazza. A főbb támogatásokat a következő táblázat részletezi:</w:t>
      </w:r>
    </w:p>
    <w:p w14:paraId="46398944" w14:textId="2D482933" w:rsidR="00621840" w:rsidRDefault="4600C643" w:rsidP="4600C643">
      <w:pPr>
        <w:spacing w:after="240"/>
        <w:jc w:val="center"/>
        <w:rPr>
          <w:rFonts w:ascii="Times New Roman" w:hAnsi="Times New Roman" w:cs="Times New Roman"/>
          <w:b/>
          <w:bCs/>
          <w:color w:val="000000" w:themeColor="text1"/>
        </w:rPr>
      </w:pPr>
      <w:r w:rsidRPr="4600C643">
        <w:rPr>
          <w:rFonts w:ascii="Times New Roman" w:hAnsi="Times New Roman" w:cs="Times New Roman"/>
          <w:b/>
          <w:bCs/>
          <w:color w:val="000000" w:themeColor="text1"/>
        </w:rPr>
        <w:t>A Nemzeti Család- és Szociálpolitikai Alap kiadásainak alakulása (milliárd forint)</w:t>
      </w:r>
    </w:p>
    <w:tbl>
      <w:tblPr>
        <w:tblW w:w="9238" w:type="dxa"/>
        <w:tblInd w:w="-5" w:type="dxa"/>
        <w:tblCellMar>
          <w:left w:w="70" w:type="dxa"/>
          <w:right w:w="70" w:type="dxa"/>
        </w:tblCellMar>
        <w:tblLook w:val="04A0" w:firstRow="1" w:lastRow="0" w:firstColumn="1" w:lastColumn="0" w:noHBand="0" w:noVBand="1"/>
      </w:tblPr>
      <w:tblGrid>
        <w:gridCol w:w="5720"/>
        <w:gridCol w:w="944"/>
        <w:gridCol w:w="991"/>
        <w:gridCol w:w="850"/>
        <w:gridCol w:w="733"/>
      </w:tblGrid>
      <w:tr w:rsidR="002E70D5" w:rsidRPr="002E70D5" w14:paraId="39BECF1A" w14:textId="77777777" w:rsidTr="0E3D3F74">
        <w:trPr>
          <w:trHeight w:val="280"/>
        </w:trPr>
        <w:tc>
          <w:tcPr>
            <w:tcW w:w="572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1CB091D6" w14:textId="77777777" w:rsidR="002E70D5" w:rsidRPr="002E70D5" w:rsidRDefault="4600C643" w:rsidP="4600C643">
            <w:pPr>
              <w:spacing w:after="0"/>
              <w:jc w:val="center"/>
              <w:rPr>
                <w:rFonts w:ascii="Times New Roman" w:hAnsi="Times New Roman" w:cs="Times New Roman"/>
                <w:b/>
                <w:bCs/>
                <w:color w:val="000000" w:themeColor="text1"/>
              </w:rPr>
            </w:pPr>
            <w:r w:rsidRPr="4600C643">
              <w:rPr>
                <w:rFonts w:ascii="Times New Roman" w:hAnsi="Times New Roman" w:cs="Times New Roman"/>
                <w:b/>
                <w:bCs/>
                <w:color w:val="000000" w:themeColor="text1"/>
              </w:rPr>
              <w:t>Megnevezés</w:t>
            </w:r>
          </w:p>
        </w:tc>
        <w:tc>
          <w:tcPr>
            <w:tcW w:w="94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6018B19" w14:textId="69784843" w:rsidR="002E70D5" w:rsidRPr="00BF0B23" w:rsidRDefault="4600C643" w:rsidP="1D3ABBAA">
            <w:pPr>
              <w:spacing w:after="0"/>
              <w:jc w:val="center"/>
            </w:pPr>
            <w:r w:rsidRPr="00BF0B23">
              <w:rPr>
                <w:rFonts w:ascii="Times New Roman" w:eastAsia="Times New Roman" w:hAnsi="Times New Roman" w:cs="Times New Roman"/>
                <w:b/>
                <w:bCs/>
              </w:rPr>
              <w:t xml:space="preserve">2025. </w:t>
            </w:r>
          </w:p>
          <w:p w14:paraId="3CD792E3" w14:textId="6DD9BBCA" w:rsidR="002E70D5" w:rsidRPr="00BF0B23" w:rsidRDefault="00A36AD4" w:rsidP="0E3D3F74">
            <w:pPr>
              <w:spacing w:after="0"/>
              <w:jc w:val="center"/>
              <w:rPr>
                <w:rFonts w:ascii="Times New Roman" w:hAnsi="Times New Roman" w:cs="Times New Roman"/>
                <w:b/>
                <w:bCs/>
                <w:color w:val="000000" w:themeColor="text1"/>
              </w:rPr>
            </w:pPr>
            <w:r w:rsidRPr="00BF0B23">
              <w:rPr>
                <w:rFonts w:ascii="Times New Roman" w:eastAsia="Times New Roman" w:hAnsi="Times New Roman" w:cs="Times New Roman"/>
                <w:b/>
                <w:bCs/>
              </w:rPr>
              <w:t>I-</w:t>
            </w:r>
            <w:r w:rsidR="0E3D3F74" w:rsidRPr="00BF0B23">
              <w:rPr>
                <w:rFonts w:ascii="Times New Roman" w:eastAsia="Times New Roman" w:hAnsi="Times New Roman" w:cs="Times New Roman"/>
                <w:b/>
                <w:bCs/>
              </w:rPr>
              <w:t>II. hó</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52AE7A1" w14:textId="65EEE059" w:rsidR="002E70D5" w:rsidRPr="00BF0B23" w:rsidRDefault="0E3D3F74" w:rsidP="0E3D3F74">
            <w:pPr>
              <w:spacing w:after="0"/>
              <w:jc w:val="center"/>
              <w:rPr>
                <w:rFonts w:ascii="Times New Roman" w:hAnsi="Times New Roman" w:cs="Times New Roman"/>
                <w:b/>
                <w:bCs/>
                <w:color w:val="000000" w:themeColor="text1"/>
              </w:rPr>
            </w:pPr>
            <w:r w:rsidRPr="00BF0B23">
              <w:rPr>
                <w:rFonts w:ascii="Times New Roman" w:eastAsia="Times New Roman" w:hAnsi="Times New Roman" w:cs="Times New Roman"/>
                <w:b/>
                <w:bCs/>
              </w:rPr>
              <w:t>2026.</w:t>
            </w:r>
            <w:r w:rsidR="4600C643" w:rsidRPr="00BF0B23">
              <w:br/>
            </w:r>
            <w:r w:rsidR="00A36AD4" w:rsidRPr="00BF0B23">
              <w:rPr>
                <w:rFonts w:ascii="Times New Roman" w:eastAsia="Times New Roman" w:hAnsi="Times New Roman" w:cs="Times New Roman"/>
                <w:b/>
                <w:bCs/>
              </w:rPr>
              <w:t>I-</w:t>
            </w:r>
            <w:r w:rsidRPr="00BF0B23">
              <w:rPr>
                <w:rFonts w:ascii="Times New Roman" w:eastAsia="Times New Roman" w:hAnsi="Times New Roman" w:cs="Times New Roman"/>
                <w:b/>
                <w:bCs/>
              </w:rPr>
              <w:t xml:space="preserve"> II. hó</w:t>
            </w:r>
          </w:p>
        </w:tc>
        <w:tc>
          <w:tcPr>
            <w:tcW w:w="1583"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A04EB2C" w14:textId="77777777" w:rsidR="002E70D5" w:rsidRPr="00BF0B23" w:rsidRDefault="4600C643" w:rsidP="4600C643">
            <w:pPr>
              <w:spacing w:after="0"/>
              <w:jc w:val="center"/>
              <w:rPr>
                <w:rFonts w:ascii="Times New Roman" w:hAnsi="Times New Roman" w:cs="Times New Roman"/>
                <w:b/>
                <w:bCs/>
                <w:color w:val="000000" w:themeColor="text1"/>
              </w:rPr>
            </w:pPr>
            <w:r w:rsidRPr="00BF0B23">
              <w:rPr>
                <w:rFonts w:ascii="Times New Roman" w:hAnsi="Times New Roman" w:cs="Times New Roman"/>
                <w:b/>
                <w:bCs/>
                <w:color w:val="000000" w:themeColor="text1"/>
              </w:rPr>
              <w:t>Eltérés</w:t>
            </w:r>
          </w:p>
        </w:tc>
      </w:tr>
      <w:tr w:rsidR="002E70D5" w:rsidRPr="002E70D5" w14:paraId="6BE2994C" w14:textId="77777777" w:rsidTr="0E3D3F74">
        <w:trPr>
          <w:trHeight w:val="473"/>
        </w:trPr>
        <w:tc>
          <w:tcPr>
            <w:tcW w:w="5720" w:type="dxa"/>
            <w:vMerge/>
            <w:tcBorders>
              <w:top w:val="single" w:sz="4" w:space="0" w:color="auto"/>
              <w:left w:val="single" w:sz="4" w:space="0" w:color="auto"/>
              <w:bottom w:val="single" w:sz="4" w:space="0" w:color="000000"/>
              <w:right w:val="single" w:sz="4" w:space="0" w:color="auto"/>
            </w:tcBorders>
            <w:vAlign w:val="center"/>
            <w:hideMark/>
          </w:tcPr>
          <w:p w14:paraId="681BE34C" w14:textId="77777777" w:rsidR="002E70D5" w:rsidRPr="002E70D5" w:rsidRDefault="002E70D5" w:rsidP="00554C64">
            <w:pPr>
              <w:spacing w:after="0"/>
              <w:rPr>
                <w:rFonts w:ascii="Times New Roman" w:hAnsi="Times New Roman" w:cs="Times New Roman"/>
                <w:b/>
                <w:bCs/>
                <w:color w:val="000000"/>
              </w:rPr>
            </w:pPr>
          </w:p>
        </w:tc>
        <w:tc>
          <w:tcPr>
            <w:tcW w:w="944" w:type="dxa"/>
            <w:vMerge/>
            <w:tcBorders>
              <w:top w:val="single" w:sz="4" w:space="0" w:color="auto"/>
              <w:left w:val="single" w:sz="4" w:space="0" w:color="auto"/>
              <w:bottom w:val="single" w:sz="4" w:space="0" w:color="000000"/>
              <w:right w:val="single" w:sz="4" w:space="0" w:color="auto"/>
            </w:tcBorders>
            <w:vAlign w:val="center"/>
            <w:hideMark/>
          </w:tcPr>
          <w:p w14:paraId="10EBC60F" w14:textId="77777777" w:rsidR="002E70D5" w:rsidRPr="00BF0B23" w:rsidRDefault="002E70D5" w:rsidP="00554C64">
            <w:pPr>
              <w:spacing w:after="0"/>
              <w:rPr>
                <w:rFonts w:ascii="Times New Roman" w:hAnsi="Times New Roman" w:cs="Times New Roman"/>
                <w:b/>
                <w:bCs/>
                <w:color w:val="000000"/>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4019F30F" w14:textId="77777777" w:rsidR="002E70D5" w:rsidRPr="00BF0B23" w:rsidRDefault="002E70D5" w:rsidP="00554C64">
            <w:pPr>
              <w:spacing w:after="0"/>
              <w:rPr>
                <w:rFonts w:ascii="Times New Roman" w:hAnsi="Times New Roman" w:cs="Times New Roman"/>
                <w:b/>
                <w:bCs/>
                <w:color w:val="000000"/>
              </w:rPr>
            </w:pPr>
          </w:p>
        </w:tc>
        <w:tc>
          <w:tcPr>
            <w:tcW w:w="850"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3E8E5679" w14:textId="77777777" w:rsidR="002E70D5" w:rsidRPr="00BF0B23" w:rsidRDefault="4600C643" w:rsidP="4600C643">
            <w:pPr>
              <w:spacing w:after="0"/>
              <w:jc w:val="center"/>
              <w:rPr>
                <w:rFonts w:ascii="Times New Roman" w:hAnsi="Times New Roman" w:cs="Times New Roman"/>
                <w:b/>
                <w:bCs/>
                <w:color w:val="000000" w:themeColor="text1"/>
              </w:rPr>
            </w:pPr>
            <w:r w:rsidRPr="00BF0B23">
              <w:rPr>
                <w:rFonts w:ascii="Times New Roman" w:hAnsi="Times New Roman" w:cs="Times New Roman"/>
                <w:b/>
                <w:bCs/>
                <w:color w:val="000000" w:themeColor="text1"/>
              </w:rPr>
              <w:t>Mrd Ft</w:t>
            </w:r>
          </w:p>
        </w:tc>
        <w:tc>
          <w:tcPr>
            <w:tcW w:w="733"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598397E" w14:textId="77777777" w:rsidR="002E70D5" w:rsidRPr="00BF0B23" w:rsidRDefault="4600C643" w:rsidP="4600C643">
            <w:pPr>
              <w:spacing w:after="0"/>
              <w:jc w:val="center"/>
              <w:rPr>
                <w:rFonts w:ascii="Times New Roman" w:hAnsi="Times New Roman" w:cs="Times New Roman"/>
                <w:b/>
                <w:bCs/>
                <w:color w:val="000000" w:themeColor="text1"/>
              </w:rPr>
            </w:pPr>
            <w:r w:rsidRPr="00BF0B23">
              <w:rPr>
                <w:rFonts w:ascii="Times New Roman" w:hAnsi="Times New Roman" w:cs="Times New Roman"/>
                <w:b/>
                <w:bCs/>
                <w:color w:val="000000" w:themeColor="text1"/>
              </w:rPr>
              <w:t>%</w:t>
            </w:r>
          </w:p>
        </w:tc>
      </w:tr>
      <w:tr w:rsidR="00374988" w:rsidRPr="002E70D5" w14:paraId="79BDD8E7" w14:textId="77777777" w:rsidTr="0E3D3F74">
        <w:trPr>
          <w:trHeight w:val="218"/>
        </w:trPr>
        <w:tc>
          <w:tcPr>
            <w:tcW w:w="5720" w:type="dxa"/>
            <w:tcBorders>
              <w:top w:val="nil"/>
              <w:left w:val="single" w:sz="4" w:space="0" w:color="auto"/>
              <w:bottom w:val="single" w:sz="4" w:space="0" w:color="auto"/>
              <w:right w:val="single" w:sz="4" w:space="0" w:color="auto"/>
            </w:tcBorders>
            <w:noWrap/>
            <w:vAlign w:val="bottom"/>
            <w:hideMark/>
          </w:tcPr>
          <w:p w14:paraId="6F1FE2A1" w14:textId="77777777" w:rsidR="00374988" w:rsidRPr="002E70D5" w:rsidRDefault="4600C643" w:rsidP="4600C643">
            <w:pPr>
              <w:spacing w:after="0"/>
              <w:rPr>
                <w:rFonts w:ascii="Times New Roman" w:hAnsi="Times New Roman" w:cs="Times New Roman"/>
                <w:b/>
                <w:bCs/>
                <w:color w:val="000000" w:themeColor="text1"/>
                <w:sz w:val="20"/>
                <w:szCs w:val="20"/>
              </w:rPr>
            </w:pPr>
            <w:r w:rsidRPr="4600C643">
              <w:rPr>
                <w:rFonts w:ascii="Times New Roman" w:hAnsi="Times New Roman" w:cs="Times New Roman"/>
                <w:b/>
                <w:bCs/>
                <w:color w:val="000000" w:themeColor="text1"/>
                <w:sz w:val="20"/>
                <w:szCs w:val="20"/>
              </w:rPr>
              <w:t>Családi támogatások</w:t>
            </w:r>
          </w:p>
        </w:tc>
        <w:tc>
          <w:tcPr>
            <w:tcW w:w="944" w:type="dxa"/>
            <w:tcBorders>
              <w:top w:val="single" w:sz="4" w:space="0" w:color="auto"/>
              <w:left w:val="single" w:sz="4" w:space="0" w:color="auto"/>
              <w:bottom w:val="single" w:sz="4" w:space="0" w:color="auto"/>
              <w:right w:val="single" w:sz="4" w:space="0" w:color="auto"/>
            </w:tcBorders>
            <w:noWrap/>
            <w:vAlign w:val="bottom"/>
            <w:hideMark/>
          </w:tcPr>
          <w:p w14:paraId="35463B97" w14:textId="59053E7F" w:rsidR="00374988" w:rsidRPr="00374988" w:rsidRDefault="0E3D3F74" w:rsidP="0E3D3F74">
            <w:pPr>
              <w:spacing w:after="0"/>
              <w:jc w:val="right"/>
              <w:rPr>
                <w:rFonts w:ascii="Times New Roman" w:hAnsi="Times New Roman" w:cs="Times New Roman"/>
                <w:b/>
                <w:bCs/>
                <w:sz w:val="20"/>
                <w:szCs w:val="20"/>
              </w:rPr>
            </w:pPr>
            <w:r w:rsidRPr="0E3D3F74">
              <w:rPr>
                <w:rFonts w:ascii="Times New Roman" w:hAnsi="Times New Roman" w:cs="Times New Roman"/>
                <w:b/>
                <w:bCs/>
                <w:sz w:val="20"/>
                <w:szCs w:val="20"/>
              </w:rPr>
              <w:t>67,8</w:t>
            </w:r>
          </w:p>
        </w:tc>
        <w:tc>
          <w:tcPr>
            <w:tcW w:w="991" w:type="dxa"/>
            <w:tcBorders>
              <w:top w:val="single" w:sz="4" w:space="0" w:color="auto"/>
              <w:left w:val="nil"/>
              <w:bottom w:val="single" w:sz="4" w:space="0" w:color="auto"/>
              <w:right w:val="single" w:sz="4" w:space="0" w:color="auto"/>
            </w:tcBorders>
            <w:noWrap/>
            <w:vAlign w:val="bottom"/>
            <w:hideMark/>
          </w:tcPr>
          <w:p w14:paraId="6268E87E" w14:textId="515EF087" w:rsidR="00374988" w:rsidRPr="00374988" w:rsidRDefault="0E3D3F74" w:rsidP="0E3D3F74">
            <w:pPr>
              <w:spacing w:after="0"/>
              <w:jc w:val="right"/>
              <w:rPr>
                <w:rFonts w:ascii="Times New Roman" w:hAnsi="Times New Roman" w:cs="Times New Roman"/>
                <w:b/>
                <w:bCs/>
                <w:sz w:val="20"/>
                <w:szCs w:val="20"/>
              </w:rPr>
            </w:pPr>
            <w:r w:rsidRPr="0E3D3F74">
              <w:rPr>
                <w:rFonts w:ascii="Times New Roman" w:hAnsi="Times New Roman" w:cs="Times New Roman"/>
                <w:b/>
                <w:bCs/>
                <w:sz w:val="20"/>
                <w:szCs w:val="20"/>
              </w:rPr>
              <w:t>67,1</w:t>
            </w:r>
          </w:p>
        </w:tc>
        <w:tc>
          <w:tcPr>
            <w:tcW w:w="850" w:type="dxa"/>
            <w:tcBorders>
              <w:top w:val="single" w:sz="4" w:space="0" w:color="auto"/>
              <w:left w:val="nil"/>
              <w:bottom w:val="single" w:sz="4" w:space="0" w:color="auto"/>
              <w:right w:val="single" w:sz="4" w:space="0" w:color="auto"/>
            </w:tcBorders>
            <w:noWrap/>
            <w:vAlign w:val="bottom"/>
            <w:hideMark/>
          </w:tcPr>
          <w:p w14:paraId="6DAC2567" w14:textId="579D8960" w:rsidR="00374988" w:rsidRPr="00374988" w:rsidRDefault="0E3D3F74" w:rsidP="0E3D3F74">
            <w:pPr>
              <w:spacing w:after="0"/>
              <w:jc w:val="right"/>
              <w:rPr>
                <w:rFonts w:ascii="Times New Roman" w:hAnsi="Times New Roman" w:cs="Times New Roman"/>
                <w:b/>
                <w:bCs/>
                <w:sz w:val="20"/>
                <w:szCs w:val="20"/>
              </w:rPr>
            </w:pPr>
            <w:r w:rsidRPr="0E3D3F74">
              <w:rPr>
                <w:rFonts w:ascii="Times New Roman" w:hAnsi="Times New Roman" w:cs="Times New Roman"/>
                <w:b/>
                <w:bCs/>
                <w:sz w:val="20"/>
                <w:szCs w:val="20"/>
              </w:rPr>
              <w:t>-0,7</w:t>
            </w:r>
          </w:p>
        </w:tc>
        <w:tc>
          <w:tcPr>
            <w:tcW w:w="733" w:type="dxa"/>
            <w:tcBorders>
              <w:top w:val="single" w:sz="4" w:space="0" w:color="auto"/>
              <w:left w:val="nil"/>
              <w:bottom w:val="single" w:sz="4" w:space="0" w:color="auto"/>
              <w:right w:val="single" w:sz="4" w:space="0" w:color="auto"/>
            </w:tcBorders>
            <w:noWrap/>
            <w:vAlign w:val="bottom"/>
            <w:hideMark/>
          </w:tcPr>
          <w:p w14:paraId="0023D563" w14:textId="0856ED9F" w:rsidR="00374988" w:rsidRPr="00374988" w:rsidRDefault="0E3D3F74" w:rsidP="0E3D3F74">
            <w:pPr>
              <w:spacing w:after="0"/>
              <w:jc w:val="right"/>
              <w:rPr>
                <w:rFonts w:ascii="Times New Roman" w:hAnsi="Times New Roman" w:cs="Times New Roman"/>
                <w:b/>
                <w:bCs/>
                <w:sz w:val="20"/>
                <w:szCs w:val="20"/>
              </w:rPr>
            </w:pPr>
            <w:r w:rsidRPr="0E3D3F74">
              <w:rPr>
                <w:rFonts w:ascii="Times New Roman" w:hAnsi="Times New Roman" w:cs="Times New Roman"/>
                <w:b/>
                <w:bCs/>
                <w:sz w:val="20"/>
                <w:szCs w:val="20"/>
              </w:rPr>
              <w:t>99,0</w:t>
            </w:r>
          </w:p>
        </w:tc>
      </w:tr>
      <w:tr w:rsidR="00374988" w:rsidRPr="002E70D5" w14:paraId="5AF1064F" w14:textId="77777777" w:rsidTr="0E3D3F74">
        <w:trPr>
          <w:trHeight w:val="218"/>
        </w:trPr>
        <w:tc>
          <w:tcPr>
            <w:tcW w:w="5720" w:type="dxa"/>
            <w:tcBorders>
              <w:top w:val="nil"/>
              <w:left w:val="single" w:sz="4" w:space="0" w:color="auto"/>
              <w:bottom w:val="single" w:sz="4" w:space="0" w:color="auto"/>
              <w:right w:val="single" w:sz="4" w:space="0" w:color="auto"/>
            </w:tcBorders>
            <w:noWrap/>
            <w:vAlign w:val="bottom"/>
            <w:hideMark/>
          </w:tcPr>
          <w:p w14:paraId="033720FE" w14:textId="77777777" w:rsidR="00374988" w:rsidRPr="002E70D5" w:rsidRDefault="4600C643" w:rsidP="4600C643">
            <w:pPr>
              <w:spacing w:after="0"/>
              <w:ind w:firstLineChars="100" w:firstLine="200"/>
              <w:rPr>
                <w:rFonts w:ascii="Times New Roman" w:hAnsi="Times New Roman" w:cs="Times New Roman"/>
                <w:i/>
                <w:iCs/>
                <w:color w:val="000000" w:themeColor="text1"/>
                <w:sz w:val="20"/>
                <w:szCs w:val="20"/>
              </w:rPr>
            </w:pPr>
            <w:r w:rsidRPr="4600C643">
              <w:rPr>
                <w:rFonts w:ascii="Times New Roman" w:hAnsi="Times New Roman" w:cs="Times New Roman"/>
                <w:i/>
                <w:iCs/>
                <w:color w:val="000000" w:themeColor="text1"/>
                <w:sz w:val="20"/>
                <w:szCs w:val="20"/>
              </w:rPr>
              <w:t>Ebből:</w:t>
            </w:r>
          </w:p>
        </w:tc>
        <w:tc>
          <w:tcPr>
            <w:tcW w:w="944" w:type="dxa"/>
            <w:tcBorders>
              <w:top w:val="nil"/>
              <w:left w:val="single" w:sz="4" w:space="0" w:color="auto"/>
              <w:bottom w:val="single" w:sz="4" w:space="0" w:color="auto"/>
              <w:right w:val="single" w:sz="4" w:space="0" w:color="auto"/>
            </w:tcBorders>
            <w:noWrap/>
            <w:vAlign w:val="bottom"/>
            <w:hideMark/>
          </w:tcPr>
          <w:p w14:paraId="74F95091" w14:textId="4590963A" w:rsidR="00374988" w:rsidRPr="00374988" w:rsidRDefault="4600C643" w:rsidP="4600C643">
            <w:pPr>
              <w:spacing w:after="0"/>
              <w:jc w:val="right"/>
              <w:rPr>
                <w:rFonts w:ascii="Times New Roman" w:hAnsi="Times New Roman" w:cs="Times New Roman"/>
                <w:sz w:val="20"/>
                <w:szCs w:val="20"/>
              </w:rPr>
            </w:pPr>
            <w:r w:rsidRPr="4600C643">
              <w:rPr>
                <w:rFonts w:ascii="Times New Roman" w:hAnsi="Times New Roman" w:cs="Times New Roman"/>
                <w:sz w:val="20"/>
                <w:szCs w:val="20"/>
              </w:rPr>
              <w:t> </w:t>
            </w:r>
          </w:p>
        </w:tc>
        <w:tc>
          <w:tcPr>
            <w:tcW w:w="991" w:type="dxa"/>
            <w:tcBorders>
              <w:top w:val="nil"/>
              <w:left w:val="nil"/>
              <w:bottom w:val="single" w:sz="4" w:space="0" w:color="auto"/>
              <w:right w:val="single" w:sz="4" w:space="0" w:color="auto"/>
            </w:tcBorders>
            <w:noWrap/>
            <w:vAlign w:val="bottom"/>
            <w:hideMark/>
          </w:tcPr>
          <w:p w14:paraId="1B94AF89" w14:textId="6913A339" w:rsidR="00374988" w:rsidRPr="00374988" w:rsidRDefault="4600C643" w:rsidP="4600C643">
            <w:pPr>
              <w:spacing w:after="0"/>
              <w:jc w:val="right"/>
              <w:rPr>
                <w:rFonts w:ascii="Times New Roman" w:hAnsi="Times New Roman" w:cs="Times New Roman"/>
                <w:sz w:val="20"/>
                <w:szCs w:val="20"/>
              </w:rPr>
            </w:pPr>
            <w:r w:rsidRPr="4600C643">
              <w:rPr>
                <w:rFonts w:ascii="Times New Roman" w:hAnsi="Times New Roman" w:cs="Times New Roman"/>
                <w:sz w:val="20"/>
                <w:szCs w:val="20"/>
              </w:rPr>
              <w:t> </w:t>
            </w:r>
          </w:p>
        </w:tc>
        <w:tc>
          <w:tcPr>
            <w:tcW w:w="850" w:type="dxa"/>
            <w:tcBorders>
              <w:top w:val="nil"/>
              <w:left w:val="nil"/>
              <w:bottom w:val="single" w:sz="4" w:space="0" w:color="auto"/>
              <w:right w:val="single" w:sz="4" w:space="0" w:color="auto"/>
            </w:tcBorders>
            <w:noWrap/>
            <w:vAlign w:val="bottom"/>
            <w:hideMark/>
          </w:tcPr>
          <w:p w14:paraId="321ED1B1" w14:textId="3F4F8FB1" w:rsidR="00374988" w:rsidRPr="00374988" w:rsidRDefault="4600C643" w:rsidP="4600C643">
            <w:pPr>
              <w:spacing w:after="0"/>
              <w:jc w:val="right"/>
              <w:rPr>
                <w:rFonts w:ascii="Times New Roman" w:hAnsi="Times New Roman" w:cs="Times New Roman"/>
                <w:sz w:val="20"/>
                <w:szCs w:val="20"/>
              </w:rPr>
            </w:pPr>
            <w:r w:rsidRPr="4600C643">
              <w:rPr>
                <w:rFonts w:ascii="Times New Roman" w:hAnsi="Times New Roman" w:cs="Times New Roman"/>
                <w:sz w:val="20"/>
                <w:szCs w:val="20"/>
              </w:rPr>
              <w:t> </w:t>
            </w:r>
          </w:p>
        </w:tc>
        <w:tc>
          <w:tcPr>
            <w:tcW w:w="733" w:type="dxa"/>
            <w:tcBorders>
              <w:top w:val="nil"/>
              <w:left w:val="nil"/>
              <w:bottom w:val="single" w:sz="4" w:space="0" w:color="auto"/>
              <w:right w:val="single" w:sz="4" w:space="0" w:color="auto"/>
            </w:tcBorders>
            <w:noWrap/>
            <w:vAlign w:val="bottom"/>
            <w:hideMark/>
          </w:tcPr>
          <w:p w14:paraId="635F529C" w14:textId="7134DA12" w:rsidR="00374988" w:rsidRPr="00374988" w:rsidRDefault="4600C643" w:rsidP="4600C643">
            <w:pPr>
              <w:spacing w:after="0"/>
              <w:jc w:val="right"/>
              <w:rPr>
                <w:rFonts w:ascii="Times New Roman" w:hAnsi="Times New Roman" w:cs="Times New Roman"/>
                <w:sz w:val="20"/>
                <w:szCs w:val="20"/>
              </w:rPr>
            </w:pPr>
            <w:r w:rsidRPr="4600C643">
              <w:rPr>
                <w:rFonts w:ascii="Times New Roman" w:hAnsi="Times New Roman" w:cs="Times New Roman"/>
                <w:sz w:val="20"/>
                <w:szCs w:val="20"/>
              </w:rPr>
              <w:t> </w:t>
            </w:r>
          </w:p>
        </w:tc>
      </w:tr>
      <w:tr w:rsidR="00374988" w:rsidRPr="002E70D5" w14:paraId="189AA6D7" w14:textId="77777777" w:rsidTr="0E3D3F74">
        <w:trPr>
          <w:trHeight w:val="218"/>
        </w:trPr>
        <w:tc>
          <w:tcPr>
            <w:tcW w:w="5720" w:type="dxa"/>
            <w:tcBorders>
              <w:top w:val="nil"/>
              <w:left w:val="single" w:sz="4" w:space="0" w:color="auto"/>
              <w:bottom w:val="single" w:sz="4" w:space="0" w:color="auto"/>
              <w:right w:val="single" w:sz="4" w:space="0" w:color="auto"/>
            </w:tcBorders>
            <w:noWrap/>
            <w:vAlign w:val="bottom"/>
            <w:hideMark/>
          </w:tcPr>
          <w:p w14:paraId="6B8BE428" w14:textId="77777777" w:rsidR="00374988" w:rsidRPr="002E70D5" w:rsidRDefault="4600C643" w:rsidP="4600C643">
            <w:pPr>
              <w:spacing w:after="0"/>
              <w:ind w:firstLineChars="400" w:firstLine="800"/>
              <w:rPr>
                <w:rFonts w:ascii="Times New Roman" w:hAnsi="Times New Roman" w:cs="Times New Roman"/>
                <w:i/>
                <w:iCs/>
                <w:color w:val="000000" w:themeColor="text1"/>
                <w:sz w:val="20"/>
                <w:szCs w:val="20"/>
              </w:rPr>
            </w:pPr>
            <w:r w:rsidRPr="4600C643">
              <w:rPr>
                <w:rFonts w:ascii="Times New Roman" w:hAnsi="Times New Roman" w:cs="Times New Roman"/>
                <w:i/>
                <w:iCs/>
                <w:color w:val="000000" w:themeColor="text1"/>
                <w:sz w:val="20"/>
                <w:szCs w:val="20"/>
              </w:rPr>
              <w:t>családi pótlék</w:t>
            </w:r>
          </w:p>
        </w:tc>
        <w:tc>
          <w:tcPr>
            <w:tcW w:w="944" w:type="dxa"/>
            <w:tcBorders>
              <w:top w:val="nil"/>
              <w:left w:val="single" w:sz="4" w:space="0" w:color="auto"/>
              <w:bottom w:val="single" w:sz="4" w:space="0" w:color="auto"/>
              <w:right w:val="single" w:sz="4" w:space="0" w:color="auto"/>
            </w:tcBorders>
            <w:noWrap/>
            <w:vAlign w:val="bottom"/>
            <w:hideMark/>
          </w:tcPr>
          <w:p w14:paraId="70BCBC1A" w14:textId="34D49699"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50,2</w:t>
            </w:r>
          </w:p>
        </w:tc>
        <w:tc>
          <w:tcPr>
            <w:tcW w:w="991" w:type="dxa"/>
            <w:tcBorders>
              <w:top w:val="nil"/>
              <w:left w:val="nil"/>
              <w:bottom w:val="single" w:sz="4" w:space="0" w:color="auto"/>
              <w:right w:val="single" w:sz="4" w:space="0" w:color="auto"/>
            </w:tcBorders>
            <w:noWrap/>
            <w:vAlign w:val="bottom"/>
            <w:hideMark/>
          </w:tcPr>
          <w:p w14:paraId="13892F1A" w14:textId="0C49D098"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49,4</w:t>
            </w:r>
          </w:p>
        </w:tc>
        <w:tc>
          <w:tcPr>
            <w:tcW w:w="850" w:type="dxa"/>
            <w:tcBorders>
              <w:top w:val="nil"/>
              <w:left w:val="nil"/>
              <w:bottom w:val="single" w:sz="4" w:space="0" w:color="auto"/>
              <w:right w:val="single" w:sz="4" w:space="0" w:color="auto"/>
            </w:tcBorders>
            <w:noWrap/>
            <w:vAlign w:val="bottom"/>
            <w:hideMark/>
          </w:tcPr>
          <w:p w14:paraId="10E0C374" w14:textId="02900187"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-0,8</w:t>
            </w:r>
          </w:p>
        </w:tc>
        <w:tc>
          <w:tcPr>
            <w:tcW w:w="733" w:type="dxa"/>
            <w:tcBorders>
              <w:top w:val="nil"/>
              <w:left w:val="nil"/>
              <w:bottom w:val="single" w:sz="4" w:space="0" w:color="auto"/>
              <w:right w:val="single" w:sz="4" w:space="0" w:color="auto"/>
            </w:tcBorders>
            <w:noWrap/>
            <w:vAlign w:val="bottom"/>
            <w:hideMark/>
          </w:tcPr>
          <w:p w14:paraId="19B6E5CD" w14:textId="1F31EB80"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98,4</w:t>
            </w:r>
          </w:p>
        </w:tc>
      </w:tr>
      <w:tr w:rsidR="00374988" w:rsidRPr="002E70D5" w14:paraId="5E22A8DD" w14:textId="77777777" w:rsidTr="0E3D3F74">
        <w:trPr>
          <w:trHeight w:val="218"/>
        </w:trPr>
        <w:tc>
          <w:tcPr>
            <w:tcW w:w="5720" w:type="dxa"/>
            <w:tcBorders>
              <w:top w:val="nil"/>
              <w:left w:val="single" w:sz="4" w:space="0" w:color="auto"/>
              <w:bottom w:val="single" w:sz="4" w:space="0" w:color="auto"/>
              <w:right w:val="single" w:sz="4" w:space="0" w:color="auto"/>
            </w:tcBorders>
            <w:noWrap/>
            <w:vAlign w:val="bottom"/>
            <w:hideMark/>
          </w:tcPr>
          <w:p w14:paraId="7FFF56E0" w14:textId="77777777" w:rsidR="00374988" w:rsidRPr="002E70D5" w:rsidRDefault="4600C643" w:rsidP="4600C643">
            <w:pPr>
              <w:spacing w:after="0"/>
              <w:ind w:firstLineChars="400" w:firstLine="800"/>
              <w:rPr>
                <w:rFonts w:ascii="Times New Roman" w:hAnsi="Times New Roman" w:cs="Times New Roman"/>
                <w:i/>
                <w:iCs/>
                <w:color w:val="000000" w:themeColor="text1"/>
                <w:sz w:val="20"/>
                <w:szCs w:val="20"/>
              </w:rPr>
            </w:pPr>
            <w:r w:rsidRPr="4600C643">
              <w:rPr>
                <w:rFonts w:ascii="Times New Roman" w:hAnsi="Times New Roman" w:cs="Times New Roman"/>
                <w:i/>
                <w:iCs/>
                <w:color w:val="000000" w:themeColor="text1"/>
                <w:sz w:val="20"/>
                <w:szCs w:val="20"/>
              </w:rPr>
              <w:t>anyasági támogatás</w:t>
            </w:r>
          </w:p>
        </w:tc>
        <w:tc>
          <w:tcPr>
            <w:tcW w:w="944" w:type="dxa"/>
            <w:tcBorders>
              <w:top w:val="nil"/>
              <w:left w:val="single" w:sz="4" w:space="0" w:color="auto"/>
              <w:bottom w:val="single" w:sz="4" w:space="0" w:color="auto"/>
              <w:right w:val="single" w:sz="4" w:space="0" w:color="auto"/>
            </w:tcBorders>
            <w:noWrap/>
            <w:vAlign w:val="bottom"/>
            <w:hideMark/>
          </w:tcPr>
          <w:p w14:paraId="01B4C83D" w14:textId="63012A21"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0,9</w:t>
            </w:r>
          </w:p>
        </w:tc>
        <w:tc>
          <w:tcPr>
            <w:tcW w:w="991" w:type="dxa"/>
            <w:tcBorders>
              <w:top w:val="nil"/>
              <w:left w:val="nil"/>
              <w:bottom w:val="single" w:sz="4" w:space="0" w:color="auto"/>
              <w:right w:val="single" w:sz="4" w:space="0" w:color="auto"/>
            </w:tcBorders>
            <w:noWrap/>
            <w:vAlign w:val="bottom"/>
            <w:hideMark/>
          </w:tcPr>
          <w:p w14:paraId="0F727F31" w14:textId="78C337DB"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0,8</w:t>
            </w:r>
          </w:p>
        </w:tc>
        <w:tc>
          <w:tcPr>
            <w:tcW w:w="850" w:type="dxa"/>
            <w:tcBorders>
              <w:top w:val="nil"/>
              <w:left w:val="nil"/>
              <w:bottom w:val="single" w:sz="4" w:space="0" w:color="auto"/>
              <w:right w:val="single" w:sz="4" w:space="0" w:color="auto"/>
            </w:tcBorders>
            <w:noWrap/>
            <w:vAlign w:val="bottom"/>
            <w:hideMark/>
          </w:tcPr>
          <w:p w14:paraId="368622AA" w14:textId="62392D10" w:rsidR="00374988" w:rsidRPr="00374988" w:rsidRDefault="4600C643" w:rsidP="4600C643">
            <w:pPr>
              <w:spacing w:after="0"/>
              <w:jc w:val="right"/>
              <w:rPr>
                <w:rFonts w:ascii="Times New Roman" w:hAnsi="Times New Roman" w:cs="Times New Roman"/>
                <w:sz w:val="20"/>
                <w:szCs w:val="20"/>
              </w:rPr>
            </w:pPr>
            <w:r w:rsidRPr="4600C643">
              <w:rPr>
                <w:rFonts w:ascii="Times New Roman" w:hAnsi="Times New Roman" w:cs="Times New Roman"/>
                <w:sz w:val="20"/>
                <w:szCs w:val="20"/>
              </w:rPr>
              <w:t>-0,1</w:t>
            </w:r>
          </w:p>
        </w:tc>
        <w:tc>
          <w:tcPr>
            <w:tcW w:w="733" w:type="dxa"/>
            <w:tcBorders>
              <w:top w:val="nil"/>
              <w:left w:val="nil"/>
              <w:bottom w:val="single" w:sz="4" w:space="0" w:color="auto"/>
              <w:right w:val="single" w:sz="4" w:space="0" w:color="auto"/>
            </w:tcBorders>
            <w:noWrap/>
            <w:vAlign w:val="bottom"/>
            <w:hideMark/>
          </w:tcPr>
          <w:p w14:paraId="52ECB683" w14:textId="4D82A31F"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88,9</w:t>
            </w:r>
          </w:p>
        </w:tc>
      </w:tr>
      <w:tr w:rsidR="00374988" w:rsidRPr="002E70D5" w14:paraId="660813D3" w14:textId="77777777" w:rsidTr="0E3D3F74">
        <w:trPr>
          <w:trHeight w:val="218"/>
        </w:trPr>
        <w:tc>
          <w:tcPr>
            <w:tcW w:w="5720" w:type="dxa"/>
            <w:tcBorders>
              <w:top w:val="nil"/>
              <w:left w:val="single" w:sz="4" w:space="0" w:color="auto"/>
              <w:bottom w:val="single" w:sz="4" w:space="0" w:color="auto"/>
              <w:right w:val="single" w:sz="4" w:space="0" w:color="auto"/>
            </w:tcBorders>
            <w:vAlign w:val="center"/>
            <w:hideMark/>
          </w:tcPr>
          <w:p w14:paraId="72B507FD" w14:textId="77777777" w:rsidR="00374988" w:rsidRPr="002E70D5" w:rsidRDefault="4600C643" w:rsidP="4600C643">
            <w:pPr>
              <w:spacing w:after="0"/>
              <w:ind w:firstLineChars="400" w:firstLine="800"/>
              <w:rPr>
                <w:rFonts w:ascii="Times New Roman" w:hAnsi="Times New Roman" w:cs="Times New Roman"/>
                <w:i/>
                <w:iCs/>
                <w:color w:val="000000" w:themeColor="text1"/>
                <w:sz w:val="20"/>
                <w:szCs w:val="20"/>
              </w:rPr>
            </w:pPr>
            <w:r w:rsidRPr="4600C643">
              <w:rPr>
                <w:rFonts w:ascii="Times New Roman" w:hAnsi="Times New Roman" w:cs="Times New Roman"/>
                <w:i/>
                <w:iCs/>
                <w:color w:val="000000" w:themeColor="text1"/>
                <w:sz w:val="20"/>
                <w:szCs w:val="20"/>
              </w:rPr>
              <w:t>gyermekgondozást segítő ellátás</w:t>
            </w:r>
          </w:p>
        </w:tc>
        <w:tc>
          <w:tcPr>
            <w:tcW w:w="944" w:type="dxa"/>
            <w:tcBorders>
              <w:top w:val="nil"/>
              <w:left w:val="single" w:sz="4" w:space="0" w:color="auto"/>
              <w:bottom w:val="single" w:sz="4" w:space="0" w:color="auto"/>
              <w:right w:val="single" w:sz="4" w:space="0" w:color="auto"/>
            </w:tcBorders>
            <w:noWrap/>
            <w:vAlign w:val="bottom"/>
            <w:hideMark/>
          </w:tcPr>
          <w:p w14:paraId="26006FB8" w14:textId="7E0A9BB0"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8,8</w:t>
            </w:r>
          </w:p>
        </w:tc>
        <w:tc>
          <w:tcPr>
            <w:tcW w:w="991" w:type="dxa"/>
            <w:tcBorders>
              <w:top w:val="nil"/>
              <w:left w:val="nil"/>
              <w:bottom w:val="single" w:sz="4" w:space="0" w:color="auto"/>
              <w:right w:val="single" w:sz="4" w:space="0" w:color="auto"/>
            </w:tcBorders>
            <w:noWrap/>
            <w:vAlign w:val="bottom"/>
            <w:hideMark/>
          </w:tcPr>
          <w:p w14:paraId="79CAB497" w14:textId="55B08E35"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8,6</w:t>
            </w:r>
          </w:p>
        </w:tc>
        <w:tc>
          <w:tcPr>
            <w:tcW w:w="850" w:type="dxa"/>
            <w:tcBorders>
              <w:top w:val="nil"/>
              <w:left w:val="nil"/>
              <w:bottom w:val="single" w:sz="4" w:space="0" w:color="auto"/>
              <w:right w:val="single" w:sz="4" w:space="0" w:color="auto"/>
            </w:tcBorders>
            <w:noWrap/>
            <w:vAlign w:val="bottom"/>
            <w:hideMark/>
          </w:tcPr>
          <w:p w14:paraId="707F0162" w14:textId="1B76B1AB"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-0,2</w:t>
            </w:r>
          </w:p>
        </w:tc>
        <w:tc>
          <w:tcPr>
            <w:tcW w:w="733" w:type="dxa"/>
            <w:tcBorders>
              <w:top w:val="nil"/>
              <w:left w:val="nil"/>
              <w:bottom w:val="single" w:sz="4" w:space="0" w:color="auto"/>
              <w:right w:val="single" w:sz="4" w:space="0" w:color="auto"/>
            </w:tcBorders>
            <w:noWrap/>
            <w:vAlign w:val="bottom"/>
            <w:hideMark/>
          </w:tcPr>
          <w:p w14:paraId="5365089B" w14:textId="493D3B0F" w:rsidR="00374988" w:rsidRPr="00374988" w:rsidRDefault="4600C643" w:rsidP="4600C643">
            <w:pPr>
              <w:spacing w:after="0"/>
              <w:jc w:val="right"/>
              <w:rPr>
                <w:rFonts w:ascii="Times New Roman" w:hAnsi="Times New Roman" w:cs="Times New Roman"/>
                <w:sz w:val="20"/>
                <w:szCs w:val="20"/>
              </w:rPr>
            </w:pPr>
            <w:r w:rsidRPr="4600C643">
              <w:rPr>
                <w:rFonts w:ascii="Times New Roman" w:hAnsi="Times New Roman" w:cs="Times New Roman"/>
                <w:sz w:val="20"/>
                <w:szCs w:val="20"/>
              </w:rPr>
              <w:t>97,7</w:t>
            </w:r>
          </w:p>
        </w:tc>
      </w:tr>
      <w:tr w:rsidR="00374988" w:rsidRPr="002E70D5" w14:paraId="54D4B8EA" w14:textId="77777777" w:rsidTr="0E3D3F74">
        <w:trPr>
          <w:trHeight w:val="218"/>
        </w:trPr>
        <w:tc>
          <w:tcPr>
            <w:tcW w:w="5720" w:type="dxa"/>
            <w:tcBorders>
              <w:top w:val="nil"/>
              <w:left w:val="single" w:sz="4" w:space="0" w:color="auto"/>
              <w:bottom w:val="single" w:sz="4" w:space="0" w:color="auto"/>
              <w:right w:val="single" w:sz="4" w:space="0" w:color="auto"/>
            </w:tcBorders>
            <w:vAlign w:val="center"/>
            <w:hideMark/>
          </w:tcPr>
          <w:p w14:paraId="5EED669C" w14:textId="77777777" w:rsidR="00374988" w:rsidRPr="002E70D5" w:rsidRDefault="4600C643" w:rsidP="4600C643">
            <w:pPr>
              <w:spacing w:after="0"/>
              <w:ind w:firstLineChars="400" w:firstLine="800"/>
              <w:rPr>
                <w:rFonts w:ascii="Times New Roman" w:hAnsi="Times New Roman" w:cs="Times New Roman"/>
                <w:i/>
                <w:iCs/>
                <w:color w:val="000000" w:themeColor="text1"/>
                <w:sz w:val="20"/>
                <w:szCs w:val="20"/>
              </w:rPr>
            </w:pPr>
            <w:r w:rsidRPr="4600C643">
              <w:rPr>
                <w:rFonts w:ascii="Times New Roman" w:hAnsi="Times New Roman" w:cs="Times New Roman"/>
                <w:i/>
                <w:iCs/>
                <w:color w:val="000000" w:themeColor="text1"/>
                <w:sz w:val="20"/>
                <w:szCs w:val="20"/>
              </w:rPr>
              <w:t>gyermeknevelési támogatás</w:t>
            </w:r>
          </w:p>
        </w:tc>
        <w:tc>
          <w:tcPr>
            <w:tcW w:w="944" w:type="dxa"/>
            <w:tcBorders>
              <w:top w:val="nil"/>
              <w:left w:val="single" w:sz="4" w:space="0" w:color="auto"/>
              <w:bottom w:val="single" w:sz="4" w:space="0" w:color="auto"/>
              <w:right w:val="single" w:sz="4" w:space="0" w:color="auto"/>
            </w:tcBorders>
            <w:noWrap/>
            <w:vAlign w:val="bottom"/>
            <w:hideMark/>
          </w:tcPr>
          <w:p w14:paraId="54864A29" w14:textId="31F3E5E1"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1,5</w:t>
            </w:r>
          </w:p>
        </w:tc>
        <w:tc>
          <w:tcPr>
            <w:tcW w:w="991" w:type="dxa"/>
            <w:tcBorders>
              <w:top w:val="nil"/>
              <w:left w:val="nil"/>
              <w:bottom w:val="single" w:sz="4" w:space="0" w:color="auto"/>
              <w:right w:val="single" w:sz="4" w:space="0" w:color="auto"/>
            </w:tcBorders>
            <w:noWrap/>
            <w:vAlign w:val="bottom"/>
            <w:hideMark/>
          </w:tcPr>
          <w:p w14:paraId="3ED7D86B" w14:textId="00A455EB"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1,4</w:t>
            </w:r>
          </w:p>
        </w:tc>
        <w:tc>
          <w:tcPr>
            <w:tcW w:w="850" w:type="dxa"/>
            <w:tcBorders>
              <w:top w:val="nil"/>
              <w:left w:val="nil"/>
              <w:bottom w:val="single" w:sz="4" w:space="0" w:color="auto"/>
              <w:right w:val="single" w:sz="4" w:space="0" w:color="auto"/>
            </w:tcBorders>
            <w:noWrap/>
            <w:vAlign w:val="bottom"/>
            <w:hideMark/>
          </w:tcPr>
          <w:p w14:paraId="79964C52" w14:textId="39FC3388" w:rsidR="00374988" w:rsidRPr="00374988" w:rsidRDefault="4600C643" w:rsidP="4600C643">
            <w:pPr>
              <w:spacing w:after="0"/>
              <w:jc w:val="right"/>
              <w:rPr>
                <w:rFonts w:ascii="Times New Roman" w:hAnsi="Times New Roman" w:cs="Times New Roman"/>
                <w:sz w:val="20"/>
                <w:szCs w:val="20"/>
              </w:rPr>
            </w:pPr>
            <w:r w:rsidRPr="4600C643">
              <w:rPr>
                <w:rFonts w:ascii="Times New Roman" w:hAnsi="Times New Roman" w:cs="Times New Roman"/>
                <w:sz w:val="20"/>
                <w:szCs w:val="20"/>
              </w:rPr>
              <w:t>-0,1</w:t>
            </w:r>
          </w:p>
        </w:tc>
        <w:tc>
          <w:tcPr>
            <w:tcW w:w="733" w:type="dxa"/>
            <w:tcBorders>
              <w:top w:val="nil"/>
              <w:left w:val="nil"/>
              <w:bottom w:val="single" w:sz="4" w:space="0" w:color="auto"/>
              <w:right w:val="single" w:sz="4" w:space="0" w:color="auto"/>
            </w:tcBorders>
            <w:noWrap/>
            <w:vAlign w:val="bottom"/>
            <w:hideMark/>
          </w:tcPr>
          <w:p w14:paraId="15FAE29F" w14:textId="2AC42D24"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93,3</w:t>
            </w:r>
          </w:p>
        </w:tc>
      </w:tr>
      <w:tr w:rsidR="00374988" w:rsidRPr="002E70D5" w14:paraId="0932D838" w14:textId="77777777" w:rsidTr="0E3D3F74">
        <w:trPr>
          <w:trHeight w:val="218"/>
        </w:trPr>
        <w:tc>
          <w:tcPr>
            <w:tcW w:w="5720" w:type="dxa"/>
            <w:tcBorders>
              <w:top w:val="nil"/>
              <w:left w:val="single" w:sz="4" w:space="0" w:color="auto"/>
              <w:bottom w:val="single" w:sz="4" w:space="0" w:color="auto"/>
              <w:right w:val="single" w:sz="4" w:space="0" w:color="auto"/>
            </w:tcBorders>
            <w:vAlign w:val="center"/>
            <w:hideMark/>
          </w:tcPr>
          <w:p w14:paraId="7FC6C9F6" w14:textId="77777777" w:rsidR="00374988" w:rsidRPr="002E70D5" w:rsidRDefault="4600C643" w:rsidP="4600C643">
            <w:pPr>
              <w:spacing w:after="0"/>
              <w:ind w:firstLineChars="400" w:firstLine="800"/>
              <w:rPr>
                <w:rFonts w:ascii="Times New Roman" w:hAnsi="Times New Roman" w:cs="Times New Roman"/>
                <w:i/>
                <w:iCs/>
                <w:color w:val="000000" w:themeColor="text1"/>
                <w:sz w:val="20"/>
                <w:szCs w:val="20"/>
              </w:rPr>
            </w:pPr>
            <w:r w:rsidRPr="4600C643">
              <w:rPr>
                <w:rFonts w:ascii="Times New Roman" w:hAnsi="Times New Roman" w:cs="Times New Roman"/>
                <w:i/>
                <w:iCs/>
                <w:color w:val="000000" w:themeColor="text1"/>
                <w:sz w:val="20"/>
                <w:szCs w:val="20"/>
              </w:rPr>
              <w:t>gyermekek születésével kapcsolatos szabadság megtérítése</w:t>
            </w:r>
          </w:p>
        </w:tc>
        <w:tc>
          <w:tcPr>
            <w:tcW w:w="944" w:type="dxa"/>
            <w:tcBorders>
              <w:top w:val="nil"/>
              <w:left w:val="single" w:sz="4" w:space="0" w:color="auto"/>
              <w:bottom w:val="single" w:sz="4" w:space="0" w:color="auto"/>
              <w:right w:val="single" w:sz="4" w:space="0" w:color="auto"/>
            </w:tcBorders>
            <w:noWrap/>
            <w:vAlign w:val="bottom"/>
            <w:hideMark/>
          </w:tcPr>
          <w:p w14:paraId="083EE439" w14:textId="323381E6"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1,3</w:t>
            </w:r>
          </w:p>
        </w:tc>
        <w:tc>
          <w:tcPr>
            <w:tcW w:w="991" w:type="dxa"/>
            <w:tcBorders>
              <w:top w:val="nil"/>
              <w:left w:val="nil"/>
              <w:bottom w:val="single" w:sz="4" w:space="0" w:color="auto"/>
              <w:right w:val="single" w:sz="4" w:space="0" w:color="auto"/>
            </w:tcBorders>
            <w:noWrap/>
            <w:vAlign w:val="bottom"/>
            <w:hideMark/>
          </w:tcPr>
          <w:p w14:paraId="6FC609F0" w14:textId="59FA01F9" w:rsidR="00374988" w:rsidRPr="00374988" w:rsidRDefault="4600C643" w:rsidP="4600C643">
            <w:pPr>
              <w:spacing w:after="0"/>
              <w:jc w:val="right"/>
              <w:rPr>
                <w:rFonts w:ascii="Times New Roman" w:hAnsi="Times New Roman" w:cs="Times New Roman"/>
                <w:sz w:val="20"/>
                <w:szCs w:val="20"/>
              </w:rPr>
            </w:pPr>
            <w:r w:rsidRPr="4600C643">
              <w:rPr>
                <w:rFonts w:ascii="Times New Roman" w:hAnsi="Times New Roman" w:cs="Times New Roman"/>
                <w:sz w:val="20"/>
                <w:szCs w:val="20"/>
              </w:rPr>
              <w:t>1,3</w:t>
            </w:r>
          </w:p>
        </w:tc>
        <w:tc>
          <w:tcPr>
            <w:tcW w:w="850" w:type="dxa"/>
            <w:tcBorders>
              <w:top w:val="nil"/>
              <w:left w:val="nil"/>
              <w:bottom w:val="single" w:sz="4" w:space="0" w:color="auto"/>
              <w:right w:val="single" w:sz="4" w:space="0" w:color="auto"/>
            </w:tcBorders>
            <w:noWrap/>
            <w:vAlign w:val="bottom"/>
            <w:hideMark/>
          </w:tcPr>
          <w:p w14:paraId="1B7834F9" w14:textId="404CA096"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0,0</w:t>
            </w:r>
          </w:p>
        </w:tc>
        <w:tc>
          <w:tcPr>
            <w:tcW w:w="733" w:type="dxa"/>
            <w:tcBorders>
              <w:top w:val="nil"/>
              <w:left w:val="nil"/>
              <w:bottom w:val="single" w:sz="4" w:space="0" w:color="auto"/>
              <w:right w:val="single" w:sz="4" w:space="0" w:color="auto"/>
            </w:tcBorders>
            <w:noWrap/>
            <w:vAlign w:val="bottom"/>
            <w:hideMark/>
          </w:tcPr>
          <w:p w14:paraId="6D9506CD" w14:textId="1B19D974"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100,0</w:t>
            </w:r>
          </w:p>
        </w:tc>
      </w:tr>
      <w:tr w:rsidR="00374988" w:rsidRPr="002E70D5" w14:paraId="5C1FD170" w14:textId="77777777" w:rsidTr="0E3D3F74">
        <w:trPr>
          <w:trHeight w:val="218"/>
        </w:trPr>
        <w:tc>
          <w:tcPr>
            <w:tcW w:w="5720" w:type="dxa"/>
            <w:tcBorders>
              <w:top w:val="nil"/>
              <w:left w:val="single" w:sz="4" w:space="0" w:color="auto"/>
              <w:bottom w:val="single" w:sz="4" w:space="0" w:color="auto"/>
              <w:right w:val="single" w:sz="4" w:space="0" w:color="auto"/>
            </w:tcBorders>
            <w:vAlign w:val="center"/>
            <w:hideMark/>
          </w:tcPr>
          <w:p w14:paraId="7E9D85A0" w14:textId="77777777" w:rsidR="00374988" w:rsidRPr="002E70D5" w:rsidRDefault="4600C643" w:rsidP="4600C643">
            <w:pPr>
              <w:spacing w:after="0"/>
              <w:ind w:firstLineChars="400" w:firstLine="800"/>
              <w:rPr>
                <w:rFonts w:ascii="Times New Roman" w:hAnsi="Times New Roman" w:cs="Times New Roman"/>
                <w:i/>
                <w:iCs/>
                <w:color w:val="000000" w:themeColor="text1"/>
                <w:sz w:val="20"/>
                <w:szCs w:val="20"/>
              </w:rPr>
            </w:pPr>
            <w:r w:rsidRPr="4600C643">
              <w:rPr>
                <w:rFonts w:ascii="Times New Roman" w:hAnsi="Times New Roman" w:cs="Times New Roman"/>
                <w:i/>
                <w:iCs/>
                <w:color w:val="000000" w:themeColor="text1"/>
                <w:sz w:val="20"/>
                <w:szCs w:val="20"/>
              </w:rPr>
              <w:t>életkezdési támogatás</w:t>
            </w:r>
          </w:p>
        </w:tc>
        <w:tc>
          <w:tcPr>
            <w:tcW w:w="944" w:type="dxa"/>
            <w:tcBorders>
              <w:top w:val="nil"/>
              <w:left w:val="single" w:sz="4" w:space="0" w:color="auto"/>
              <w:bottom w:val="single" w:sz="4" w:space="0" w:color="auto"/>
              <w:right w:val="single" w:sz="4" w:space="0" w:color="auto"/>
            </w:tcBorders>
            <w:noWrap/>
            <w:vAlign w:val="bottom"/>
            <w:hideMark/>
          </w:tcPr>
          <w:p w14:paraId="7C1C4E8C" w14:textId="04290F52"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4,5</w:t>
            </w:r>
          </w:p>
        </w:tc>
        <w:tc>
          <w:tcPr>
            <w:tcW w:w="991" w:type="dxa"/>
            <w:tcBorders>
              <w:top w:val="nil"/>
              <w:left w:val="nil"/>
              <w:bottom w:val="single" w:sz="4" w:space="0" w:color="auto"/>
              <w:right w:val="single" w:sz="4" w:space="0" w:color="auto"/>
            </w:tcBorders>
            <w:noWrap/>
            <w:vAlign w:val="bottom"/>
            <w:hideMark/>
          </w:tcPr>
          <w:p w14:paraId="64FE41C6" w14:textId="514068D7"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4,9</w:t>
            </w:r>
          </w:p>
        </w:tc>
        <w:tc>
          <w:tcPr>
            <w:tcW w:w="850" w:type="dxa"/>
            <w:tcBorders>
              <w:top w:val="nil"/>
              <w:left w:val="nil"/>
              <w:bottom w:val="single" w:sz="4" w:space="0" w:color="auto"/>
              <w:right w:val="single" w:sz="4" w:space="0" w:color="auto"/>
            </w:tcBorders>
            <w:noWrap/>
            <w:vAlign w:val="bottom"/>
            <w:hideMark/>
          </w:tcPr>
          <w:p w14:paraId="092E3EF2" w14:textId="0D3206BB"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0,4</w:t>
            </w:r>
          </w:p>
        </w:tc>
        <w:tc>
          <w:tcPr>
            <w:tcW w:w="733" w:type="dxa"/>
            <w:tcBorders>
              <w:top w:val="nil"/>
              <w:left w:val="nil"/>
              <w:bottom w:val="single" w:sz="4" w:space="0" w:color="auto"/>
              <w:right w:val="single" w:sz="4" w:space="0" w:color="auto"/>
            </w:tcBorders>
            <w:noWrap/>
            <w:vAlign w:val="bottom"/>
            <w:hideMark/>
          </w:tcPr>
          <w:p w14:paraId="4E31809C" w14:textId="6AC01A83"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108,9</w:t>
            </w:r>
          </w:p>
        </w:tc>
      </w:tr>
      <w:tr w:rsidR="00374988" w:rsidRPr="002E70D5" w14:paraId="5B535E4D" w14:textId="77777777" w:rsidTr="0E3D3F74">
        <w:trPr>
          <w:trHeight w:val="218"/>
        </w:trPr>
        <w:tc>
          <w:tcPr>
            <w:tcW w:w="5720" w:type="dxa"/>
            <w:tcBorders>
              <w:top w:val="nil"/>
              <w:left w:val="single" w:sz="4" w:space="0" w:color="auto"/>
              <w:bottom w:val="single" w:sz="4" w:space="0" w:color="auto"/>
              <w:right w:val="single" w:sz="4" w:space="0" w:color="auto"/>
            </w:tcBorders>
            <w:noWrap/>
            <w:vAlign w:val="bottom"/>
            <w:hideMark/>
          </w:tcPr>
          <w:p w14:paraId="4BB29DB0" w14:textId="77777777" w:rsidR="00374988" w:rsidRPr="002E70D5" w:rsidRDefault="4600C643" w:rsidP="4600C643">
            <w:pPr>
              <w:spacing w:after="0"/>
              <w:rPr>
                <w:rFonts w:ascii="Times New Roman" w:hAnsi="Times New Roman" w:cs="Times New Roman"/>
                <w:b/>
                <w:bCs/>
                <w:color w:val="000000" w:themeColor="text1"/>
                <w:sz w:val="20"/>
                <w:szCs w:val="20"/>
              </w:rPr>
            </w:pPr>
            <w:r w:rsidRPr="4600C643">
              <w:rPr>
                <w:rFonts w:ascii="Times New Roman" w:hAnsi="Times New Roman" w:cs="Times New Roman"/>
                <w:b/>
                <w:bCs/>
                <w:color w:val="000000" w:themeColor="text1"/>
                <w:sz w:val="20"/>
                <w:szCs w:val="20"/>
              </w:rPr>
              <w:t>Korhatár alatti ellátások</w:t>
            </w:r>
          </w:p>
        </w:tc>
        <w:tc>
          <w:tcPr>
            <w:tcW w:w="944" w:type="dxa"/>
            <w:tcBorders>
              <w:top w:val="nil"/>
              <w:left w:val="single" w:sz="4" w:space="0" w:color="auto"/>
              <w:bottom w:val="single" w:sz="4" w:space="0" w:color="auto"/>
              <w:right w:val="single" w:sz="4" w:space="0" w:color="auto"/>
            </w:tcBorders>
            <w:noWrap/>
            <w:vAlign w:val="bottom"/>
            <w:hideMark/>
          </w:tcPr>
          <w:p w14:paraId="1E584746" w14:textId="3E11A8D4" w:rsidR="00374988" w:rsidRPr="00374988" w:rsidRDefault="0E3D3F74" w:rsidP="0E3D3F74">
            <w:pPr>
              <w:spacing w:after="0"/>
              <w:jc w:val="right"/>
              <w:rPr>
                <w:rFonts w:ascii="Times New Roman" w:hAnsi="Times New Roman" w:cs="Times New Roman"/>
                <w:b/>
                <w:bCs/>
                <w:sz w:val="20"/>
                <w:szCs w:val="20"/>
              </w:rPr>
            </w:pPr>
            <w:r w:rsidRPr="0E3D3F74">
              <w:rPr>
                <w:rFonts w:ascii="Times New Roman" w:hAnsi="Times New Roman" w:cs="Times New Roman"/>
                <w:b/>
                <w:bCs/>
                <w:sz w:val="20"/>
                <w:szCs w:val="20"/>
              </w:rPr>
              <w:t>28,3</w:t>
            </w:r>
          </w:p>
        </w:tc>
        <w:tc>
          <w:tcPr>
            <w:tcW w:w="991" w:type="dxa"/>
            <w:tcBorders>
              <w:top w:val="nil"/>
              <w:left w:val="nil"/>
              <w:bottom w:val="single" w:sz="4" w:space="0" w:color="auto"/>
              <w:right w:val="single" w:sz="4" w:space="0" w:color="auto"/>
            </w:tcBorders>
            <w:noWrap/>
            <w:vAlign w:val="bottom"/>
            <w:hideMark/>
          </w:tcPr>
          <w:p w14:paraId="3BB31635" w14:textId="17243D5D" w:rsidR="00374988" w:rsidRPr="00374988" w:rsidRDefault="0E3D3F74" w:rsidP="0E3D3F74">
            <w:pPr>
              <w:spacing w:after="0"/>
              <w:jc w:val="right"/>
              <w:rPr>
                <w:rFonts w:ascii="Times New Roman" w:hAnsi="Times New Roman" w:cs="Times New Roman"/>
                <w:b/>
                <w:bCs/>
                <w:sz w:val="20"/>
                <w:szCs w:val="20"/>
              </w:rPr>
            </w:pPr>
            <w:r w:rsidRPr="0E3D3F74">
              <w:rPr>
                <w:rFonts w:ascii="Times New Roman" w:hAnsi="Times New Roman" w:cs="Times New Roman"/>
                <w:b/>
                <w:bCs/>
                <w:sz w:val="20"/>
                <w:szCs w:val="20"/>
              </w:rPr>
              <w:t>30,1</w:t>
            </w:r>
          </w:p>
        </w:tc>
        <w:tc>
          <w:tcPr>
            <w:tcW w:w="850" w:type="dxa"/>
            <w:tcBorders>
              <w:top w:val="nil"/>
              <w:left w:val="nil"/>
              <w:bottom w:val="single" w:sz="4" w:space="0" w:color="auto"/>
              <w:right w:val="single" w:sz="4" w:space="0" w:color="auto"/>
            </w:tcBorders>
            <w:noWrap/>
            <w:vAlign w:val="bottom"/>
            <w:hideMark/>
          </w:tcPr>
          <w:p w14:paraId="6067B78F" w14:textId="309CFA7A" w:rsidR="00374988" w:rsidRPr="00374988" w:rsidRDefault="0E3D3F74" w:rsidP="0E3D3F74">
            <w:pPr>
              <w:spacing w:after="0"/>
              <w:jc w:val="right"/>
              <w:rPr>
                <w:rFonts w:ascii="Times New Roman" w:hAnsi="Times New Roman" w:cs="Times New Roman"/>
                <w:b/>
                <w:bCs/>
                <w:sz w:val="20"/>
                <w:szCs w:val="20"/>
              </w:rPr>
            </w:pPr>
            <w:r w:rsidRPr="0E3D3F74">
              <w:rPr>
                <w:rFonts w:ascii="Times New Roman" w:hAnsi="Times New Roman" w:cs="Times New Roman"/>
                <w:b/>
                <w:bCs/>
                <w:sz w:val="20"/>
                <w:szCs w:val="20"/>
              </w:rPr>
              <w:t>1,8</w:t>
            </w:r>
          </w:p>
        </w:tc>
        <w:tc>
          <w:tcPr>
            <w:tcW w:w="733" w:type="dxa"/>
            <w:tcBorders>
              <w:top w:val="nil"/>
              <w:left w:val="nil"/>
              <w:bottom w:val="single" w:sz="4" w:space="0" w:color="auto"/>
              <w:right w:val="single" w:sz="4" w:space="0" w:color="auto"/>
            </w:tcBorders>
            <w:noWrap/>
            <w:vAlign w:val="bottom"/>
            <w:hideMark/>
          </w:tcPr>
          <w:p w14:paraId="05F9CDA8" w14:textId="149B7D6B" w:rsidR="00374988" w:rsidRPr="00374988" w:rsidRDefault="0E3D3F74" w:rsidP="0E3D3F74">
            <w:pPr>
              <w:spacing w:after="0"/>
              <w:jc w:val="right"/>
              <w:rPr>
                <w:rFonts w:ascii="Times New Roman" w:hAnsi="Times New Roman" w:cs="Times New Roman"/>
                <w:b/>
                <w:bCs/>
                <w:sz w:val="20"/>
                <w:szCs w:val="20"/>
              </w:rPr>
            </w:pPr>
            <w:r w:rsidRPr="0E3D3F74">
              <w:rPr>
                <w:rFonts w:ascii="Times New Roman" w:hAnsi="Times New Roman" w:cs="Times New Roman"/>
                <w:b/>
                <w:bCs/>
                <w:sz w:val="20"/>
                <w:szCs w:val="20"/>
              </w:rPr>
              <w:t>106,4</w:t>
            </w:r>
          </w:p>
        </w:tc>
      </w:tr>
      <w:tr w:rsidR="00374988" w:rsidRPr="002E70D5" w14:paraId="2D6D4FB3" w14:textId="77777777" w:rsidTr="0E3D3F74">
        <w:trPr>
          <w:trHeight w:val="218"/>
        </w:trPr>
        <w:tc>
          <w:tcPr>
            <w:tcW w:w="5720" w:type="dxa"/>
            <w:tcBorders>
              <w:top w:val="nil"/>
              <w:left w:val="single" w:sz="4" w:space="0" w:color="auto"/>
              <w:bottom w:val="single" w:sz="4" w:space="0" w:color="auto"/>
              <w:right w:val="single" w:sz="4" w:space="0" w:color="auto"/>
            </w:tcBorders>
            <w:noWrap/>
            <w:vAlign w:val="bottom"/>
            <w:hideMark/>
          </w:tcPr>
          <w:p w14:paraId="285599A0" w14:textId="77777777" w:rsidR="00374988" w:rsidRPr="002E70D5" w:rsidRDefault="4600C643" w:rsidP="4600C643">
            <w:pPr>
              <w:spacing w:after="0"/>
              <w:rPr>
                <w:rFonts w:ascii="Times New Roman" w:hAnsi="Times New Roman" w:cs="Times New Roman"/>
                <w:b/>
                <w:bCs/>
                <w:color w:val="000000" w:themeColor="text1"/>
                <w:sz w:val="20"/>
                <w:szCs w:val="20"/>
              </w:rPr>
            </w:pPr>
            <w:r w:rsidRPr="4600C643">
              <w:rPr>
                <w:rFonts w:ascii="Times New Roman" w:hAnsi="Times New Roman" w:cs="Times New Roman"/>
                <w:b/>
                <w:bCs/>
                <w:color w:val="000000" w:themeColor="text1"/>
                <w:sz w:val="20"/>
                <w:szCs w:val="20"/>
              </w:rPr>
              <w:t>Jövedelempótló és jövedelemkiegészítő szociális támogatások</w:t>
            </w:r>
          </w:p>
        </w:tc>
        <w:tc>
          <w:tcPr>
            <w:tcW w:w="944" w:type="dxa"/>
            <w:tcBorders>
              <w:top w:val="nil"/>
              <w:left w:val="single" w:sz="4" w:space="0" w:color="auto"/>
              <w:bottom w:val="single" w:sz="4" w:space="0" w:color="auto"/>
              <w:right w:val="single" w:sz="4" w:space="0" w:color="auto"/>
            </w:tcBorders>
            <w:noWrap/>
            <w:vAlign w:val="bottom"/>
            <w:hideMark/>
          </w:tcPr>
          <w:p w14:paraId="76F346F2" w14:textId="3DD8DE01" w:rsidR="00374988" w:rsidRPr="00374988" w:rsidRDefault="0E3D3F74" w:rsidP="0E3D3F74">
            <w:pPr>
              <w:spacing w:after="0"/>
              <w:jc w:val="right"/>
              <w:rPr>
                <w:rFonts w:ascii="Times New Roman" w:hAnsi="Times New Roman" w:cs="Times New Roman"/>
                <w:b/>
                <w:bCs/>
                <w:sz w:val="20"/>
                <w:szCs w:val="20"/>
              </w:rPr>
            </w:pPr>
            <w:r w:rsidRPr="0E3D3F74">
              <w:rPr>
                <w:rFonts w:ascii="Times New Roman" w:hAnsi="Times New Roman" w:cs="Times New Roman"/>
                <w:b/>
                <w:bCs/>
                <w:sz w:val="20"/>
                <w:szCs w:val="20"/>
              </w:rPr>
              <w:t>34,6</w:t>
            </w:r>
          </w:p>
        </w:tc>
        <w:tc>
          <w:tcPr>
            <w:tcW w:w="991" w:type="dxa"/>
            <w:tcBorders>
              <w:top w:val="nil"/>
              <w:left w:val="nil"/>
              <w:bottom w:val="single" w:sz="4" w:space="0" w:color="auto"/>
              <w:right w:val="single" w:sz="4" w:space="0" w:color="auto"/>
            </w:tcBorders>
            <w:noWrap/>
            <w:vAlign w:val="bottom"/>
            <w:hideMark/>
          </w:tcPr>
          <w:p w14:paraId="6DF5981D" w14:textId="5DB21495" w:rsidR="00374988" w:rsidRPr="00374988" w:rsidRDefault="0E3D3F74" w:rsidP="0E3D3F74">
            <w:pPr>
              <w:spacing w:after="0"/>
              <w:jc w:val="right"/>
              <w:rPr>
                <w:rFonts w:ascii="Times New Roman" w:hAnsi="Times New Roman" w:cs="Times New Roman"/>
                <w:b/>
                <w:bCs/>
                <w:sz w:val="20"/>
                <w:szCs w:val="20"/>
              </w:rPr>
            </w:pPr>
            <w:r w:rsidRPr="0E3D3F74">
              <w:rPr>
                <w:rFonts w:ascii="Times New Roman" w:hAnsi="Times New Roman" w:cs="Times New Roman"/>
                <w:b/>
                <w:bCs/>
                <w:sz w:val="20"/>
                <w:szCs w:val="20"/>
              </w:rPr>
              <w:t>39,3</w:t>
            </w:r>
          </w:p>
        </w:tc>
        <w:tc>
          <w:tcPr>
            <w:tcW w:w="850" w:type="dxa"/>
            <w:tcBorders>
              <w:top w:val="nil"/>
              <w:left w:val="nil"/>
              <w:bottom w:val="single" w:sz="4" w:space="0" w:color="auto"/>
              <w:right w:val="single" w:sz="4" w:space="0" w:color="auto"/>
            </w:tcBorders>
            <w:noWrap/>
            <w:vAlign w:val="bottom"/>
            <w:hideMark/>
          </w:tcPr>
          <w:p w14:paraId="01D98773" w14:textId="478FC7F9" w:rsidR="00374988" w:rsidRPr="00374988" w:rsidRDefault="0E3D3F74" w:rsidP="0E3D3F74">
            <w:pPr>
              <w:spacing w:after="0"/>
              <w:jc w:val="right"/>
              <w:rPr>
                <w:rFonts w:ascii="Times New Roman" w:hAnsi="Times New Roman" w:cs="Times New Roman"/>
                <w:b/>
                <w:bCs/>
                <w:sz w:val="20"/>
                <w:szCs w:val="20"/>
              </w:rPr>
            </w:pPr>
            <w:r w:rsidRPr="0E3D3F74">
              <w:rPr>
                <w:rFonts w:ascii="Times New Roman" w:hAnsi="Times New Roman" w:cs="Times New Roman"/>
                <w:b/>
                <w:bCs/>
                <w:sz w:val="20"/>
                <w:szCs w:val="20"/>
              </w:rPr>
              <w:t>4,7</w:t>
            </w:r>
          </w:p>
        </w:tc>
        <w:tc>
          <w:tcPr>
            <w:tcW w:w="733" w:type="dxa"/>
            <w:tcBorders>
              <w:top w:val="nil"/>
              <w:left w:val="nil"/>
              <w:bottom w:val="single" w:sz="4" w:space="0" w:color="auto"/>
              <w:right w:val="single" w:sz="4" w:space="0" w:color="auto"/>
            </w:tcBorders>
            <w:noWrap/>
            <w:vAlign w:val="bottom"/>
            <w:hideMark/>
          </w:tcPr>
          <w:p w14:paraId="112E0472" w14:textId="52DD7F0F" w:rsidR="00374988" w:rsidRPr="00374988" w:rsidRDefault="0E3D3F74" w:rsidP="0E3D3F74">
            <w:pPr>
              <w:spacing w:after="0"/>
              <w:jc w:val="right"/>
              <w:rPr>
                <w:rFonts w:ascii="Times New Roman" w:hAnsi="Times New Roman" w:cs="Times New Roman"/>
                <w:b/>
                <w:bCs/>
                <w:sz w:val="20"/>
                <w:szCs w:val="20"/>
              </w:rPr>
            </w:pPr>
            <w:r w:rsidRPr="0E3D3F74">
              <w:rPr>
                <w:rFonts w:ascii="Times New Roman" w:hAnsi="Times New Roman" w:cs="Times New Roman"/>
                <w:b/>
                <w:bCs/>
                <w:sz w:val="20"/>
                <w:szCs w:val="20"/>
              </w:rPr>
              <w:t>113,6</w:t>
            </w:r>
          </w:p>
        </w:tc>
      </w:tr>
      <w:tr w:rsidR="00374988" w:rsidRPr="002E70D5" w14:paraId="2F68BD6E" w14:textId="77777777" w:rsidTr="0E3D3F74">
        <w:trPr>
          <w:trHeight w:val="218"/>
        </w:trPr>
        <w:tc>
          <w:tcPr>
            <w:tcW w:w="5720" w:type="dxa"/>
            <w:tcBorders>
              <w:top w:val="nil"/>
              <w:left w:val="single" w:sz="4" w:space="0" w:color="auto"/>
              <w:bottom w:val="single" w:sz="4" w:space="0" w:color="auto"/>
              <w:right w:val="single" w:sz="4" w:space="0" w:color="auto"/>
            </w:tcBorders>
            <w:noWrap/>
            <w:vAlign w:val="bottom"/>
            <w:hideMark/>
          </w:tcPr>
          <w:p w14:paraId="55975F0B" w14:textId="77777777" w:rsidR="00374988" w:rsidRPr="002E70D5" w:rsidRDefault="4600C643" w:rsidP="4600C643">
            <w:pPr>
              <w:spacing w:after="0"/>
              <w:ind w:firstLineChars="100" w:firstLine="200"/>
              <w:rPr>
                <w:rFonts w:ascii="Times New Roman" w:hAnsi="Times New Roman" w:cs="Times New Roman"/>
                <w:i/>
                <w:iCs/>
                <w:color w:val="000000" w:themeColor="text1"/>
                <w:sz w:val="20"/>
                <w:szCs w:val="20"/>
              </w:rPr>
            </w:pPr>
            <w:r w:rsidRPr="4600C643">
              <w:rPr>
                <w:rFonts w:ascii="Times New Roman" w:hAnsi="Times New Roman" w:cs="Times New Roman"/>
                <w:i/>
                <w:iCs/>
                <w:color w:val="000000" w:themeColor="text1"/>
                <w:sz w:val="20"/>
                <w:szCs w:val="20"/>
              </w:rPr>
              <w:t>Ebből:</w:t>
            </w:r>
          </w:p>
        </w:tc>
        <w:tc>
          <w:tcPr>
            <w:tcW w:w="944" w:type="dxa"/>
            <w:tcBorders>
              <w:top w:val="nil"/>
              <w:left w:val="single" w:sz="4" w:space="0" w:color="auto"/>
              <w:bottom w:val="single" w:sz="4" w:space="0" w:color="auto"/>
              <w:right w:val="single" w:sz="4" w:space="0" w:color="auto"/>
            </w:tcBorders>
            <w:noWrap/>
            <w:vAlign w:val="bottom"/>
            <w:hideMark/>
          </w:tcPr>
          <w:p w14:paraId="2B25FABF" w14:textId="45B38A6A" w:rsidR="00374988" w:rsidRPr="00374988" w:rsidRDefault="00374988" w:rsidP="1D3ABBAA">
            <w:pPr>
              <w:spacing w:after="0"/>
              <w:jc w:val="right"/>
              <w:rPr>
                <w:rFonts w:ascii="Times New Roman" w:hAnsi="Times New Roman" w:cs="Times New Roman"/>
                <w:sz w:val="20"/>
                <w:szCs w:val="20"/>
              </w:rPr>
            </w:pPr>
          </w:p>
        </w:tc>
        <w:tc>
          <w:tcPr>
            <w:tcW w:w="991" w:type="dxa"/>
            <w:tcBorders>
              <w:top w:val="nil"/>
              <w:left w:val="nil"/>
              <w:bottom w:val="single" w:sz="4" w:space="0" w:color="auto"/>
              <w:right w:val="single" w:sz="4" w:space="0" w:color="auto"/>
            </w:tcBorders>
            <w:noWrap/>
            <w:vAlign w:val="bottom"/>
            <w:hideMark/>
          </w:tcPr>
          <w:p w14:paraId="6B112B61" w14:textId="62020126" w:rsidR="00374988" w:rsidRPr="00374988" w:rsidRDefault="00374988" w:rsidP="1D3ABBAA">
            <w:pPr>
              <w:spacing w:after="0"/>
              <w:jc w:val="right"/>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noWrap/>
            <w:vAlign w:val="bottom"/>
            <w:hideMark/>
          </w:tcPr>
          <w:p w14:paraId="0CBA18B6" w14:textId="239631E2" w:rsidR="00374988" w:rsidRPr="00374988" w:rsidRDefault="00374988" w:rsidP="1D3ABBAA">
            <w:pPr>
              <w:spacing w:after="0"/>
              <w:jc w:val="right"/>
              <w:rPr>
                <w:rFonts w:ascii="Times New Roman" w:hAnsi="Times New Roman" w:cs="Times New Roman"/>
                <w:sz w:val="20"/>
                <w:szCs w:val="20"/>
              </w:rPr>
            </w:pPr>
          </w:p>
        </w:tc>
        <w:tc>
          <w:tcPr>
            <w:tcW w:w="733" w:type="dxa"/>
            <w:tcBorders>
              <w:top w:val="nil"/>
              <w:left w:val="nil"/>
              <w:bottom w:val="single" w:sz="4" w:space="0" w:color="auto"/>
              <w:right w:val="single" w:sz="4" w:space="0" w:color="auto"/>
            </w:tcBorders>
            <w:noWrap/>
            <w:vAlign w:val="bottom"/>
            <w:hideMark/>
          </w:tcPr>
          <w:p w14:paraId="5A52A3F4" w14:textId="6097B7FA" w:rsidR="00374988" w:rsidRPr="00374988" w:rsidRDefault="4600C643" w:rsidP="4600C643">
            <w:pPr>
              <w:spacing w:after="0"/>
              <w:jc w:val="right"/>
              <w:rPr>
                <w:rFonts w:ascii="Times New Roman" w:hAnsi="Times New Roman" w:cs="Times New Roman"/>
                <w:b/>
                <w:bCs/>
                <w:sz w:val="20"/>
                <w:szCs w:val="20"/>
              </w:rPr>
            </w:pPr>
            <w:r w:rsidRPr="4600C643">
              <w:rPr>
                <w:rFonts w:ascii="Times New Roman" w:hAnsi="Times New Roman" w:cs="Times New Roman"/>
                <w:b/>
                <w:bCs/>
                <w:sz w:val="20"/>
                <w:szCs w:val="20"/>
              </w:rPr>
              <w:t> </w:t>
            </w:r>
          </w:p>
        </w:tc>
      </w:tr>
      <w:tr w:rsidR="00374988" w:rsidRPr="002E70D5" w14:paraId="0E61B6E0" w14:textId="77777777" w:rsidTr="0E3D3F74">
        <w:trPr>
          <w:trHeight w:val="218"/>
        </w:trPr>
        <w:tc>
          <w:tcPr>
            <w:tcW w:w="5720" w:type="dxa"/>
            <w:tcBorders>
              <w:top w:val="nil"/>
              <w:left w:val="single" w:sz="4" w:space="0" w:color="auto"/>
              <w:bottom w:val="single" w:sz="4" w:space="0" w:color="auto"/>
              <w:right w:val="single" w:sz="4" w:space="0" w:color="auto"/>
            </w:tcBorders>
            <w:noWrap/>
            <w:vAlign w:val="center"/>
            <w:hideMark/>
          </w:tcPr>
          <w:p w14:paraId="6037ED1E" w14:textId="77777777" w:rsidR="00374988" w:rsidRPr="002E70D5" w:rsidRDefault="4600C643" w:rsidP="4600C643">
            <w:pPr>
              <w:spacing w:after="0"/>
              <w:ind w:firstLineChars="400" w:firstLine="800"/>
              <w:rPr>
                <w:rFonts w:ascii="Times New Roman" w:hAnsi="Times New Roman" w:cs="Times New Roman"/>
                <w:i/>
                <w:iCs/>
                <w:color w:val="000000" w:themeColor="text1"/>
                <w:sz w:val="20"/>
                <w:szCs w:val="20"/>
              </w:rPr>
            </w:pPr>
            <w:r w:rsidRPr="4600C643">
              <w:rPr>
                <w:rFonts w:ascii="Times New Roman" w:hAnsi="Times New Roman" w:cs="Times New Roman"/>
                <w:i/>
                <w:iCs/>
                <w:color w:val="000000" w:themeColor="text1"/>
                <w:sz w:val="20"/>
                <w:szCs w:val="20"/>
              </w:rPr>
              <w:t>Jövedelempótló és jövedelemkiegészítő ellátások</w:t>
            </w:r>
          </w:p>
        </w:tc>
        <w:tc>
          <w:tcPr>
            <w:tcW w:w="944" w:type="dxa"/>
            <w:tcBorders>
              <w:top w:val="nil"/>
              <w:left w:val="single" w:sz="4" w:space="0" w:color="auto"/>
              <w:bottom w:val="single" w:sz="4" w:space="0" w:color="auto"/>
              <w:right w:val="single" w:sz="4" w:space="0" w:color="auto"/>
            </w:tcBorders>
            <w:noWrap/>
            <w:vAlign w:val="bottom"/>
            <w:hideMark/>
          </w:tcPr>
          <w:p w14:paraId="5C906EAA" w14:textId="20C1401D"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17,0</w:t>
            </w:r>
          </w:p>
        </w:tc>
        <w:tc>
          <w:tcPr>
            <w:tcW w:w="991" w:type="dxa"/>
            <w:tcBorders>
              <w:top w:val="nil"/>
              <w:left w:val="nil"/>
              <w:bottom w:val="single" w:sz="4" w:space="0" w:color="auto"/>
              <w:right w:val="single" w:sz="4" w:space="0" w:color="auto"/>
            </w:tcBorders>
            <w:noWrap/>
            <w:vAlign w:val="bottom"/>
            <w:hideMark/>
          </w:tcPr>
          <w:p w14:paraId="2BF256A3" w14:textId="41A36FD3"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18,8</w:t>
            </w:r>
          </w:p>
        </w:tc>
        <w:tc>
          <w:tcPr>
            <w:tcW w:w="850" w:type="dxa"/>
            <w:tcBorders>
              <w:top w:val="nil"/>
              <w:left w:val="nil"/>
              <w:bottom w:val="single" w:sz="4" w:space="0" w:color="auto"/>
              <w:right w:val="single" w:sz="4" w:space="0" w:color="auto"/>
            </w:tcBorders>
            <w:noWrap/>
            <w:vAlign w:val="bottom"/>
            <w:hideMark/>
          </w:tcPr>
          <w:p w14:paraId="0AF26DC1" w14:textId="3317F14B"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1,8</w:t>
            </w:r>
          </w:p>
        </w:tc>
        <w:tc>
          <w:tcPr>
            <w:tcW w:w="733" w:type="dxa"/>
            <w:tcBorders>
              <w:top w:val="nil"/>
              <w:left w:val="nil"/>
              <w:bottom w:val="single" w:sz="4" w:space="0" w:color="auto"/>
              <w:right w:val="single" w:sz="4" w:space="0" w:color="auto"/>
            </w:tcBorders>
            <w:noWrap/>
            <w:vAlign w:val="bottom"/>
            <w:hideMark/>
          </w:tcPr>
          <w:p w14:paraId="116943FB" w14:textId="3FFD8EB4"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110,6</w:t>
            </w:r>
          </w:p>
        </w:tc>
      </w:tr>
      <w:tr w:rsidR="00374988" w:rsidRPr="002E70D5" w14:paraId="4BD7171B" w14:textId="77777777" w:rsidTr="0E3D3F74">
        <w:trPr>
          <w:trHeight w:val="218"/>
        </w:trPr>
        <w:tc>
          <w:tcPr>
            <w:tcW w:w="5720" w:type="dxa"/>
            <w:tcBorders>
              <w:top w:val="nil"/>
              <w:left w:val="single" w:sz="4" w:space="0" w:color="auto"/>
              <w:bottom w:val="single" w:sz="4" w:space="0" w:color="auto"/>
              <w:right w:val="single" w:sz="4" w:space="0" w:color="auto"/>
            </w:tcBorders>
            <w:noWrap/>
            <w:vAlign w:val="center"/>
            <w:hideMark/>
          </w:tcPr>
          <w:p w14:paraId="55B155D0" w14:textId="77777777" w:rsidR="00374988" w:rsidRPr="002E70D5" w:rsidRDefault="4600C643" w:rsidP="4600C643">
            <w:pPr>
              <w:spacing w:after="0"/>
              <w:ind w:firstLineChars="400" w:firstLine="800"/>
              <w:rPr>
                <w:rFonts w:ascii="Times New Roman" w:hAnsi="Times New Roman" w:cs="Times New Roman"/>
                <w:i/>
                <w:iCs/>
                <w:color w:val="000000" w:themeColor="text1"/>
                <w:sz w:val="20"/>
                <w:szCs w:val="20"/>
              </w:rPr>
            </w:pPr>
            <w:r w:rsidRPr="4600C643">
              <w:rPr>
                <w:rFonts w:ascii="Times New Roman" w:hAnsi="Times New Roman" w:cs="Times New Roman"/>
                <w:i/>
                <w:iCs/>
                <w:color w:val="000000" w:themeColor="text1"/>
                <w:sz w:val="20"/>
                <w:szCs w:val="20"/>
              </w:rPr>
              <w:t>Járási szociális feladatok ellátása</w:t>
            </w:r>
          </w:p>
        </w:tc>
        <w:tc>
          <w:tcPr>
            <w:tcW w:w="944" w:type="dxa"/>
            <w:tcBorders>
              <w:top w:val="nil"/>
              <w:left w:val="single" w:sz="4" w:space="0" w:color="auto"/>
              <w:bottom w:val="single" w:sz="4" w:space="0" w:color="auto"/>
              <w:right w:val="single" w:sz="4" w:space="0" w:color="auto"/>
            </w:tcBorders>
            <w:noWrap/>
            <w:vAlign w:val="bottom"/>
            <w:hideMark/>
          </w:tcPr>
          <w:p w14:paraId="0F35ED60" w14:textId="35E5A38A"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17,6</w:t>
            </w:r>
          </w:p>
        </w:tc>
        <w:tc>
          <w:tcPr>
            <w:tcW w:w="991" w:type="dxa"/>
            <w:tcBorders>
              <w:top w:val="nil"/>
              <w:left w:val="nil"/>
              <w:bottom w:val="single" w:sz="4" w:space="0" w:color="auto"/>
              <w:right w:val="single" w:sz="4" w:space="0" w:color="auto"/>
            </w:tcBorders>
            <w:noWrap/>
            <w:vAlign w:val="bottom"/>
            <w:hideMark/>
          </w:tcPr>
          <w:p w14:paraId="22E02311" w14:textId="3B5F02F7"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20,4</w:t>
            </w:r>
          </w:p>
        </w:tc>
        <w:tc>
          <w:tcPr>
            <w:tcW w:w="850" w:type="dxa"/>
            <w:tcBorders>
              <w:top w:val="nil"/>
              <w:left w:val="nil"/>
              <w:bottom w:val="single" w:sz="4" w:space="0" w:color="auto"/>
              <w:right w:val="single" w:sz="4" w:space="0" w:color="auto"/>
            </w:tcBorders>
            <w:noWrap/>
            <w:vAlign w:val="bottom"/>
            <w:hideMark/>
          </w:tcPr>
          <w:p w14:paraId="0BADF695" w14:textId="60EF093B"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2,8</w:t>
            </w:r>
          </w:p>
        </w:tc>
        <w:tc>
          <w:tcPr>
            <w:tcW w:w="733" w:type="dxa"/>
            <w:tcBorders>
              <w:top w:val="nil"/>
              <w:left w:val="nil"/>
              <w:bottom w:val="single" w:sz="4" w:space="0" w:color="auto"/>
              <w:right w:val="single" w:sz="4" w:space="0" w:color="auto"/>
            </w:tcBorders>
            <w:noWrap/>
            <w:vAlign w:val="bottom"/>
            <w:hideMark/>
          </w:tcPr>
          <w:p w14:paraId="2BD95678" w14:textId="2CE92A21"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115,9</w:t>
            </w:r>
          </w:p>
        </w:tc>
      </w:tr>
      <w:tr w:rsidR="00374988" w:rsidRPr="002E70D5" w14:paraId="5D884F8B" w14:textId="77777777" w:rsidTr="0E3D3F74">
        <w:trPr>
          <w:trHeight w:val="218"/>
        </w:trPr>
        <w:tc>
          <w:tcPr>
            <w:tcW w:w="5720" w:type="dxa"/>
            <w:tcBorders>
              <w:top w:val="nil"/>
              <w:left w:val="single" w:sz="4" w:space="0" w:color="auto"/>
              <w:bottom w:val="single" w:sz="4" w:space="0" w:color="auto"/>
              <w:right w:val="single" w:sz="4" w:space="0" w:color="auto"/>
            </w:tcBorders>
            <w:noWrap/>
            <w:vAlign w:val="bottom"/>
            <w:hideMark/>
          </w:tcPr>
          <w:p w14:paraId="159E34A9" w14:textId="77777777" w:rsidR="00374988" w:rsidRPr="002E70D5" w:rsidRDefault="4600C643" w:rsidP="4600C643">
            <w:pPr>
              <w:spacing w:after="0"/>
              <w:rPr>
                <w:rFonts w:ascii="Times New Roman" w:hAnsi="Times New Roman" w:cs="Times New Roman"/>
                <w:b/>
                <w:bCs/>
                <w:color w:val="000000" w:themeColor="text1"/>
                <w:sz w:val="20"/>
                <w:szCs w:val="20"/>
              </w:rPr>
            </w:pPr>
            <w:r w:rsidRPr="4600C643">
              <w:rPr>
                <w:rFonts w:ascii="Times New Roman" w:hAnsi="Times New Roman" w:cs="Times New Roman"/>
                <w:b/>
                <w:bCs/>
                <w:color w:val="000000" w:themeColor="text1"/>
                <w:sz w:val="20"/>
                <w:szCs w:val="20"/>
              </w:rPr>
              <w:t>Különféle jogcímen adott térítések</w:t>
            </w:r>
          </w:p>
        </w:tc>
        <w:tc>
          <w:tcPr>
            <w:tcW w:w="944" w:type="dxa"/>
            <w:tcBorders>
              <w:top w:val="nil"/>
              <w:left w:val="single" w:sz="4" w:space="0" w:color="auto"/>
              <w:bottom w:val="single" w:sz="4" w:space="0" w:color="auto"/>
              <w:right w:val="single" w:sz="4" w:space="0" w:color="auto"/>
            </w:tcBorders>
            <w:noWrap/>
            <w:vAlign w:val="bottom"/>
            <w:hideMark/>
          </w:tcPr>
          <w:p w14:paraId="715706AA" w14:textId="4D098679" w:rsidR="00374988" w:rsidRPr="00374988" w:rsidRDefault="0E3D3F74" w:rsidP="0E3D3F74">
            <w:pPr>
              <w:spacing w:after="0"/>
              <w:jc w:val="right"/>
              <w:rPr>
                <w:rFonts w:ascii="Times New Roman" w:hAnsi="Times New Roman" w:cs="Times New Roman"/>
                <w:b/>
                <w:bCs/>
                <w:sz w:val="20"/>
                <w:szCs w:val="20"/>
              </w:rPr>
            </w:pPr>
            <w:r w:rsidRPr="0E3D3F74">
              <w:rPr>
                <w:rFonts w:ascii="Times New Roman" w:hAnsi="Times New Roman" w:cs="Times New Roman"/>
                <w:b/>
                <w:bCs/>
                <w:sz w:val="20"/>
                <w:szCs w:val="20"/>
              </w:rPr>
              <w:t>4,0</w:t>
            </w:r>
          </w:p>
        </w:tc>
        <w:tc>
          <w:tcPr>
            <w:tcW w:w="991" w:type="dxa"/>
            <w:tcBorders>
              <w:top w:val="nil"/>
              <w:left w:val="nil"/>
              <w:bottom w:val="single" w:sz="4" w:space="0" w:color="auto"/>
              <w:right w:val="single" w:sz="4" w:space="0" w:color="auto"/>
            </w:tcBorders>
            <w:noWrap/>
            <w:vAlign w:val="bottom"/>
            <w:hideMark/>
          </w:tcPr>
          <w:p w14:paraId="32A7AEB4" w14:textId="3C51B407" w:rsidR="00374988" w:rsidRPr="00374988" w:rsidRDefault="0E3D3F74" w:rsidP="0E3D3F74">
            <w:pPr>
              <w:spacing w:after="0"/>
              <w:jc w:val="right"/>
              <w:rPr>
                <w:rFonts w:ascii="Times New Roman" w:hAnsi="Times New Roman" w:cs="Times New Roman"/>
                <w:b/>
                <w:bCs/>
                <w:sz w:val="20"/>
                <w:szCs w:val="20"/>
              </w:rPr>
            </w:pPr>
            <w:r w:rsidRPr="0E3D3F74">
              <w:rPr>
                <w:rFonts w:ascii="Times New Roman" w:hAnsi="Times New Roman" w:cs="Times New Roman"/>
                <w:b/>
                <w:bCs/>
                <w:sz w:val="20"/>
                <w:szCs w:val="20"/>
              </w:rPr>
              <w:t>4,0</w:t>
            </w:r>
          </w:p>
        </w:tc>
        <w:tc>
          <w:tcPr>
            <w:tcW w:w="850" w:type="dxa"/>
            <w:tcBorders>
              <w:top w:val="nil"/>
              <w:left w:val="nil"/>
              <w:bottom w:val="single" w:sz="4" w:space="0" w:color="auto"/>
              <w:right w:val="single" w:sz="4" w:space="0" w:color="auto"/>
            </w:tcBorders>
            <w:noWrap/>
            <w:vAlign w:val="bottom"/>
            <w:hideMark/>
          </w:tcPr>
          <w:p w14:paraId="65E60E79" w14:textId="6EFA099E" w:rsidR="00374988" w:rsidRPr="00374988" w:rsidRDefault="4600C643" w:rsidP="4600C643">
            <w:pPr>
              <w:spacing w:after="0"/>
              <w:jc w:val="right"/>
              <w:rPr>
                <w:rFonts w:ascii="Times New Roman" w:hAnsi="Times New Roman" w:cs="Times New Roman"/>
                <w:b/>
                <w:bCs/>
                <w:sz w:val="20"/>
                <w:szCs w:val="20"/>
              </w:rPr>
            </w:pPr>
            <w:r w:rsidRPr="4600C643">
              <w:rPr>
                <w:rFonts w:ascii="Times New Roman" w:hAnsi="Times New Roman" w:cs="Times New Roman"/>
                <w:b/>
                <w:bCs/>
                <w:sz w:val="20"/>
                <w:szCs w:val="20"/>
              </w:rPr>
              <w:t>0,0</w:t>
            </w:r>
          </w:p>
        </w:tc>
        <w:tc>
          <w:tcPr>
            <w:tcW w:w="733" w:type="dxa"/>
            <w:tcBorders>
              <w:top w:val="nil"/>
              <w:left w:val="nil"/>
              <w:bottom w:val="single" w:sz="4" w:space="0" w:color="auto"/>
              <w:right w:val="single" w:sz="4" w:space="0" w:color="auto"/>
            </w:tcBorders>
            <w:noWrap/>
            <w:vAlign w:val="bottom"/>
            <w:hideMark/>
          </w:tcPr>
          <w:p w14:paraId="45C6250D" w14:textId="283C7AB1" w:rsidR="00374988" w:rsidRPr="00374988" w:rsidRDefault="4600C643" w:rsidP="4600C643">
            <w:pPr>
              <w:spacing w:after="0"/>
              <w:jc w:val="right"/>
              <w:rPr>
                <w:rFonts w:ascii="Times New Roman" w:hAnsi="Times New Roman" w:cs="Times New Roman"/>
                <w:b/>
                <w:bCs/>
                <w:sz w:val="20"/>
                <w:szCs w:val="20"/>
              </w:rPr>
            </w:pPr>
            <w:r w:rsidRPr="4600C643">
              <w:rPr>
                <w:rFonts w:ascii="Times New Roman" w:hAnsi="Times New Roman" w:cs="Times New Roman"/>
                <w:b/>
                <w:bCs/>
                <w:sz w:val="20"/>
                <w:szCs w:val="20"/>
              </w:rPr>
              <w:t>100,0</w:t>
            </w:r>
          </w:p>
        </w:tc>
      </w:tr>
      <w:tr w:rsidR="00374988" w:rsidRPr="002E70D5" w14:paraId="1F6A3088" w14:textId="77777777" w:rsidTr="0E3D3F74">
        <w:trPr>
          <w:trHeight w:val="218"/>
        </w:trPr>
        <w:tc>
          <w:tcPr>
            <w:tcW w:w="5720" w:type="dxa"/>
            <w:tcBorders>
              <w:top w:val="nil"/>
              <w:left w:val="single" w:sz="4" w:space="0" w:color="auto"/>
              <w:bottom w:val="single" w:sz="4" w:space="0" w:color="auto"/>
              <w:right w:val="single" w:sz="4" w:space="0" w:color="auto"/>
            </w:tcBorders>
            <w:noWrap/>
            <w:vAlign w:val="bottom"/>
            <w:hideMark/>
          </w:tcPr>
          <w:p w14:paraId="51606FF2" w14:textId="77777777" w:rsidR="00374988" w:rsidRPr="002E70D5" w:rsidRDefault="4600C643" w:rsidP="4600C643">
            <w:pPr>
              <w:spacing w:after="0"/>
              <w:ind w:firstLineChars="100" w:firstLine="200"/>
              <w:rPr>
                <w:rFonts w:ascii="Times New Roman" w:hAnsi="Times New Roman" w:cs="Times New Roman"/>
                <w:i/>
                <w:iCs/>
                <w:color w:val="000000" w:themeColor="text1"/>
                <w:sz w:val="20"/>
                <w:szCs w:val="20"/>
              </w:rPr>
            </w:pPr>
            <w:r w:rsidRPr="4600C643">
              <w:rPr>
                <w:rFonts w:ascii="Times New Roman" w:hAnsi="Times New Roman" w:cs="Times New Roman"/>
                <w:i/>
                <w:iCs/>
                <w:color w:val="000000" w:themeColor="text1"/>
                <w:sz w:val="20"/>
                <w:szCs w:val="20"/>
              </w:rPr>
              <w:t xml:space="preserve">Ebből: </w:t>
            </w:r>
          </w:p>
        </w:tc>
        <w:tc>
          <w:tcPr>
            <w:tcW w:w="944" w:type="dxa"/>
            <w:tcBorders>
              <w:top w:val="nil"/>
              <w:left w:val="single" w:sz="4" w:space="0" w:color="auto"/>
              <w:bottom w:val="single" w:sz="4" w:space="0" w:color="auto"/>
              <w:right w:val="single" w:sz="4" w:space="0" w:color="auto"/>
            </w:tcBorders>
            <w:noWrap/>
            <w:vAlign w:val="bottom"/>
            <w:hideMark/>
          </w:tcPr>
          <w:p w14:paraId="7BB378B1" w14:textId="32B1285D" w:rsidR="00374988" w:rsidRPr="00374988" w:rsidRDefault="00374988" w:rsidP="1D3ABBAA">
            <w:pPr>
              <w:spacing w:after="0"/>
              <w:jc w:val="right"/>
              <w:rPr>
                <w:rFonts w:ascii="Times New Roman" w:hAnsi="Times New Roman" w:cs="Times New Roman"/>
                <w:sz w:val="20"/>
                <w:szCs w:val="20"/>
              </w:rPr>
            </w:pPr>
          </w:p>
        </w:tc>
        <w:tc>
          <w:tcPr>
            <w:tcW w:w="991" w:type="dxa"/>
            <w:tcBorders>
              <w:top w:val="nil"/>
              <w:left w:val="nil"/>
              <w:bottom w:val="single" w:sz="4" w:space="0" w:color="auto"/>
              <w:right w:val="single" w:sz="4" w:space="0" w:color="auto"/>
            </w:tcBorders>
            <w:noWrap/>
            <w:vAlign w:val="bottom"/>
            <w:hideMark/>
          </w:tcPr>
          <w:p w14:paraId="2F2A2014" w14:textId="0DB6691C" w:rsidR="00374988" w:rsidRPr="00374988" w:rsidRDefault="00374988" w:rsidP="1D3ABBAA">
            <w:pPr>
              <w:spacing w:after="0"/>
              <w:jc w:val="right"/>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noWrap/>
            <w:vAlign w:val="bottom"/>
            <w:hideMark/>
          </w:tcPr>
          <w:p w14:paraId="7E1D69D1" w14:textId="60615FDD" w:rsidR="00374988" w:rsidRPr="00374988" w:rsidRDefault="00374988" w:rsidP="1D3ABBAA">
            <w:pPr>
              <w:spacing w:after="0"/>
              <w:jc w:val="right"/>
              <w:rPr>
                <w:rFonts w:ascii="Times New Roman" w:hAnsi="Times New Roman" w:cs="Times New Roman"/>
                <w:sz w:val="20"/>
                <w:szCs w:val="20"/>
              </w:rPr>
            </w:pPr>
          </w:p>
        </w:tc>
        <w:tc>
          <w:tcPr>
            <w:tcW w:w="733" w:type="dxa"/>
            <w:tcBorders>
              <w:top w:val="nil"/>
              <w:left w:val="nil"/>
              <w:bottom w:val="single" w:sz="4" w:space="0" w:color="auto"/>
              <w:right w:val="single" w:sz="4" w:space="0" w:color="auto"/>
            </w:tcBorders>
            <w:noWrap/>
            <w:vAlign w:val="bottom"/>
            <w:hideMark/>
          </w:tcPr>
          <w:p w14:paraId="49716CDD" w14:textId="6A02F8FE" w:rsidR="00374988" w:rsidRPr="00374988" w:rsidRDefault="4600C643" w:rsidP="4600C643">
            <w:pPr>
              <w:spacing w:after="0"/>
              <w:jc w:val="right"/>
              <w:rPr>
                <w:rFonts w:ascii="Times New Roman" w:hAnsi="Times New Roman" w:cs="Times New Roman"/>
                <w:sz w:val="20"/>
                <w:szCs w:val="20"/>
              </w:rPr>
            </w:pPr>
            <w:r w:rsidRPr="4600C643">
              <w:rPr>
                <w:rFonts w:ascii="Times New Roman" w:hAnsi="Times New Roman" w:cs="Times New Roman"/>
                <w:sz w:val="20"/>
                <w:szCs w:val="20"/>
              </w:rPr>
              <w:t> </w:t>
            </w:r>
          </w:p>
        </w:tc>
      </w:tr>
      <w:tr w:rsidR="00374988" w:rsidRPr="002E70D5" w14:paraId="084817F6" w14:textId="77777777" w:rsidTr="0E3D3F74">
        <w:trPr>
          <w:trHeight w:val="218"/>
        </w:trPr>
        <w:tc>
          <w:tcPr>
            <w:tcW w:w="5720" w:type="dxa"/>
            <w:tcBorders>
              <w:top w:val="nil"/>
              <w:left w:val="single" w:sz="4" w:space="0" w:color="auto"/>
              <w:bottom w:val="single" w:sz="4" w:space="0" w:color="auto"/>
              <w:right w:val="single" w:sz="4" w:space="0" w:color="auto"/>
            </w:tcBorders>
            <w:noWrap/>
            <w:vAlign w:val="bottom"/>
            <w:hideMark/>
          </w:tcPr>
          <w:p w14:paraId="47D48781" w14:textId="77777777" w:rsidR="00374988" w:rsidRPr="002E70D5" w:rsidRDefault="4600C643" w:rsidP="4600C643">
            <w:pPr>
              <w:spacing w:after="0"/>
              <w:ind w:firstLineChars="400" w:firstLine="800"/>
              <w:rPr>
                <w:rFonts w:ascii="Times New Roman" w:hAnsi="Times New Roman" w:cs="Times New Roman"/>
                <w:i/>
                <w:iCs/>
                <w:color w:val="000000" w:themeColor="text1"/>
                <w:sz w:val="20"/>
                <w:szCs w:val="20"/>
              </w:rPr>
            </w:pPr>
            <w:r w:rsidRPr="4600C643">
              <w:rPr>
                <w:rFonts w:ascii="Times New Roman" w:hAnsi="Times New Roman" w:cs="Times New Roman"/>
                <w:i/>
                <w:iCs/>
                <w:color w:val="000000" w:themeColor="text1"/>
                <w:sz w:val="20"/>
                <w:szCs w:val="20"/>
              </w:rPr>
              <w:t>közgyógyellátás</w:t>
            </w:r>
          </w:p>
        </w:tc>
        <w:tc>
          <w:tcPr>
            <w:tcW w:w="944" w:type="dxa"/>
            <w:tcBorders>
              <w:top w:val="nil"/>
              <w:left w:val="single" w:sz="4" w:space="0" w:color="auto"/>
              <w:bottom w:val="single" w:sz="4" w:space="0" w:color="auto"/>
              <w:right w:val="single" w:sz="4" w:space="0" w:color="auto"/>
            </w:tcBorders>
            <w:noWrap/>
            <w:vAlign w:val="bottom"/>
            <w:hideMark/>
          </w:tcPr>
          <w:p w14:paraId="3F5F3F3F" w14:textId="37C1A39F"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2,7</w:t>
            </w:r>
          </w:p>
        </w:tc>
        <w:tc>
          <w:tcPr>
            <w:tcW w:w="991" w:type="dxa"/>
            <w:tcBorders>
              <w:top w:val="nil"/>
              <w:left w:val="nil"/>
              <w:bottom w:val="single" w:sz="4" w:space="0" w:color="auto"/>
              <w:right w:val="single" w:sz="4" w:space="0" w:color="auto"/>
            </w:tcBorders>
            <w:noWrap/>
            <w:vAlign w:val="bottom"/>
            <w:hideMark/>
          </w:tcPr>
          <w:p w14:paraId="440A367E" w14:textId="749010CD" w:rsidR="00374988" w:rsidRPr="00374988" w:rsidRDefault="0E3D3F74" w:rsidP="0E3D3F74">
            <w:pPr>
              <w:spacing w:after="0"/>
              <w:jc w:val="right"/>
              <w:rPr>
                <w:rFonts w:ascii="Times New Roman" w:hAnsi="Times New Roman" w:cs="Times New Roman"/>
                <w:sz w:val="20"/>
                <w:szCs w:val="20"/>
              </w:rPr>
            </w:pPr>
            <w:r w:rsidRPr="0E3D3F74">
              <w:rPr>
                <w:rFonts w:ascii="Times New Roman" w:hAnsi="Times New Roman" w:cs="Times New Roman"/>
                <w:sz w:val="20"/>
                <w:szCs w:val="20"/>
              </w:rPr>
              <w:t>2,7</w:t>
            </w:r>
          </w:p>
        </w:tc>
        <w:tc>
          <w:tcPr>
            <w:tcW w:w="850" w:type="dxa"/>
            <w:tcBorders>
              <w:top w:val="nil"/>
              <w:left w:val="nil"/>
              <w:bottom w:val="single" w:sz="4" w:space="0" w:color="auto"/>
              <w:right w:val="single" w:sz="4" w:space="0" w:color="auto"/>
            </w:tcBorders>
            <w:noWrap/>
            <w:vAlign w:val="bottom"/>
            <w:hideMark/>
          </w:tcPr>
          <w:p w14:paraId="56D95B1C" w14:textId="0FBE93C7" w:rsidR="00374988" w:rsidRPr="00374988" w:rsidRDefault="4600C643" w:rsidP="4600C643">
            <w:pPr>
              <w:spacing w:after="0"/>
              <w:jc w:val="right"/>
              <w:rPr>
                <w:rFonts w:ascii="Times New Roman" w:hAnsi="Times New Roman" w:cs="Times New Roman"/>
                <w:sz w:val="20"/>
                <w:szCs w:val="20"/>
              </w:rPr>
            </w:pPr>
            <w:r w:rsidRPr="4600C643">
              <w:rPr>
                <w:rFonts w:ascii="Times New Roman" w:hAnsi="Times New Roman" w:cs="Times New Roman"/>
                <w:sz w:val="20"/>
                <w:szCs w:val="20"/>
              </w:rPr>
              <w:t>0,0</w:t>
            </w:r>
          </w:p>
        </w:tc>
        <w:tc>
          <w:tcPr>
            <w:tcW w:w="733" w:type="dxa"/>
            <w:tcBorders>
              <w:top w:val="nil"/>
              <w:left w:val="nil"/>
              <w:bottom w:val="single" w:sz="4" w:space="0" w:color="auto"/>
              <w:right w:val="single" w:sz="4" w:space="0" w:color="auto"/>
            </w:tcBorders>
            <w:noWrap/>
            <w:vAlign w:val="bottom"/>
            <w:hideMark/>
          </w:tcPr>
          <w:p w14:paraId="6B892B1E" w14:textId="558123F8" w:rsidR="00374988" w:rsidRPr="00374988" w:rsidRDefault="4600C643" w:rsidP="4600C643">
            <w:pPr>
              <w:spacing w:after="0"/>
              <w:jc w:val="right"/>
              <w:rPr>
                <w:rFonts w:ascii="Times New Roman" w:hAnsi="Times New Roman" w:cs="Times New Roman"/>
                <w:sz w:val="20"/>
                <w:szCs w:val="20"/>
              </w:rPr>
            </w:pPr>
            <w:r w:rsidRPr="4600C643">
              <w:rPr>
                <w:rFonts w:ascii="Times New Roman" w:hAnsi="Times New Roman" w:cs="Times New Roman"/>
                <w:sz w:val="20"/>
                <w:szCs w:val="20"/>
              </w:rPr>
              <w:t>100,0</w:t>
            </w:r>
          </w:p>
        </w:tc>
      </w:tr>
      <w:tr w:rsidR="00374988" w:rsidRPr="002E70D5" w14:paraId="4A95CF06" w14:textId="77777777" w:rsidTr="0E3D3F74">
        <w:trPr>
          <w:trHeight w:val="218"/>
        </w:trPr>
        <w:tc>
          <w:tcPr>
            <w:tcW w:w="5720" w:type="dxa"/>
            <w:tcBorders>
              <w:top w:val="nil"/>
              <w:left w:val="single" w:sz="4" w:space="0" w:color="auto"/>
              <w:bottom w:val="single" w:sz="4" w:space="0" w:color="auto"/>
              <w:right w:val="single" w:sz="4" w:space="0" w:color="auto"/>
            </w:tcBorders>
            <w:noWrap/>
            <w:vAlign w:val="bottom"/>
            <w:hideMark/>
          </w:tcPr>
          <w:p w14:paraId="50CBE7CC" w14:textId="77777777" w:rsidR="00374988" w:rsidRPr="002E70D5" w:rsidRDefault="4600C643" w:rsidP="4600C643">
            <w:pPr>
              <w:spacing w:after="0"/>
              <w:rPr>
                <w:rFonts w:ascii="Times New Roman" w:hAnsi="Times New Roman" w:cs="Times New Roman"/>
                <w:b/>
                <w:bCs/>
                <w:color w:val="000000" w:themeColor="text1"/>
                <w:sz w:val="20"/>
                <w:szCs w:val="20"/>
              </w:rPr>
            </w:pPr>
            <w:r w:rsidRPr="4600C643">
              <w:rPr>
                <w:rFonts w:ascii="Times New Roman" w:hAnsi="Times New Roman" w:cs="Times New Roman"/>
                <w:b/>
                <w:bCs/>
                <w:color w:val="000000" w:themeColor="text1"/>
                <w:sz w:val="20"/>
                <w:szCs w:val="20"/>
              </w:rPr>
              <w:t>Összesen</w:t>
            </w:r>
          </w:p>
        </w:tc>
        <w:tc>
          <w:tcPr>
            <w:tcW w:w="944" w:type="dxa"/>
            <w:tcBorders>
              <w:top w:val="nil"/>
              <w:left w:val="single" w:sz="4" w:space="0" w:color="auto"/>
              <w:bottom w:val="single" w:sz="4" w:space="0" w:color="auto"/>
              <w:right w:val="single" w:sz="4" w:space="0" w:color="auto"/>
            </w:tcBorders>
            <w:noWrap/>
            <w:vAlign w:val="bottom"/>
            <w:hideMark/>
          </w:tcPr>
          <w:p w14:paraId="39885620" w14:textId="436783D5" w:rsidR="00374988" w:rsidRPr="00374988" w:rsidRDefault="0E3D3F74" w:rsidP="0E3D3F74">
            <w:pPr>
              <w:spacing w:after="0"/>
              <w:jc w:val="right"/>
              <w:rPr>
                <w:rFonts w:ascii="Times New Roman" w:hAnsi="Times New Roman" w:cs="Times New Roman"/>
                <w:b/>
                <w:bCs/>
                <w:sz w:val="20"/>
                <w:szCs w:val="20"/>
              </w:rPr>
            </w:pPr>
            <w:r w:rsidRPr="0E3D3F74">
              <w:rPr>
                <w:rFonts w:ascii="Times New Roman" w:hAnsi="Times New Roman" w:cs="Times New Roman"/>
                <w:b/>
                <w:bCs/>
                <w:sz w:val="20"/>
                <w:szCs w:val="20"/>
              </w:rPr>
              <w:t>134,7</w:t>
            </w:r>
          </w:p>
        </w:tc>
        <w:tc>
          <w:tcPr>
            <w:tcW w:w="991" w:type="dxa"/>
            <w:tcBorders>
              <w:top w:val="nil"/>
              <w:left w:val="nil"/>
              <w:bottom w:val="single" w:sz="4" w:space="0" w:color="auto"/>
              <w:right w:val="single" w:sz="4" w:space="0" w:color="auto"/>
            </w:tcBorders>
            <w:noWrap/>
            <w:vAlign w:val="bottom"/>
            <w:hideMark/>
          </w:tcPr>
          <w:p w14:paraId="3E5CDB5F" w14:textId="634606FE" w:rsidR="00374988" w:rsidRPr="00374988" w:rsidRDefault="0E3D3F74" w:rsidP="0E3D3F74">
            <w:pPr>
              <w:spacing w:after="0"/>
              <w:jc w:val="right"/>
              <w:rPr>
                <w:rFonts w:ascii="Times New Roman" w:hAnsi="Times New Roman" w:cs="Times New Roman"/>
                <w:b/>
                <w:bCs/>
                <w:sz w:val="20"/>
                <w:szCs w:val="20"/>
              </w:rPr>
            </w:pPr>
            <w:r w:rsidRPr="0E3D3F74">
              <w:rPr>
                <w:rFonts w:ascii="Times New Roman" w:hAnsi="Times New Roman" w:cs="Times New Roman"/>
                <w:b/>
                <w:bCs/>
                <w:sz w:val="20"/>
                <w:szCs w:val="20"/>
              </w:rPr>
              <w:t>140,5</w:t>
            </w:r>
          </w:p>
        </w:tc>
        <w:tc>
          <w:tcPr>
            <w:tcW w:w="850" w:type="dxa"/>
            <w:tcBorders>
              <w:top w:val="nil"/>
              <w:left w:val="nil"/>
              <w:bottom w:val="single" w:sz="4" w:space="0" w:color="auto"/>
              <w:right w:val="single" w:sz="4" w:space="0" w:color="auto"/>
            </w:tcBorders>
            <w:noWrap/>
            <w:vAlign w:val="bottom"/>
            <w:hideMark/>
          </w:tcPr>
          <w:p w14:paraId="0B58ABDF" w14:textId="2BF8BCD2" w:rsidR="00374988" w:rsidRPr="00374988" w:rsidRDefault="0E3D3F74" w:rsidP="0E3D3F74">
            <w:pPr>
              <w:spacing w:after="0"/>
              <w:jc w:val="right"/>
              <w:rPr>
                <w:rFonts w:ascii="Times New Roman" w:hAnsi="Times New Roman" w:cs="Times New Roman"/>
                <w:b/>
                <w:bCs/>
                <w:sz w:val="20"/>
                <w:szCs w:val="20"/>
              </w:rPr>
            </w:pPr>
            <w:r w:rsidRPr="0E3D3F74">
              <w:rPr>
                <w:rFonts w:ascii="Times New Roman" w:hAnsi="Times New Roman" w:cs="Times New Roman"/>
                <w:b/>
                <w:bCs/>
                <w:sz w:val="20"/>
                <w:szCs w:val="20"/>
              </w:rPr>
              <w:t>5,8</w:t>
            </w:r>
          </w:p>
        </w:tc>
        <w:tc>
          <w:tcPr>
            <w:tcW w:w="733" w:type="dxa"/>
            <w:tcBorders>
              <w:top w:val="nil"/>
              <w:left w:val="nil"/>
              <w:bottom w:val="single" w:sz="4" w:space="0" w:color="auto"/>
              <w:right w:val="single" w:sz="4" w:space="0" w:color="auto"/>
            </w:tcBorders>
            <w:noWrap/>
            <w:vAlign w:val="bottom"/>
            <w:hideMark/>
          </w:tcPr>
          <w:p w14:paraId="63C6541D" w14:textId="41E80789" w:rsidR="00374988" w:rsidRPr="00374988" w:rsidRDefault="0E3D3F74" w:rsidP="0E3D3F74">
            <w:pPr>
              <w:spacing w:after="0"/>
              <w:jc w:val="right"/>
              <w:rPr>
                <w:rFonts w:ascii="Times New Roman" w:hAnsi="Times New Roman" w:cs="Times New Roman"/>
                <w:b/>
                <w:bCs/>
                <w:sz w:val="20"/>
                <w:szCs w:val="20"/>
              </w:rPr>
            </w:pPr>
            <w:r w:rsidRPr="0E3D3F74">
              <w:rPr>
                <w:rFonts w:ascii="Times New Roman" w:hAnsi="Times New Roman" w:cs="Times New Roman"/>
                <w:b/>
                <w:bCs/>
                <w:sz w:val="20"/>
                <w:szCs w:val="20"/>
              </w:rPr>
              <w:t>104,3</w:t>
            </w:r>
          </w:p>
        </w:tc>
      </w:tr>
    </w:tbl>
    <w:p w14:paraId="56F3D7AD" w14:textId="07B82075" w:rsidR="0E3D3F74" w:rsidRDefault="0E3D3F74" w:rsidP="00A36AD4">
      <w:pPr>
        <w:spacing w:before="240"/>
        <w:jc w:val="both"/>
      </w:pPr>
      <w:r w:rsidRPr="0E3D3F74">
        <w:rPr>
          <w:rFonts w:ascii="Times New Roman" w:eastAsia="Times New Roman" w:hAnsi="Times New Roman" w:cs="Times New Roman"/>
          <w:sz w:val="26"/>
          <w:szCs w:val="26"/>
        </w:rPr>
        <w:t xml:space="preserve">A </w:t>
      </w:r>
      <w:r w:rsidRPr="0E3D3F74">
        <w:rPr>
          <w:rFonts w:ascii="Times New Roman" w:eastAsia="Times New Roman" w:hAnsi="Times New Roman" w:cs="Times New Roman"/>
          <w:b/>
          <w:bCs/>
          <w:sz w:val="26"/>
          <w:szCs w:val="26"/>
        </w:rPr>
        <w:t>családi támogatásokra</w:t>
      </w:r>
      <w:r w:rsidRPr="0E3D3F74">
        <w:rPr>
          <w:rFonts w:ascii="Times New Roman" w:eastAsia="Times New Roman" w:hAnsi="Times New Roman" w:cs="Times New Roman"/>
          <w:sz w:val="26"/>
          <w:szCs w:val="26"/>
        </w:rPr>
        <w:t xml:space="preserve"> 2026 első két hónapjában összesen 67,1 milliárd forintot fizettek ki, amely 0,7 milliárd forinttal volt alacsonyabb az előző évi teljesítésnél.</w:t>
      </w:r>
    </w:p>
    <w:p w14:paraId="2D713F8A" w14:textId="30297C4F" w:rsidR="0E3D3F74" w:rsidRDefault="0E3D3F74" w:rsidP="0E3D3F74">
      <w:pPr>
        <w:jc w:val="both"/>
      </w:pPr>
      <w:r w:rsidRPr="0E3D3F74">
        <w:rPr>
          <w:rFonts w:ascii="Times New Roman" w:eastAsia="Times New Roman" w:hAnsi="Times New Roman" w:cs="Times New Roman"/>
          <w:sz w:val="26"/>
          <w:szCs w:val="26"/>
        </w:rPr>
        <w:t xml:space="preserve">A </w:t>
      </w:r>
      <w:r w:rsidRPr="0E3D3F74">
        <w:rPr>
          <w:rFonts w:ascii="Times New Roman" w:eastAsia="Times New Roman" w:hAnsi="Times New Roman" w:cs="Times New Roman"/>
          <w:b/>
          <w:bCs/>
          <w:sz w:val="26"/>
          <w:szCs w:val="26"/>
        </w:rPr>
        <w:t>korhatár alatti ellátások</w:t>
      </w:r>
      <w:r w:rsidRPr="0E3D3F74">
        <w:rPr>
          <w:rFonts w:ascii="Times New Roman" w:eastAsia="Times New Roman" w:hAnsi="Times New Roman" w:cs="Times New Roman"/>
          <w:sz w:val="26"/>
          <w:szCs w:val="26"/>
        </w:rPr>
        <w:t xml:space="preserve"> esetében a kiadás 1,8 milliárd forinttal magasabb volt az előző év azonos időszakához képest. A kiadások növekedését elsősorban az okozta, hogy februárban a korhatár előtti ellátásban részesülő személyek is részesültek 13. havi ellátásban és </w:t>
      </w:r>
      <w:r w:rsidR="00877E09">
        <w:rPr>
          <w:rFonts w:ascii="Times New Roman" w:eastAsia="Times New Roman" w:hAnsi="Times New Roman" w:cs="Times New Roman"/>
          <w:sz w:val="26"/>
          <w:szCs w:val="26"/>
        </w:rPr>
        <w:t xml:space="preserve">a </w:t>
      </w:r>
      <w:r w:rsidRPr="0E3D3F74">
        <w:rPr>
          <w:rFonts w:ascii="Times New Roman" w:eastAsia="Times New Roman" w:hAnsi="Times New Roman" w:cs="Times New Roman"/>
          <w:sz w:val="26"/>
          <w:szCs w:val="26"/>
        </w:rPr>
        <w:t>14. havi ellátás 25%-ában. Ezen túlmenően januárban sor került – az öregségi nyugdíjakhoz hasonlóan – az ellátások 3,6%-os emelésére is.</w:t>
      </w:r>
    </w:p>
    <w:p w14:paraId="65F2FAEA" w14:textId="6E3A84BF" w:rsidR="0E3D3F74" w:rsidRDefault="0E3D3F74" w:rsidP="0E3D3F74">
      <w:pPr>
        <w:jc w:val="both"/>
      </w:pPr>
      <w:r w:rsidRPr="0E3D3F74">
        <w:rPr>
          <w:rFonts w:ascii="Times New Roman" w:eastAsia="Times New Roman" w:hAnsi="Times New Roman" w:cs="Times New Roman"/>
          <w:sz w:val="26"/>
          <w:szCs w:val="26"/>
        </w:rPr>
        <w:t xml:space="preserve">2026 február végéig a </w:t>
      </w:r>
      <w:r w:rsidRPr="00877E09">
        <w:rPr>
          <w:rFonts w:ascii="Times New Roman" w:eastAsia="Times New Roman" w:hAnsi="Times New Roman" w:cs="Times New Roman"/>
          <w:b/>
          <w:bCs/>
          <w:sz w:val="26"/>
          <w:szCs w:val="26"/>
        </w:rPr>
        <w:t>jövedelempótló és jövedelemkiegészítő szociális támogatásokra</w:t>
      </w:r>
      <w:r w:rsidRPr="0E3D3F74">
        <w:rPr>
          <w:rFonts w:ascii="Times New Roman" w:eastAsia="Times New Roman" w:hAnsi="Times New Roman" w:cs="Times New Roman"/>
          <w:sz w:val="26"/>
          <w:szCs w:val="26"/>
        </w:rPr>
        <w:t xml:space="preserve"> biztosított kiadásokon belül a </w:t>
      </w:r>
      <w:r w:rsidRPr="00877E09">
        <w:rPr>
          <w:rFonts w:ascii="Times New Roman" w:eastAsia="Times New Roman" w:hAnsi="Times New Roman" w:cs="Times New Roman"/>
          <w:sz w:val="26"/>
          <w:szCs w:val="26"/>
        </w:rPr>
        <w:t xml:space="preserve">járási szociális feladatok ellátására </w:t>
      </w:r>
      <w:r w:rsidRPr="0E3D3F74">
        <w:rPr>
          <w:rFonts w:ascii="Times New Roman" w:eastAsia="Times New Roman" w:hAnsi="Times New Roman" w:cs="Times New Roman"/>
          <w:sz w:val="26"/>
          <w:szCs w:val="26"/>
        </w:rPr>
        <w:t>(gyermekek otthongondozási díja, ápolási díj, időskorúak járadéka, foglalkoztatást helyettesítő támogatás, egészségkárosodási és gyermekfelügyeleti támogatás) 20,4</w:t>
      </w:r>
      <w:r w:rsidR="00877E09">
        <w:rPr>
          <w:rFonts w:ascii="Times New Roman" w:eastAsia="Times New Roman" w:hAnsi="Times New Roman" w:cs="Times New Roman"/>
          <w:sz w:val="26"/>
          <w:szCs w:val="26"/>
        </w:rPr>
        <w:t> </w:t>
      </w:r>
      <w:r w:rsidRPr="0E3D3F74">
        <w:rPr>
          <w:rFonts w:ascii="Times New Roman" w:eastAsia="Times New Roman" w:hAnsi="Times New Roman" w:cs="Times New Roman"/>
          <w:sz w:val="26"/>
          <w:szCs w:val="26"/>
        </w:rPr>
        <w:t>milliárd</w:t>
      </w:r>
      <w:r w:rsidR="00877E09">
        <w:rPr>
          <w:rFonts w:ascii="Times New Roman" w:eastAsia="Times New Roman" w:hAnsi="Times New Roman" w:cs="Times New Roman"/>
          <w:sz w:val="26"/>
          <w:szCs w:val="26"/>
        </w:rPr>
        <w:t> </w:t>
      </w:r>
      <w:r w:rsidRPr="0E3D3F74">
        <w:rPr>
          <w:rFonts w:ascii="Times New Roman" w:eastAsia="Times New Roman" w:hAnsi="Times New Roman" w:cs="Times New Roman"/>
          <w:sz w:val="26"/>
          <w:szCs w:val="26"/>
        </w:rPr>
        <w:t xml:space="preserve">forintot fordítottak, mely 2,8 milliárd forinttal magasabb az előző évi adatnál. A növekedést az okozza, hogy 2026. januártól a gyermekek otthongondozási díj összege a minimálbér </w:t>
      </w:r>
      <w:r w:rsidRPr="0E3D3F74">
        <w:rPr>
          <w:rFonts w:ascii="Times New Roman" w:eastAsia="Times New Roman" w:hAnsi="Times New Roman" w:cs="Times New Roman"/>
          <w:sz w:val="26"/>
          <w:szCs w:val="26"/>
        </w:rPr>
        <w:lastRenderedPageBreak/>
        <w:t xml:space="preserve">emelkedése miatt (290 800 forintról 322 800 forintra) emelkedett, az ápolási díj összege pedig 3,6%-kal nőtt. </w:t>
      </w:r>
    </w:p>
    <w:p w14:paraId="24550FF5" w14:textId="1D1702BB" w:rsidR="0E3D3F74" w:rsidRDefault="0E3D3F74" w:rsidP="0E3D3F74">
      <w:pPr>
        <w:jc w:val="both"/>
      </w:pPr>
      <w:r w:rsidRPr="0E3D3F74">
        <w:rPr>
          <w:rFonts w:ascii="Times New Roman" w:eastAsia="Times New Roman" w:hAnsi="Times New Roman" w:cs="Times New Roman"/>
          <w:sz w:val="26"/>
          <w:szCs w:val="26"/>
        </w:rPr>
        <w:t xml:space="preserve">A </w:t>
      </w:r>
      <w:r w:rsidRPr="0E3D3F74">
        <w:rPr>
          <w:rFonts w:ascii="Times New Roman" w:eastAsia="Times New Roman" w:hAnsi="Times New Roman" w:cs="Times New Roman"/>
          <w:b/>
          <w:bCs/>
          <w:sz w:val="26"/>
          <w:szCs w:val="26"/>
        </w:rPr>
        <w:t>Jövedelempótló és jövedelemkiegészítő ellátások</w:t>
      </w:r>
      <w:r w:rsidRPr="0E3D3F74">
        <w:rPr>
          <w:rFonts w:ascii="Times New Roman" w:eastAsia="Times New Roman" w:hAnsi="Times New Roman" w:cs="Times New Roman"/>
          <w:sz w:val="26"/>
          <w:szCs w:val="26"/>
        </w:rPr>
        <w:t xml:space="preserve"> előirányzat tartalmazza a</w:t>
      </w:r>
      <w:r w:rsidR="00A36AD4">
        <w:rPr>
          <w:rFonts w:ascii="Times New Roman" w:eastAsia="Times New Roman" w:hAnsi="Times New Roman" w:cs="Times New Roman"/>
          <w:sz w:val="26"/>
          <w:szCs w:val="26"/>
        </w:rPr>
        <w:t> </w:t>
      </w:r>
      <w:r w:rsidRPr="0E3D3F74">
        <w:rPr>
          <w:rFonts w:ascii="Times New Roman" w:eastAsia="Times New Roman" w:hAnsi="Times New Roman" w:cs="Times New Roman"/>
          <w:sz w:val="26"/>
          <w:szCs w:val="26"/>
        </w:rPr>
        <w:t>fogyatékossági támogatás, a vakok személyi járadéka, az átmeneti bányászjáradék és számos további, jellemzően kifutó jellegű ellátás (pl. mezőgazdasági járadék, politikai rehabilitációs és más nyugdíj-kiegészítések, házastársi pótlék) forrását. A jövedelempótló és jövedelemkiegészítő ellátásokra 18,8</w:t>
      </w:r>
      <w:r w:rsidR="00877E09">
        <w:rPr>
          <w:rFonts w:ascii="Times New Roman" w:eastAsia="Times New Roman" w:hAnsi="Times New Roman" w:cs="Times New Roman"/>
          <w:sz w:val="26"/>
          <w:szCs w:val="26"/>
        </w:rPr>
        <w:t> </w:t>
      </w:r>
      <w:r w:rsidRPr="0E3D3F74">
        <w:rPr>
          <w:rFonts w:ascii="Times New Roman" w:eastAsia="Times New Roman" w:hAnsi="Times New Roman" w:cs="Times New Roman"/>
          <w:sz w:val="26"/>
          <w:szCs w:val="26"/>
        </w:rPr>
        <w:t>milliárd</w:t>
      </w:r>
      <w:r w:rsidR="00877E09">
        <w:rPr>
          <w:rFonts w:ascii="Times New Roman" w:eastAsia="Times New Roman" w:hAnsi="Times New Roman" w:cs="Times New Roman"/>
          <w:sz w:val="26"/>
          <w:szCs w:val="26"/>
        </w:rPr>
        <w:t> </w:t>
      </w:r>
      <w:r w:rsidRPr="0E3D3F74">
        <w:rPr>
          <w:rFonts w:ascii="Times New Roman" w:eastAsia="Times New Roman" w:hAnsi="Times New Roman" w:cs="Times New Roman"/>
          <w:sz w:val="26"/>
          <w:szCs w:val="26"/>
        </w:rPr>
        <w:t>forintot fizettek ki, mely az előző évi kifizetésénél 1,8 milliárd forinttal magasabb. A kiadások növekedését egyes ellátások januárban végrehajtott 3,6%-os emelésének, valamint a 2026.</w:t>
      </w:r>
      <w:r w:rsidR="00877E09">
        <w:rPr>
          <w:rFonts w:ascii="Times New Roman" w:eastAsia="Times New Roman" w:hAnsi="Times New Roman" w:cs="Times New Roman"/>
          <w:sz w:val="26"/>
          <w:szCs w:val="26"/>
        </w:rPr>
        <w:t> </w:t>
      </w:r>
      <w:r w:rsidRPr="0E3D3F74">
        <w:rPr>
          <w:rFonts w:ascii="Times New Roman" w:eastAsia="Times New Roman" w:hAnsi="Times New Roman" w:cs="Times New Roman"/>
          <w:sz w:val="26"/>
          <w:szCs w:val="26"/>
        </w:rPr>
        <w:t>februárjában kifizetett 13.</w:t>
      </w:r>
      <w:r w:rsidR="00A36AD4">
        <w:rPr>
          <w:rFonts w:ascii="Times New Roman" w:eastAsia="Times New Roman" w:hAnsi="Times New Roman" w:cs="Times New Roman"/>
          <w:sz w:val="26"/>
          <w:szCs w:val="26"/>
        </w:rPr>
        <w:t> </w:t>
      </w:r>
      <w:r w:rsidRPr="0E3D3F74">
        <w:rPr>
          <w:rFonts w:ascii="Times New Roman" w:eastAsia="Times New Roman" w:hAnsi="Times New Roman" w:cs="Times New Roman"/>
          <w:sz w:val="26"/>
          <w:szCs w:val="26"/>
        </w:rPr>
        <w:t xml:space="preserve">havi ellátásnak és </w:t>
      </w:r>
      <w:r w:rsidR="00877E09">
        <w:rPr>
          <w:rFonts w:ascii="Times New Roman" w:eastAsia="Times New Roman" w:hAnsi="Times New Roman" w:cs="Times New Roman"/>
          <w:sz w:val="26"/>
          <w:szCs w:val="26"/>
        </w:rPr>
        <w:t xml:space="preserve">a </w:t>
      </w:r>
      <w:r w:rsidRPr="0E3D3F74">
        <w:rPr>
          <w:rFonts w:ascii="Times New Roman" w:eastAsia="Times New Roman" w:hAnsi="Times New Roman" w:cs="Times New Roman"/>
          <w:sz w:val="26"/>
          <w:szCs w:val="26"/>
        </w:rPr>
        <w:t xml:space="preserve">14. havi ellátás 25%-ának hatása okozza. </w:t>
      </w:r>
    </w:p>
    <w:p w14:paraId="3308F98C" w14:textId="722602A5" w:rsidR="0E3D3F74" w:rsidRDefault="0E3D3F74" w:rsidP="0E3D3F74">
      <w:pPr>
        <w:jc w:val="both"/>
      </w:pPr>
      <w:r w:rsidRPr="0E3D3F74">
        <w:rPr>
          <w:rFonts w:ascii="Times New Roman" w:eastAsia="Times New Roman" w:hAnsi="Times New Roman" w:cs="Times New Roman"/>
          <w:sz w:val="26"/>
          <w:szCs w:val="26"/>
        </w:rPr>
        <w:t xml:space="preserve">A </w:t>
      </w:r>
      <w:r w:rsidRPr="0E3D3F74">
        <w:rPr>
          <w:rFonts w:ascii="Times New Roman" w:eastAsia="Times New Roman" w:hAnsi="Times New Roman" w:cs="Times New Roman"/>
          <w:b/>
          <w:bCs/>
          <w:sz w:val="26"/>
          <w:szCs w:val="26"/>
        </w:rPr>
        <w:t>különféle jogcímen adott térítések</w:t>
      </w:r>
      <w:r w:rsidRPr="0E3D3F74">
        <w:rPr>
          <w:rFonts w:ascii="Times New Roman" w:eastAsia="Times New Roman" w:hAnsi="Times New Roman" w:cs="Times New Roman"/>
          <w:sz w:val="26"/>
          <w:szCs w:val="26"/>
        </w:rPr>
        <w:t xml:space="preserve"> 2026</w:t>
      </w:r>
      <w:r w:rsidR="00877E09">
        <w:rPr>
          <w:rFonts w:ascii="Times New Roman" w:eastAsia="Times New Roman" w:hAnsi="Times New Roman" w:cs="Times New Roman"/>
          <w:sz w:val="26"/>
          <w:szCs w:val="26"/>
        </w:rPr>
        <w:t>.</w:t>
      </w:r>
      <w:r w:rsidRPr="0E3D3F74">
        <w:rPr>
          <w:rFonts w:ascii="Times New Roman" w:eastAsia="Times New Roman" w:hAnsi="Times New Roman" w:cs="Times New Roman"/>
          <w:sz w:val="26"/>
          <w:szCs w:val="26"/>
        </w:rPr>
        <w:t xml:space="preserve"> február végéig kifizetett összege az előző év azonos időszakával megegyező. A térítéseken belül a legnagyobb összeget, 2,7</w:t>
      </w:r>
      <w:r w:rsidR="00877E09">
        <w:rPr>
          <w:rFonts w:ascii="Times New Roman" w:eastAsia="Times New Roman" w:hAnsi="Times New Roman" w:cs="Times New Roman"/>
          <w:sz w:val="26"/>
          <w:szCs w:val="26"/>
        </w:rPr>
        <w:t> </w:t>
      </w:r>
      <w:r w:rsidRPr="0E3D3F74">
        <w:rPr>
          <w:rFonts w:ascii="Times New Roman" w:eastAsia="Times New Roman" w:hAnsi="Times New Roman" w:cs="Times New Roman"/>
          <w:sz w:val="26"/>
          <w:szCs w:val="26"/>
        </w:rPr>
        <w:t>milliárd forintot a közgyógyellátásra fizették ki.</w:t>
      </w:r>
    </w:p>
    <w:p w14:paraId="2BBDBEB3" w14:textId="16D08B77" w:rsidR="0032261D" w:rsidRPr="005C3ECD" w:rsidRDefault="4600C643" w:rsidP="4600C643">
      <w:pPr>
        <w:pStyle w:val="NormlWeb"/>
        <w:spacing w:before="0" w:beforeAutospacing="0" w:after="160" w:afterAutospacing="0" w:line="259" w:lineRule="auto"/>
        <w:jc w:val="both"/>
        <w:rPr>
          <w:sz w:val="26"/>
          <w:szCs w:val="26"/>
        </w:rPr>
      </w:pPr>
      <w:r w:rsidRPr="4600C643">
        <w:rPr>
          <w:sz w:val="26"/>
          <w:szCs w:val="26"/>
        </w:rPr>
        <w:t xml:space="preserve">A </w:t>
      </w:r>
      <w:r w:rsidRPr="4600C643">
        <w:rPr>
          <w:b/>
          <w:bCs/>
          <w:sz w:val="26"/>
          <w:szCs w:val="26"/>
        </w:rPr>
        <w:t>babaváró támogatásokra</w:t>
      </w:r>
      <w:r w:rsidRPr="4600C643">
        <w:rPr>
          <w:sz w:val="26"/>
          <w:szCs w:val="26"/>
        </w:rPr>
        <w:t xml:space="preserve"> fordított kiadások összege 2026</w:t>
      </w:r>
      <w:r w:rsidR="00877E09">
        <w:rPr>
          <w:sz w:val="26"/>
          <w:szCs w:val="26"/>
        </w:rPr>
        <w:t>.</w:t>
      </w:r>
      <w:r w:rsidRPr="4600C643">
        <w:rPr>
          <w:sz w:val="26"/>
          <w:szCs w:val="26"/>
        </w:rPr>
        <w:t xml:space="preserve"> február végéig 46,7 milliárd forintot tett ki, amely a törvényi előirányzat 16,9%-ának felel meg, és a 2025. év azonos időszakához viszonyítva 8,6 milliárd forinttal teljesült magasabban.</w:t>
      </w:r>
    </w:p>
    <w:p w14:paraId="7052350E" w14:textId="5EE5635C" w:rsidR="003E05FC" w:rsidRDefault="4600C643" w:rsidP="4600C643">
      <w:pPr>
        <w:pStyle w:val="NormlWeb"/>
        <w:spacing w:before="0" w:beforeAutospacing="0" w:after="160" w:afterAutospacing="0" w:line="259" w:lineRule="auto"/>
        <w:jc w:val="both"/>
        <w:rPr>
          <w:sz w:val="26"/>
          <w:szCs w:val="26"/>
        </w:rPr>
      </w:pPr>
      <w:bookmarkStart w:id="4" w:name="_Hlk202786542"/>
      <w:r w:rsidRPr="4600C643">
        <w:rPr>
          <w:sz w:val="26"/>
          <w:szCs w:val="26"/>
        </w:rPr>
        <w:t xml:space="preserve">A </w:t>
      </w:r>
      <w:r w:rsidRPr="4600C643">
        <w:rPr>
          <w:b/>
          <w:bCs/>
          <w:sz w:val="26"/>
          <w:szCs w:val="26"/>
        </w:rPr>
        <w:t>helyi önkormányzatok</w:t>
      </w:r>
      <w:r w:rsidRPr="4600C643">
        <w:rPr>
          <w:sz w:val="26"/>
          <w:szCs w:val="26"/>
        </w:rPr>
        <w:t xml:space="preserve"> 2026. évi feladataihoz a hatályos költségvetési törvény alapján 1419,4 milliárd forint állami támogatás került megállapításra. A február havi tényadat alapján összesen 313,5 milliárd forint kifizetés történt, ami az eredeti előirányzat 22,1%-át teszi ki. Az előző év azonos időszakához viszonyított 52,8 milliárd forint (20,3%-os) növekedés döntő része a hivatali dolgozók és tanárok béremeléséből, valamint a minimálbér, garantált bérminimum emeléséből fakad. A jelentősebb tételek alakulását a következő táblázat mutatja:</w:t>
      </w:r>
    </w:p>
    <w:p w14:paraId="2723D8B3" w14:textId="34B7D713" w:rsidR="00C24948" w:rsidRPr="00B32682" w:rsidRDefault="4600C643" w:rsidP="4600C643">
      <w:pPr>
        <w:pStyle w:val="NormlWeb"/>
        <w:spacing w:before="0" w:beforeAutospacing="0" w:after="160" w:afterAutospacing="0" w:line="259" w:lineRule="auto"/>
        <w:jc w:val="center"/>
      </w:pPr>
      <w:r w:rsidRPr="4600C643">
        <w:rPr>
          <w:b/>
          <w:bCs/>
        </w:rPr>
        <w:t>A helyi önkormányzatok támogatásának alakulása (milliárd forint)</w:t>
      </w:r>
    </w:p>
    <w:tbl>
      <w:tblPr>
        <w:tblpPr w:leftFromText="141" w:rightFromText="141" w:vertAnchor="text" w:horzAnchor="margin" w:tblpY="20"/>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2"/>
        <w:gridCol w:w="1134"/>
        <w:gridCol w:w="1134"/>
        <w:gridCol w:w="850"/>
        <w:gridCol w:w="771"/>
      </w:tblGrid>
      <w:tr w:rsidR="00081A16" w:rsidRPr="00377D59" w14:paraId="6741B982" w14:textId="77777777" w:rsidTr="4600C643">
        <w:trPr>
          <w:trHeight w:val="340"/>
        </w:trPr>
        <w:tc>
          <w:tcPr>
            <w:tcW w:w="5382" w:type="dxa"/>
            <w:vMerge w:val="restart"/>
            <w:shd w:val="clear" w:color="auto" w:fill="BDD6EE" w:themeFill="accent1" w:themeFillTint="66"/>
            <w:noWrap/>
            <w:vAlign w:val="center"/>
            <w:hideMark/>
          </w:tcPr>
          <w:p w14:paraId="07514BAA" w14:textId="77777777" w:rsidR="00081A16" w:rsidRPr="00EB7ACF" w:rsidRDefault="4600C643" w:rsidP="4600C643">
            <w:pPr>
              <w:keepNext/>
              <w:keepLines/>
              <w:spacing w:after="0" w:line="240" w:lineRule="auto"/>
              <w:jc w:val="center"/>
              <w:rPr>
                <w:rFonts w:ascii="Times New Roman" w:eastAsia="Times New Roman" w:hAnsi="Times New Roman" w:cs="Times New Roman"/>
                <w:b/>
                <w:bCs/>
                <w:lang w:eastAsia="hu-HU"/>
              </w:rPr>
            </w:pPr>
            <w:r w:rsidRPr="4600C643">
              <w:rPr>
                <w:rFonts w:ascii="Times New Roman" w:eastAsia="Times New Roman" w:hAnsi="Times New Roman" w:cs="Times New Roman"/>
                <w:b/>
                <w:bCs/>
                <w:lang w:eastAsia="hu-HU"/>
              </w:rPr>
              <w:t>Megnevezés</w:t>
            </w:r>
          </w:p>
        </w:tc>
        <w:tc>
          <w:tcPr>
            <w:tcW w:w="1134" w:type="dxa"/>
            <w:vMerge w:val="restart"/>
            <w:shd w:val="clear" w:color="auto" w:fill="BDD6EE" w:themeFill="accent1" w:themeFillTint="66"/>
            <w:vAlign w:val="center"/>
            <w:hideMark/>
          </w:tcPr>
          <w:p w14:paraId="5DC080D6" w14:textId="2D8F91AE" w:rsidR="00081A16" w:rsidRPr="00EB7ACF" w:rsidRDefault="4600C643" w:rsidP="4600C643">
            <w:pPr>
              <w:spacing w:after="0" w:line="240" w:lineRule="auto"/>
              <w:jc w:val="center"/>
              <w:rPr>
                <w:rFonts w:ascii="Times New Roman" w:eastAsia="Times New Roman" w:hAnsi="Times New Roman" w:cs="Times New Roman"/>
                <w:b/>
                <w:bCs/>
                <w:lang w:eastAsia="hu-HU"/>
              </w:rPr>
            </w:pPr>
            <w:r w:rsidRPr="4600C643">
              <w:rPr>
                <w:rFonts w:ascii="Times New Roman" w:eastAsia="Times New Roman" w:hAnsi="Times New Roman" w:cs="Times New Roman"/>
                <w:b/>
                <w:bCs/>
                <w:lang w:eastAsia="hu-HU"/>
              </w:rPr>
              <w:t xml:space="preserve">2025. </w:t>
            </w:r>
            <w:r w:rsidR="1EAC8E60">
              <w:br/>
            </w:r>
            <w:r w:rsidRPr="4600C643">
              <w:rPr>
                <w:rFonts w:ascii="Times New Roman" w:hAnsi="Times New Roman" w:cs="Times New Roman"/>
                <w:b/>
                <w:bCs/>
              </w:rPr>
              <w:t>I-II. hó</w:t>
            </w:r>
          </w:p>
        </w:tc>
        <w:tc>
          <w:tcPr>
            <w:tcW w:w="1134" w:type="dxa"/>
            <w:vMerge w:val="restart"/>
            <w:shd w:val="clear" w:color="auto" w:fill="BDD6EE" w:themeFill="accent1" w:themeFillTint="66"/>
            <w:vAlign w:val="center"/>
            <w:hideMark/>
          </w:tcPr>
          <w:p w14:paraId="626AC8BC" w14:textId="16197942" w:rsidR="00081A16" w:rsidRPr="00EB7ACF" w:rsidRDefault="4600C643" w:rsidP="4600C643">
            <w:pPr>
              <w:spacing w:after="0" w:line="240" w:lineRule="auto"/>
              <w:jc w:val="center"/>
              <w:rPr>
                <w:rFonts w:ascii="Times New Roman" w:eastAsia="Times New Roman" w:hAnsi="Times New Roman" w:cs="Times New Roman"/>
                <w:b/>
                <w:bCs/>
                <w:lang w:eastAsia="hu-HU"/>
              </w:rPr>
            </w:pPr>
            <w:r w:rsidRPr="4600C643">
              <w:rPr>
                <w:rFonts w:ascii="Times New Roman" w:eastAsia="Times New Roman" w:hAnsi="Times New Roman" w:cs="Times New Roman"/>
                <w:b/>
                <w:bCs/>
                <w:lang w:eastAsia="hu-HU"/>
              </w:rPr>
              <w:t xml:space="preserve">2026. </w:t>
            </w:r>
            <w:r w:rsidR="1EAC8E60">
              <w:br/>
            </w:r>
            <w:r w:rsidRPr="4600C643">
              <w:rPr>
                <w:rFonts w:ascii="Times New Roman" w:eastAsia="Times New Roman" w:hAnsi="Times New Roman" w:cs="Times New Roman"/>
                <w:b/>
                <w:bCs/>
                <w:lang w:eastAsia="hu-HU"/>
              </w:rPr>
              <w:t>I-II. hó</w:t>
            </w:r>
          </w:p>
        </w:tc>
        <w:tc>
          <w:tcPr>
            <w:tcW w:w="1621" w:type="dxa"/>
            <w:gridSpan w:val="2"/>
            <w:shd w:val="clear" w:color="auto" w:fill="BDD6EE" w:themeFill="accent1" w:themeFillTint="66"/>
            <w:noWrap/>
            <w:vAlign w:val="center"/>
            <w:hideMark/>
          </w:tcPr>
          <w:p w14:paraId="35A3C823" w14:textId="77777777" w:rsidR="00081A16" w:rsidRPr="00EB7ACF" w:rsidRDefault="4600C643" w:rsidP="4600C643">
            <w:pPr>
              <w:keepNext/>
              <w:keepLines/>
              <w:spacing w:after="0" w:line="240" w:lineRule="auto"/>
              <w:jc w:val="center"/>
              <w:rPr>
                <w:rFonts w:ascii="Times New Roman" w:eastAsia="Times New Roman" w:hAnsi="Times New Roman" w:cs="Times New Roman"/>
                <w:b/>
                <w:bCs/>
                <w:lang w:eastAsia="hu-HU"/>
              </w:rPr>
            </w:pPr>
            <w:r w:rsidRPr="4600C643">
              <w:rPr>
                <w:rFonts w:ascii="Times New Roman" w:eastAsia="Times New Roman" w:hAnsi="Times New Roman" w:cs="Times New Roman"/>
                <w:b/>
                <w:bCs/>
                <w:lang w:eastAsia="hu-HU"/>
              </w:rPr>
              <w:t>Eltérés</w:t>
            </w:r>
          </w:p>
        </w:tc>
      </w:tr>
      <w:tr w:rsidR="00C24948" w:rsidRPr="00377D59" w14:paraId="2DD9A798" w14:textId="77777777" w:rsidTr="4600C643">
        <w:trPr>
          <w:trHeight w:val="340"/>
        </w:trPr>
        <w:tc>
          <w:tcPr>
            <w:tcW w:w="5382" w:type="dxa"/>
            <w:vMerge/>
            <w:shd w:val="clear" w:color="auto" w:fill="BDD6EE" w:themeFill="accent1" w:themeFillTint="66"/>
            <w:vAlign w:val="center"/>
            <w:hideMark/>
          </w:tcPr>
          <w:p w14:paraId="5F76A56A" w14:textId="77777777" w:rsidR="00C24948" w:rsidRPr="00EB7ACF" w:rsidRDefault="00C24948" w:rsidP="00C24948">
            <w:pPr>
              <w:keepNext/>
              <w:keepLines/>
              <w:spacing w:after="0" w:line="240" w:lineRule="auto"/>
              <w:rPr>
                <w:rFonts w:ascii="Times New Roman" w:eastAsia="Times New Roman" w:hAnsi="Times New Roman" w:cs="Times New Roman"/>
                <w:b/>
                <w:bCs/>
                <w:lang w:eastAsia="hu-HU"/>
              </w:rPr>
            </w:pPr>
          </w:p>
        </w:tc>
        <w:tc>
          <w:tcPr>
            <w:tcW w:w="1134" w:type="dxa"/>
            <w:vMerge/>
            <w:tcBorders>
              <w:bottom w:val="single" w:sz="4" w:space="0" w:color="auto"/>
            </w:tcBorders>
            <w:shd w:val="clear" w:color="auto" w:fill="BDD6EE" w:themeFill="accent1" w:themeFillTint="66"/>
            <w:vAlign w:val="center"/>
            <w:hideMark/>
          </w:tcPr>
          <w:p w14:paraId="65B4B0A4" w14:textId="77777777" w:rsidR="00C24948" w:rsidRPr="00EB7ACF" w:rsidRDefault="00C24948" w:rsidP="00C24948">
            <w:pPr>
              <w:keepNext/>
              <w:keepLines/>
              <w:spacing w:after="0" w:line="240" w:lineRule="auto"/>
              <w:jc w:val="center"/>
              <w:rPr>
                <w:rFonts w:ascii="Times New Roman" w:eastAsia="Times New Roman" w:hAnsi="Times New Roman" w:cs="Times New Roman"/>
                <w:b/>
                <w:bCs/>
                <w:lang w:eastAsia="hu-HU"/>
              </w:rPr>
            </w:pPr>
          </w:p>
        </w:tc>
        <w:tc>
          <w:tcPr>
            <w:tcW w:w="1134" w:type="dxa"/>
            <w:vMerge/>
            <w:tcBorders>
              <w:bottom w:val="single" w:sz="4" w:space="0" w:color="auto"/>
            </w:tcBorders>
            <w:shd w:val="clear" w:color="auto" w:fill="BDD6EE" w:themeFill="accent1" w:themeFillTint="66"/>
            <w:vAlign w:val="center"/>
            <w:hideMark/>
          </w:tcPr>
          <w:p w14:paraId="5FE97B50" w14:textId="77777777" w:rsidR="00C24948" w:rsidRPr="00EB7ACF" w:rsidRDefault="00C24948" w:rsidP="00C24948">
            <w:pPr>
              <w:keepNext/>
              <w:keepLines/>
              <w:spacing w:after="0" w:line="240" w:lineRule="auto"/>
              <w:jc w:val="center"/>
              <w:rPr>
                <w:rFonts w:ascii="Times New Roman" w:eastAsia="Times New Roman" w:hAnsi="Times New Roman" w:cs="Times New Roman"/>
                <w:b/>
                <w:bCs/>
                <w:lang w:eastAsia="hu-HU"/>
              </w:rPr>
            </w:pPr>
          </w:p>
        </w:tc>
        <w:tc>
          <w:tcPr>
            <w:tcW w:w="850" w:type="dxa"/>
            <w:tcBorders>
              <w:bottom w:val="single" w:sz="4" w:space="0" w:color="auto"/>
            </w:tcBorders>
            <w:shd w:val="clear" w:color="auto" w:fill="BDD6EE" w:themeFill="accent1" w:themeFillTint="66"/>
            <w:noWrap/>
            <w:vAlign w:val="center"/>
            <w:hideMark/>
          </w:tcPr>
          <w:p w14:paraId="1B2C8FF2" w14:textId="77777777" w:rsidR="00C24948" w:rsidRPr="00EB7ACF" w:rsidRDefault="4600C643" w:rsidP="4600C643">
            <w:pPr>
              <w:keepNext/>
              <w:keepLines/>
              <w:spacing w:after="0" w:line="240" w:lineRule="auto"/>
              <w:jc w:val="center"/>
              <w:rPr>
                <w:rFonts w:ascii="Times New Roman" w:eastAsia="Times New Roman" w:hAnsi="Times New Roman" w:cs="Times New Roman"/>
                <w:b/>
                <w:bCs/>
                <w:lang w:eastAsia="hu-HU"/>
              </w:rPr>
            </w:pPr>
            <w:r w:rsidRPr="4600C643">
              <w:rPr>
                <w:rFonts w:ascii="Times New Roman" w:eastAsia="Times New Roman" w:hAnsi="Times New Roman" w:cs="Times New Roman"/>
                <w:b/>
                <w:bCs/>
                <w:lang w:eastAsia="hu-HU"/>
              </w:rPr>
              <w:t>Mrd Ft</w:t>
            </w:r>
          </w:p>
        </w:tc>
        <w:tc>
          <w:tcPr>
            <w:tcW w:w="771" w:type="dxa"/>
            <w:tcBorders>
              <w:bottom w:val="single" w:sz="4" w:space="0" w:color="auto"/>
            </w:tcBorders>
            <w:shd w:val="clear" w:color="auto" w:fill="BDD6EE" w:themeFill="accent1" w:themeFillTint="66"/>
            <w:noWrap/>
            <w:vAlign w:val="center"/>
            <w:hideMark/>
          </w:tcPr>
          <w:p w14:paraId="179AEF43" w14:textId="77777777" w:rsidR="00C24948" w:rsidRPr="00EB7ACF" w:rsidRDefault="4600C643" w:rsidP="4600C643">
            <w:pPr>
              <w:keepNext/>
              <w:keepLines/>
              <w:spacing w:after="0" w:line="240" w:lineRule="auto"/>
              <w:jc w:val="center"/>
              <w:rPr>
                <w:rFonts w:ascii="Times New Roman" w:eastAsia="Times New Roman" w:hAnsi="Times New Roman" w:cs="Times New Roman"/>
                <w:b/>
                <w:bCs/>
                <w:lang w:eastAsia="hu-HU"/>
              </w:rPr>
            </w:pPr>
            <w:r w:rsidRPr="4600C643">
              <w:rPr>
                <w:rFonts w:ascii="Times New Roman" w:eastAsia="Times New Roman" w:hAnsi="Times New Roman" w:cs="Times New Roman"/>
                <w:b/>
                <w:bCs/>
                <w:lang w:eastAsia="hu-HU"/>
              </w:rPr>
              <w:t>%</w:t>
            </w:r>
          </w:p>
        </w:tc>
      </w:tr>
      <w:tr w:rsidR="004E6B81" w:rsidRPr="00377D59" w14:paraId="5CF52B9C" w14:textId="77777777" w:rsidTr="00877E09">
        <w:trPr>
          <w:trHeight w:val="510"/>
        </w:trPr>
        <w:tc>
          <w:tcPr>
            <w:tcW w:w="5382" w:type="dxa"/>
            <w:vAlign w:val="center"/>
            <w:hideMark/>
          </w:tcPr>
          <w:p w14:paraId="11FF4C49" w14:textId="77777777" w:rsidR="004E6B81" w:rsidRPr="00EB7ACF" w:rsidRDefault="4600C643" w:rsidP="4600C643">
            <w:pPr>
              <w:keepNext/>
              <w:keepLines/>
              <w:spacing w:after="0" w:line="240" w:lineRule="auto"/>
              <w:rPr>
                <w:rFonts w:ascii="Times New Roman" w:eastAsia="Times New Roman" w:hAnsi="Times New Roman" w:cs="Times New Roman"/>
                <w:b/>
                <w:bCs/>
                <w:sz w:val="20"/>
                <w:szCs w:val="20"/>
                <w:lang w:eastAsia="hu-HU"/>
              </w:rPr>
            </w:pPr>
            <w:r w:rsidRPr="4600C643">
              <w:rPr>
                <w:rFonts w:ascii="Times New Roman" w:eastAsia="Times New Roman" w:hAnsi="Times New Roman" w:cs="Times New Roman"/>
                <w:b/>
                <w:bCs/>
                <w:sz w:val="20"/>
                <w:szCs w:val="20"/>
                <w:lang w:eastAsia="hu-HU"/>
              </w:rPr>
              <w:t>A helyi önkormányzatok általános működésének és ágazati feladatainak támogatása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A1E4CBD" w14:textId="7CB0654A" w:rsidR="004E6B81" w:rsidRPr="004E6B81" w:rsidRDefault="4600C643" w:rsidP="4600C643">
            <w:pPr>
              <w:keepNext/>
              <w:keepLines/>
              <w:spacing w:after="0" w:line="240" w:lineRule="auto"/>
              <w:jc w:val="right"/>
              <w:rPr>
                <w:rFonts w:ascii="Times New Roman" w:eastAsia="Times New Roman" w:hAnsi="Times New Roman" w:cs="Times New Roman"/>
                <w:b/>
                <w:bCs/>
                <w:sz w:val="20"/>
                <w:szCs w:val="20"/>
                <w:lang w:eastAsia="hu-HU"/>
              </w:rPr>
            </w:pPr>
            <w:r w:rsidRPr="4600C643">
              <w:rPr>
                <w:rFonts w:ascii="Times New Roman" w:hAnsi="Times New Roman" w:cs="Times New Roman"/>
                <w:b/>
                <w:bCs/>
              </w:rPr>
              <w:t>236,5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29553" w14:textId="162AB222" w:rsidR="004E6B81" w:rsidRPr="004E6B81" w:rsidRDefault="4600C643" w:rsidP="4600C643">
            <w:pPr>
              <w:keepNext/>
              <w:keepLines/>
              <w:spacing w:after="0" w:line="240" w:lineRule="auto"/>
              <w:jc w:val="right"/>
              <w:rPr>
                <w:rFonts w:ascii="Times New Roman" w:eastAsia="Times New Roman" w:hAnsi="Times New Roman" w:cs="Times New Roman"/>
                <w:b/>
                <w:bCs/>
                <w:sz w:val="20"/>
                <w:szCs w:val="20"/>
                <w:lang w:eastAsia="hu-HU"/>
              </w:rPr>
            </w:pPr>
            <w:r w:rsidRPr="4600C643">
              <w:rPr>
                <w:rFonts w:ascii="Times New Roman" w:hAnsi="Times New Roman" w:cs="Times New Roman"/>
                <w:b/>
                <w:bCs/>
              </w:rPr>
              <w:t>269,8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76081" w14:textId="7F008BB4" w:rsidR="004E6B81" w:rsidRPr="004E6B81" w:rsidRDefault="4600C643" w:rsidP="4600C643">
            <w:pPr>
              <w:keepNext/>
              <w:keepLines/>
              <w:spacing w:after="0" w:line="240" w:lineRule="auto"/>
              <w:jc w:val="right"/>
              <w:rPr>
                <w:rFonts w:ascii="Times New Roman" w:eastAsia="Times New Roman" w:hAnsi="Times New Roman" w:cs="Times New Roman"/>
                <w:b/>
                <w:bCs/>
                <w:sz w:val="20"/>
                <w:szCs w:val="20"/>
                <w:lang w:eastAsia="hu-HU"/>
              </w:rPr>
            </w:pPr>
            <w:r w:rsidRPr="4600C643">
              <w:rPr>
                <w:rFonts w:ascii="Times New Roman" w:hAnsi="Times New Roman" w:cs="Times New Roman"/>
                <w:b/>
                <w:bCs/>
              </w:rPr>
              <w:t>33,3</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DF60E" w14:textId="52FC71EC" w:rsidR="004E6B81" w:rsidRPr="004E6B81" w:rsidRDefault="4600C643" w:rsidP="4600C643">
            <w:pPr>
              <w:keepNext/>
              <w:keepLines/>
              <w:spacing w:after="0" w:line="240" w:lineRule="auto"/>
              <w:jc w:val="right"/>
              <w:rPr>
                <w:rFonts w:ascii="Times New Roman" w:eastAsia="Times New Roman" w:hAnsi="Times New Roman" w:cs="Times New Roman"/>
                <w:b/>
                <w:bCs/>
                <w:sz w:val="20"/>
                <w:szCs w:val="20"/>
                <w:lang w:eastAsia="hu-HU"/>
              </w:rPr>
            </w:pPr>
            <w:r w:rsidRPr="4600C643">
              <w:rPr>
                <w:rFonts w:ascii="Times New Roman" w:hAnsi="Times New Roman" w:cs="Times New Roman"/>
                <w:b/>
                <w:bCs/>
              </w:rPr>
              <w:t>114,1</w:t>
            </w:r>
          </w:p>
        </w:tc>
      </w:tr>
      <w:tr w:rsidR="004E6B81" w:rsidRPr="00377D59" w14:paraId="66D88640" w14:textId="77777777" w:rsidTr="00877E09">
        <w:trPr>
          <w:trHeight w:val="340"/>
        </w:trPr>
        <w:tc>
          <w:tcPr>
            <w:tcW w:w="5382" w:type="dxa"/>
            <w:vAlign w:val="center"/>
            <w:hideMark/>
          </w:tcPr>
          <w:p w14:paraId="4496E62C" w14:textId="77777777" w:rsidR="004E6B81" w:rsidRPr="00EB7ACF" w:rsidRDefault="4600C643" w:rsidP="4600C643">
            <w:pPr>
              <w:keepNext/>
              <w:keepLines/>
              <w:spacing w:after="0" w:line="240" w:lineRule="auto"/>
              <w:rPr>
                <w:rFonts w:ascii="Times New Roman" w:eastAsia="Times New Roman" w:hAnsi="Times New Roman" w:cs="Times New Roman"/>
                <w:i/>
                <w:iCs/>
                <w:sz w:val="20"/>
                <w:szCs w:val="20"/>
                <w:lang w:eastAsia="hu-HU"/>
              </w:rPr>
            </w:pPr>
            <w:r w:rsidRPr="4600C643">
              <w:rPr>
                <w:rFonts w:ascii="Times New Roman" w:eastAsia="Times New Roman" w:hAnsi="Times New Roman" w:cs="Times New Roman"/>
                <w:i/>
                <w:iCs/>
                <w:sz w:val="20"/>
                <w:szCs w:val="20"/>
                <w:lang w:eastAsia="hu-HU"/>
              </w:rPr>
              <w:t>A helyi önkormányzatok működésének általános támogatása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C091267" w14:textId="39AB5C8D" w:rsidR="004E6B81" w:rsidRPr="004E6B81" w:rsidRDefault="4600C643" w:rsidP="4600C643">
            <w:pPr>
              <w:keepNext/>
              <w:keepLines/>
              <w:spacing w:after="0" w:line="240" w:lineRule="auto"/>
              <w:jc w:val="right"/>
              <w:rPr>
                <w:rFonts w:ascii="Times New Roman" w:eastAsia="Times New Roman" w:hAnsi="Times New Roman" w:cs="Times New Roman"/>
                <w:i/>
                <w:iCs/>
                <w:sz w:val="20"/>
                <w:szCs w:val="20"/>
                <w:lang w:eastAsia="hu-HU"/>
              </w:rPr>
            </w:pPr>
            <w:r w:rsidRPr="4600C643">
              <w:rPr>
                <w:rFonts w:ascii="Times New Roman" w:hAnsi="Times New Roman" w:cs="Times New Roman"/>
                <w:i/>
                <w:iCs/>
              </w:rPr>
              <w:t>60,5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3F341" w14:textId="7E0A63B0" w:rsidR="004E6B81" w:rsidRPr="004E6B81" w:rsidRDefault="4600C643" w:rsidP="4600C643">
            <w:pPr>
              <w:keepNext/>
              <w:keepLines/>
              <w:spacing w:after="0" w:line="240" w:lineRule="auto"/>
              <w:jc w:val="right"/>
              <w:rPr>
                <w:rFonts w:ascii="Times New Roman" w:eastAsia="Times New Roman" w:hAnsi="Times New Roman" w:cs="Times New Roman"/>
                <w:i/>
                <w:iCs/>
                <w:sz w:val="20"/>
                <w:szCs w:val="20"/>
                <w:lang w:eastAsia="hu-HU"/>
              </w:rPr>
            </w:pPr>
            <w:r w:rsidRPr="4600C643">
              <w:rPr>
                <w:rFonts w:ascii="Times New Roman" w:hAnsi="Times New Roman" w:cs="Times New Roman"/>
                <w:i/>
                <w:iCs/>
              </w:rPr>
              <w:t>73,4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67C594" w14:textId="6F9F484D" w:rsidR="004E6B81" w:rsidRPr="004E6B81" w:rsidRDefault="4600C643" w:rsidP="4600C643">
            <w:pPr>
              <w:keepNext/>
              <w:keepLines/>
              <w:spacing w:after="0" w:line="240" w:lineRule="auto"/>
              <w:jc w:val="right"/>
              <w:rPr>
                <w:rFonts w:ascii="Times New Roman" w:eastAsia="Times New Roman" w:hAnsi="Times New Roman" w:cs="Times New Roman"/>
                <w:i/>
                <w:iCs/>
                <w:sz w:val="20"/>
                <w:szCs w:val="20"/>
                <w:lang w:eastAsia="hu-HU"/>
              </w:rPr>
            </w:pPr>
            <w:r w:rsidRPr="4600C643">
              <w:rPr>
                <w:rFonts w:ascii="Times New Roman" w:hAnsi="Times New Roman" w:cs="Times New Roman"/>
                <w:i/>
                <w:iCs/>
              </w:rPr>
              <w:t>12,9</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1384BF" w14:textId="4CA5AB6E" w:rsidR="004E6B81" w:rsidRPr="004E6B81" w:rsidRDefault="4600C643" w:rsidP="4600C643">
            <w:pPr>
              <w:keepNext/>
              <w:keepLines/>
              <w:spacing w:after="0" w:line="240" w:lineRule="auto"/>
              <w:jc w:val="right"/>
              <w:rPr>
                <w:rFonts w:ascii="Times New Roman" w:eastAsia="Times New Roman" w:hAnsi="Times New Roman" w:cs="Times New Roman"/>
                <w:i/>
                <w:iCs/>
                <w:sz w:val="20"/>
                <w:szCs w:val="20"/>
                <w:lang w:eastAsia="hu-HU"/>
              </w:rPr>
            </w:pPr>
            <w:r w:rsidRPr="4600C643">
              <w:rPr>
                <w:rFonts w:ascii="Times New Roman" w:hAnsi="Times New Roman" w:cs="Times New Roman"/>
                <w:i/>
                <w:iCs/>
              </w:rPr>
              <w:t>121,3</w:t>
            </w:r>
          </w:p>
        </w:tc>
      </w:tr>
      <w:tr w:rsidR="004E6B81" w:rsidRPr="00377D59" w14:paraId="644FC967" w14:textId="77777777" w:rsidTr="00877E09">
        <w:trPr>
          <w:trHeight w:val="510"/>
        </w:trPr>
        <w:tc>
          <w:tcPr>
            <w:tcW w:w="5382" w:type="dxa"/>
            <w:vAlign w:val="center"/>
            <w:hideMark/>
          </w:tcPr>
          <w:p w14:paraId="1BA330A0" w14:textId="77777777" w:rsidR="004E6B81" w:rsidRPr="00EB7ACF" w:rsidRDefault="4600C643" w:rsidP="4600C643">
            <w:pPr>
              <w:keepNext/>
              <w:keepLines/>
              <w:spacing w:after="0" w:line="240" w:lineRule="auto"/>
              <w:rPr>
                <w:rFonts w:ascii="Times New Roman" w:eastAsia="Times New Roman" w:hAnsi="Times New Roman" w:cs="Times New Roman"/>
                <w:i/>
                <w:iCs/>
                <w:sz w:val="20"/>
                <w:szCs w:val="20"/>
                <w:lang w:eastAsia="hu-HU"/>
              </w:rPr>
            </w:pPr>
            <w:r w:rsidRPr="4600C643">
              <w:rPr>
                <w:rFonts w:ascii="Times New Roman" w:eastAsia="Times New Roman" w:hAnsi="Times New Roman" w:cs="Times New Roman"/>
                <w:i/>
                <w:iCs/>
                <w:sz w:val="20"/>
                <w:szCs w:val="20"/>
                <w:lang w:eastAsia="hu-HU"/>
              </w:rPr>
              <w:t>A települési önkormányzatok egyes köznevelési feladatainak támogatása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E8D28C3" w14:textId="07B404EB" w:rsidR="004E6B81" w:rsidRPr="004E6B81" w:rsidRDefault="4600C643" w:rsidP="4600C643">
            <w:pPr>
              <w:keepNext/>
              <w:keepLines/>
              <w:spacing w:after="0" w:line="240" w:lineRule="auto"/>
              <w:jc w:val="right"/>
              <w:rPr>
                <w:rFonts w:ascii="Times New Roman" w:eastAsia="Times New Roman" w:hAnsi="Times New Roman" w:cs="Times New Roman"/>
                <w:i/>
                <w:iCs/>
                <w:sz w:val="20"/>
                <w:szCs w:val="20"/>
                <w:lang w:eastAsia="hu-HU"/>
              </w:rPr>
            </w:pPr>
            <w:r w:rsidRPr="4600C643">
              <w:rPr>
                <w:rFonts w:ascii="Times New Roman" w:hAnsi="Times New Roman" w:cs="Times New Roman"/>
                <w:i/>
                <w:iCs/>
              </w:rPr>
              <w:t>80</w:t>
            </w:r>
            <w:r w:rsidR="00877E09">
              <w:rPr>
                <w:rFonts w:ascii="Times New Roman" w:hAnsi="Times New Roman" w:cs="Times New Roman"/>
                <w:i/>
                <w:i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61BB58" w14:textId="644D50EA" w:rsidR="004E6B81" w:rsidRPr="004E6B81" w:rsidRDefault="4600C643" w:rsidP="4600C643">
            <w:pPr>
              <w:keepNext/>
              <w:keepLines/>
              <w:spacing w:after="0" w:line="240" w:lineRule="auto"/>
              <w:jc w:val="right"/>
              <w:rPr>
                <w:rFonts w:ascii="Times New Roman" w:eastAsia="Times New Roman" w:hAnsi="Times New Roman" w:cs="Times New Roman"/>
                <w:i/>
                <w:iCs/>
                <w:sz w:val="20"/>
                <w:szCs w:val="20"/>
                <w:lang w:eastAsia="hu-HU"/>
              </w:rPr>
            </w:pPr>
            <w:r w:rsidRPr="4600C643">
              <w:rPr>
                <w:rFonts w:ascii="Times New Roman" w:hAnsi="Times New Roman" w:cs="Times New Roman"/>
                <w:i/>
                <w:iCs/>
              </w:rPr>
              <w:t>87,5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D1E80" w14:textId="05261620" w:rsidR="004E6B81" w:rsidRPr="004E6B81" w:rsidRDefault="4600C643" w:rsidP="4600C643">
            <w:pPr>
              <w:keepNext/>
              <w:keepLines/>
              <w:spacing w:after="0" w:line="240" w:lineRule="auto"/>
              <w:jc w:val="right"/>
              <w:rPr>
                <w:rFonts w:ascii="Times New Roman" w:eastAsia="Times New Roman" w:hAnsi="Times New Roman" w:cs="Times New Roman"/>
                <w:i/>
                <w:iCs/>
                <w:sz w:val="20"/>
                <w:szCs w:val="20"/>
                <w:lang w:eastAsia="hu-HU"/>
              </w:rPr>
            </w:pPr>
            <w:r w:rsidRPr="4600C643">
              <w:rPr>
                <w:rFonts w:ascii="Times New Roman" w:hAnsi="Times New Roman" w:cs="Times New Roman"/>
                <w:i/>
                <w:iCs/>
              </w:rPr>
              <w:t>7,5</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7CDD1" w14:textId="212B796E" w:rsidR="004E6B81" w:rsidRPr="004E6B81" w:rsidRDefault="4600C643" w:rsidP="4600C643">
            <w:pPr>
              <w:keepNext/>
              <w:keepLines/>
              <w:spacing w:after="0" w:line="240" w:lineRule="auto"/>
              <w:jc w:val="right"/>
              <w:rPr>
                <w:rFonts w:ascii="Times New Roman" w:eastAsia="Times New Roman" w:hAnsi="Times New Roman" w:cs="Times New Roman"/>
                <w:i/>
                <w:iCs/>
                <w:sz w:val="20"/>
                <w:szCs w:val="20"/>
                <w:lang w:eastAsia="hu-HU"/>
              </w:rPr>
            </w:pPr>
            <w:r w:rsidRPr="4600C643">
              <w:rPr>
                <w:rFonts w:ascii="Times New Roman" w:hAnsi="Times New Roman" w:cs="Times New Roman"/>
                <w:i/>
                <w:iCs/>
              </w:rPr>
              <w:t>109,4</w:t>
            </w:r>
          </w:p>
        </w:tc>
      </w:tr>
      <w:tr w:rsidR="004E6B81" w:rsidRPr="00377D59" w14:paraId="11F06AEB" w14:textId="77777777" w:rsidTr="00877E09">
        <w:trPr>
          <w:trHeight w:val="510"/>
        </w:trPr>
        <w:tc>
          <w:tcPr>
            <w:tcW w:w="5382" w:type="dxa"/>
            <w:vAlign w:val="center"/>
            <w:hideMark/>
          </w:tcPr>
          <w:p w14:paraId="63EE65A2" w14:textId="77777777" w:rsidR="004E6B81" w:rsidRPr="00EB7ACF" w:rsidRDefault="4600C643" w:rsidP="4600C643">
            <w:pPr>
              <w:keepNext/>
              <w:keepLines/>
              <w:spacing w:after="0" w:line="240" w:lineRule="auto"/>
              <w:rPr>
                <w:rFonts w:ascii="Times New Roman" w:eastAsia="Times New Roman" w:hAnsi="Times New Roman" w:cs="Times New Roman"/>
                <w:i/>
                <w:iCs/>
                <w:sz w:val="20"/>
                <w:szCs w:val="20"/>
                <w:lang w:eastAsia="hu-HU"/>
              </w:rPr>
            </w:pPr>
            <w:r w:rsidRPr="4600C643">
              <w:rPr>
                <w:rFonts w:ascii="Times New Roman" w:eastAsia="Times New Roman" w:hAnsi="Times New Roman" w:cs="Times New Roman"/>
                <w:i/>
                <w:iCs/>
                <w:sz w:val="20"/>
                <w:szCs w:val="20"/>
                <w:lang w:eastAsia="hu-HU"/>
              </w:rPr>
              <w:t>A települési önkormányzatok egyes szociális, gyermekjóléti és gyermekétkeztetési feladatainak támogatása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BBDE34C" w14:textId="1BDE4675" w:rsidR="004E6B81" w:rsidRPr="004E6B81" w:rsidRDefault="4600C643" w:rsidP="4600C643">
            <w:pPr>
              <w:keepNext/>
              <w:keepLines/>
              <w:spacing w:after="0" w:line="240" w:lineRule="auto"/>
              <w:jc w:val="right"/>
              <w:rPr>
                <w:rFonts w:ascii="Times New Roman" w:eastAsia="Times New Roman" w:hAnsi="Times New Roman" w:cs="Times New Roman"/>
                <w:i/>
                <w:iCs/>
                <w:sz w:val="20"/>
                <w:szCs w:val="20"/>
                <w:lang w:eastAsia="hu-HU"/>
              </w:rPr>
            </w:pPr>
            <w:r w:rsidRPr="4600C643">
              <w:rPr>
                <w:rFonts w:ascii="Times New Roman" w:hAnsi="Times New Roman" w:cs="Times New Roman"/>
                <w:i/>
                <w:iCs/>
              </w:rPr>
              <w:t>91,5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5C695" w14:textId="3941B3A5" w:rsidR="004E6B81" w:rsidRPr="004E6B81" w:rsidRDefault="4600C643" w:rsidP="4600C643">
            <w:pPr>
              <w:keepNext/>
              <w:keepLines/>
              <w:spacing w:after="0" w:line="240" w:lineRule="auto"/>
              <w:jc w:val="right"/>
              <w:rPr>
                <w:rFonts w:ascii="Times New Roman" w:eastAsia="Times New Roman" w:hAnsi="Times New Roman" w:cs="Times New Roman"/>
                <w:i/>
                <w:iCs/>
                <w:sz w:val="20"/>
                <w:szCs w:val="20"/>
                <w:lang w:eastAsia="hu-HU"/>
              </w:rPr>
            </w:pPr>
            <w:r w:rsidRPr="4600C643">
              <w:rPr>
                <w:rFonts w:ascii="Times New Roman" w:hAnsi="Times New Roman" w:cs="Times New Roman"/>
                <w:i/>
                <w:iCs/>
              </w:rPr>
              <w:t>104,4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01228" w14:textId="2895A32D" w:rsidR="004E6B81" w:rsidRPr="004E6B81" w:rsidRDefault="4600C643" w:rsidP="4600C643">
            <w:pPr>
              <w:keepNext/>
              <w:keepLines/>
              <w:spacing w:after="0" w:line="240" w:lineRule="auto"/>
              <w:jc w:val="right"/>
              <w:rPr>
                <w:rFonts w:ascii="Times New Roman" w:eastAsia="Times New Roman" w:hAnsi="Times New Roman" w:cs="Times New Roman"/>
                <w:i/>
                <w:iCs/>
                <w:sz w:val="20"/>
                <w:szCs w:val="20"/>
                <w:lang w:eastAsia="hu-HU"/>
              </w:rPr>
            </w:pPr>
            <w:r w:rsidRPr="4600C643">
              <w:rPr>
                <w:rFonts w:ascii="Times New Roman" w:hAnsi="Times New Roman" w:cs="Times New Roman"/>
                <w:i/>
                <w:iCs/>
              </w:rPr>
              <w:t>12,9</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53BB5" w14:textId="0FA1ADD9" w:rsidR="004E6B81" w:rsidRPr="004E6B81" w:rsidRDefault="4600C643" w:rsidP="4600C643">
            <w:pPr>
              <w:keepNext/>
              <w:keepLines/>
              <w:spacing w:after="0" w:line="240" w:lineRule="auto"/>
              <w:jc w:val="right"/>
              <w:rPr>
                <w:rFonts w:ascii="Times New Roman" w:eastAsia="Times New Roman" w:hAnsi="Times New Roman" w:cs="Times New Roman"/>
                <w:i/>
                <w:iCs/>
                <w:sz w:val="20"/>
                <w:szCs w:val="20"/>
                <w:lang w:eastAsia="hu-HU"/>
              </w:rPr>
            </w:pPr>
            <w:r w:rsidRPr="4600C643">
              <w:rPr>
                <w:rFonts w:ascii="Times New Roman" w:hAnsi="Times New Roman" w:cs="Times New Roman"/>
                <w:i/>
                <w:iCs/>
              </w:rPr>
              <w:t>114,1</w:t>
            </w:r>
          </w:p>
        </w:tc>
      </w:tr>
      <w:tr w:rsidR="004E6B81" w:rsidRPr="00377D59" w14:paraId="1FC403F4" w14:textId="77777777" w:rsidTr="00877E09">
        <w:trPr>
          <w:trHeight w:val="340"/>
        </w:trPr>
        <w:tc>
          <w:tcPr>
            <w:tcW w:w="5382" w:type="dxa"/>
            <w:vAlign w:val="center"/>
            <w:hideMark/>
          </w:tcPr>
          <w:p w14:paraId="4F427CE2" w14:textId="77777777" w:rsidR="004E6B81" w:rsidRPr="00EB7ACF" w:rsidRDefault="4600C643" w:rsidP="4600C643">
            <w:pPr>
              <w:keepNext/>
              <w:keepLines/>
              <w:spacing w:after="0" w:line="240" w:lineRule="auto"/>
              <w:rPr>
                <w:rFonts w:ascii="Times New Roman" w:eastAsia="Times New Roman" w:hAnsi="Times New Roman" w:cs="Times New Roman"/>
                <w:i/>
                <w:iCs/>
                <w:sz w:val="20"/>
                <w:szCs w:val="20"/>
                <w:lang w:eastAsia="hu-HU"/>
              </w:rPr>
            </w:pPr>
            <w:r w:rsidRPr="4600C643">
              <w:rPr>
                <w:rFonts w:ascii="Times New Roman" w:eastAsia="Times New Roman" w:hAnsi="Times New Roman" w:cs="Times New Roman"/>
                <w:i/>
                <w:iCs/>
                <w:sz w:val="20"/>
                <w:szCs w:val="20"/>
                <w:lang w:eastAsia="hu-HU"/>
              </w:rPr>
              <w:t>A települési önkormányzatok kulturális feladatainak támogatása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4BDB6D4" w14:textId="48970FA9" w:rsidR="004E6B81" w:rsidRPr="004E6B81" w:rsidRDefault="4600C643" w:rsidP="4600C643">
            <w:pPr>
              <w:keepNext/>
              <w:keepLines/>
              <w:spacing w:after="0" w:line="240" w:lineRule="auto"/>
              <w:jc w:val="right"/>
              <w:rPr>
                <w:rFonts w:ascii="Times New Roman" w:eastAsia="Times New Roman" w:hAnsi="Times New Roman" w:cs="Times New Roman"/>
                <w:i/>
                <w:iCs/>
                <w:sz w:val="20"/>
                <w:szCs w:val="20"/>
                <w:lang w:eastAsia="hu-HU"/>
              </w:rPr>
            </w:pPr>
            <w:r w:rsidRPr="4600C643">
              <w:rPr>
                <w:rFonts w:ascii="Times New Roman" w:hAnsi="Times New Roman" w:cs="Times New Roman"/>
                <w:i/>
                <w:iCs/>
              </w:rPr>
              <w:t>4,5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BBCDB" w14:textId="66409837" w:rsidR="004E6B81" w:rsidRPr="004E6B81" w:rsidRDefault="4600C643" w:rsidP="4600C643">
            <w:pPr>
              <w:keepNext/>
              <w:keepLines/>
              <w:spacing w:after="0" w:line="240" w:lineRule="auto"/>
              <w:jc w:val="right"/>
              <w:rPr>
                <w:rFonts w:ascii="Times New Roman" w:eastAsia="Times New Roman" w:hAnsi="Times New Roman" w:cs="Times New Roman"/>
                <w:i/>
                <w:iCs/>
                <w:sz w:val="20"/>
                <w:szCs w:val="20"/>
                <w:lang w:eastAsia="hu-HU"/>
              </w:rPr>
            </w:pPr>
            <w:r w:rsidRPr="4600C643">
              <w:rPr>
                <w:rFonts w:ascii="Times New Roman" w:hAnsi="Times New Roman" w:cs="Times New Roman"/>
                <w:i/>
                <w:iCs/>
              </w:rPr>
              <w:t>4,5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8EF3A" w14:textId="571C5D4E" w:rsidR="004E6B81" w:rsidRPr="004E6B81" w:rsidRDefault="4600C643" w:rsidP="4600C643">
            <w:pPr>
              <w:keepNext/>
              <w:keepLines/>
              <w:spacing w:after="0" w:line="240" w:lineRule="auto"/>
              <w:jc w:val="right"/>
              <w:rPr>
                <w:rFonts w:ascii="Times New Roman" w:eastAsia="Times New Roman" w:hAnsi="Times New Roman" w:cs="Times New Roman"/>
                <w:i/>
                <w:iCs/>
                <w:sz w:val="20"/>
                <w:szCs w:val="20"/>
                <w:lang w:eastAsia="hu-HU"/>
              </w:rPr>
            </w:pPr>
            <w:r w:rsidRPr="4600C643">
              <w:rPr>
                <w:rFonts w:ascii="Times New Roman" w:hAnsi="Times New Roman" w:cs="Times New Roman"/>
                <w:i/>
                <w:iCs/>
              </w:rPr>
              <w:t>0,0</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6E83D2" w14:textId="763465AE" w:rsidR="004E6B81" w:rsidRPr="004E6B81" w:rsidRDefault="4600C643" w:rsidP="4600C643">
            <w:pPr>
              <w:keepNext/>
              <w:keepLines/>
              <w:spacing w:after="0" w:line="240" w:lineRule="auto"/>
              <w:jc w:val="right"/>
              <w:rPr>
                <w:rFonts w:ascii="Times New Roman" w:eastAsia="Times New Roman" w:hAnsi="Times New Roman" w:cs="Times New Roman"/>
                <w:i/>
                <w:iCs/>
                <w:sz w:val="20"/>
                <w:szCs w:val="20"/>
                <w:lang w:eastAsia="hu-HU"/>
              </w:rPr>
            </w:pPr>
            <w:r w:rsidRPr="4600C643">
              <w:rPr>
                <w:rFonts w:ascii="Times New Roman" w:hAnsi="Times New Roman" w:cs="Times New Roman"/>
                <w:i/>
                <w:iCs/>
              </w:rPr>
              <w:t>100,0</w:t>
            </w:r>
          </w:p>
        </w:tc>
      </w:tr>
      <w:tr w:rsidR="004E6B81" w:rsidRPr="00377D59" w14:paraId="44EF96BF" w14:textId="77777777" w:rsidTr="00877E09">
        <w:trPr>
          <w:trHeight w:val="340"/>
        </w:trPr>
        <w:tc>
          <w:tcPr>
            <w:tcW w:w="5382" w:type="dxa"/>
            <w:vAlign w:val="center"/>
            <w:hideMark/>
          </w:tcPr>
          <w:p w14:paraId="3DD87A70" w14:textId="766307B5" w:rsidR="004E6B81" w:rsidRPr="00EB7ACF" w:rsidRDefault="4600C643" w:rsidP="4600C643">
            <w:pPr>
              <w:keepNext/>
              <w:keepLines/>
              <w:spacing w:after="0" w:line="240" w:lineRule="auto"/>
              <w:rPr>
                <w:rFonts w:ascii="Times New Roman" w:eastAsia="Times New Roman" w:hAnsi="Times New Roman" w:cs="Times New Roman"/>
                <w:b/>
                <w:bCs/>
                <w:sz w:val="20"/>
                <w:szCs w:val="20"/>
                <w:lang w:eastAsia="hu-HU"/>
              </w:rPr>
            </w:pPr>
            <w:r w:rsidRPr="4600C643">
              <w:rPr>
                <w:rFonts w:ascii="Times New Roman" w:eastAsia="Times New Roman" w:hAnsi="Times New Roman" w:cs="Times New Roman"/>
                <w:b/>
                <w:bCs/>
                <w:sz w:val="20"/>
                <w:szCs w:val="20"/>
                <w:lang w:eastAsia="hu-HU"/>
              </w:rPr>
              <w:t>Helyi önkormányzatok kiegészítő támogatása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4DDE983" w14:textId="532DB713" w:rsidR="004E6B81" w:rsidRPr="004E6B81" w:rsidRDefault="4600C643" w:rsidP="4600C643">
            <w:pPr>
              <w:keepNext/>
              <w:keepLines/>
              <w:spacing w:after="0" w:line="240" w:lineRule="auto"/>
              <w:jc w:val="right"/>
              <w:rPr>
                <w:rFonts w:ascii="Times New Roman" w:eastAsia="Times New Roman" w:hAnsi="Times New Roman" w:cs="Times New Roman"/>
                <w:b/>
                <w:bCs/>
                <w:sz w:val="20"/>
                <w:szCs w:val="20"/>
                <w:lang w:eastAsia="hu-HU"/>
              </w:rPr>
            </w:pPr>
            <w:r w:rsidRPr="4600C643">
              <w:rPr>
                <w:rFonts w:ascii="Times New Roman" w:hAnsi="Times New Roman" w:cs="Times New Roman"/>
                <w:b/>
                <w:bCs/>
              </w:rPr>
              <w:t>23,9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423BA" w14:textId="1BD53F47" w:rsidR="004E6B81" w:rsidRPr="004E6B81" w:rsidRDefault="4600C643" w:rsidP="4600C643">
            <w:pPr>
              <w:keepNext/>
              <w:keepLines/>
              <w:spacing w:after="0" w:line="240" w:lineRule="auto"/>
              <w:jc w:val="right"/>
              <w:rPr>
                <w:rFonts w:ascii="Times New Roman" w:eastAsia="Times New Roman" w:hAnsi="Times New Roman" w:cs="Times New Roman"/>
                <w:b/>
                <w:bCs/>
                <w:sz w:val="20"/>
                <w:szCs w:val="20"/>
                <w:lang w:eastAsia="hu-HU"/>
              </w:rPr>
            </w:pPr>
            <w:r w:rsidRPr="4600C643">
              <w:rPr>
                <w:rFonts w:ascii="Times New Roman" w:hAnsi="Times New Roman" w:cs="Times New Roman"/>
                <w:b/>
                <w:bCs/>
              </w:rPr>
              <w:t>24,6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B67F0" w14:textId="5EE9456E" w:rsidR="004E6B81" w:rsidRPr="004E6B81" w:rsidRDefault="4600C643" w:rsidP="4600C643">
            <w:pPr>
              <w:keepNext/>
              <w:keepLines/>
              <w:spacing w:after="0" w:line="240" w:lineRule="auto"/>
              <w:jc w:val="right"/>
              <w:rPr>
                <w:rFonts w:ascii="Times New Roman" w:eastAsia="Times New Roman" w:hAnsi="Times New Roman" w:cs="Times New Roman"/>
                <w:b/>
                <w:bCs/>
                <w:sz w:val="20"/>
                <w:szCs w:val="20"/>
                <w:lang w:eastAsia="hu-HU"/>
              </w:rPr>
            </w:pPr>
            <w:r w:rsidRPr="4600C643">
              <w:rPr>
                <w:rFonts w:ascii="Times New Roman" w:hAnsi="Times New Roman" w:cs="Times New Roman"/>
                <w:b/>
                <w:bCs/>
              </w:rPr>
              <w:t>0,7</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F6C6E" w14:textId="36198778" w:rsidR="004E6B81" w:rsidRPr="004E6B81" w:rsidRDefault="4600C643" w:rsidP="4600C643">
            <w:pPr>
              <w:keepNext/>
              <w:keepLines/>
              <w:spacing w:after="0" w:line="240" w:lineRule="auto"/>
              <w:jc w:val="right"/>
              <w:rPr>
                <w:rFonts w:ascii="Times New Roman" w:eastAsia="Times New Roman" w:hAnsi="Times New Roman" w:cs="Times New Roman"/>
                <w:b/>
                <w:bCs/>
                <w:sz w:val="20"/>
                <w:szCs w:val="20"/>
                <w:lang w:eastAsia="hu-HU"/>
              </w:rPr>
            </w:pPr>
            <w:r w:rsidRPr="4600C643">
              <w:rPr>
                <w:rFonts w:ascii="Times New Roman" w:hAnsi="Times New Roman" w:cs="Times New Roman"/>
                <w:b/>
                <w:bCs/>
              </w:rPr>
              <w:t>102,9</w:t>
            </w:r>
          </w:p>
        </w:tc>
      </w:tr>
      <w:tr w:rsidR="004E6B81" w:rsidRPr="00377D59" w14:paraId="648C3F54" w14:textId="77777777" w:rsidTr="00877E09">
        <w:trPr>
          <w:trHeight w:val="340"/>
        </w:trPr>
        <w:tc>
          <w:tcPr>
            <w:tcW w:w="5382" w:type="dxa"/>
            <w:vAlign w:val="center"/>
            <w:hideMark/>
          </w:tcPr>
          <w:p w14:paraId="3676EE9C" w14:textId="4925EF27" w:rsidR="004E6B81" w:rsidRPr="00EB7ACF" w:rsidRDefault="4600C643" w:rsidP="4600C643">
            <w:pPr>
              <w:keepNext/>
              <w:keepLines/>
              <w:spacing w:after="0" w:line="240" w:lineRule="auto"/>
              <w:rPr>
                <w:rFonts w:ascii="Times New Roman" w:eastAsia="Times New Roman" w:hAnsi="Times New Roman" w:cs="Times New Roman"/>
                <w:b/>
                <w:bCs/>
                <w:sz w:val="20"/>
                <w:szCs w:val="20"/>
                <w:lang w:eastAsia="hu-HU"/>
              </w:rPr>
            </w:pPr>
            <w:r w:rsidRPr="4600C643">
              <w:rPr>
                <w:rFonts w:ascii="Times New Roman" w:eastAsia="Times New Roman" w:hAnsi="Times New Roman" w:cs="Times New Roman"/>
                <w:b/>
                <w:bCs/>
                <w:sz w:val="20"/>
                <w:szCs w:val="20"/>
                <w:lang w:eastAsia="hu-HU"/>
              </w:rPr>
              <w:t>Év közben létrejött új jogcímek kiadásai</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BACAC9E" w14:textId="0C6EDFC3" w:rsidR="004E6B81" w:rsidRPr="004E6B81" w:rsidRDefault="4600C643" w:rsidP="4600C643">
            <w:pPr>
              <w:keepNext/>
              <w:keepLines/>
              <w:spacing w:after="0" w:line="240" w:lineRule="auto"/>
              <w:jc w:val="right"/>
              <w:rPr>
                <w:rFonts w:ascii="Times New Roman" w:eastAsia="Times New Roman" w:hAnsi="Times New Roman" w:cs="Times New Roman"/>
                <w:b/>
                <w:bCs/>
                <w:sz w:val="20"/>
                <w:szCs w:val="20"/>
                <w:lang w:eastAsia="hu-HU"/>
              </w:rPr>
            </w:pPr>
            <w:r w:rsidRPr="4600C643">
              <w:rPr>
                <w:rFonts w:ascii="Times New Roman" w:hAnsi="Times New Roman" w:cs="Times New Roman"/>
                <w:b/>
                <w:bCs/>
              </w:rPr>
              <w:t>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6E9FC" w14:textId="148AF52A" w:rsidR="004E6B81" w:rsidRPr="004E6B81" w:rsidRDefault="4600C643" w:rsidP="4600C643">
            <w:pPr>
              <w:keepNext/>
              <w:keepLines/>
              <w:spacing w:after="0" w:line="240" w:lineRule="auto"/>
              <w:jc w:val="right"/>
              <w:rPr>
                <w:rFonts w:ascii="Times New Roman" w:eastAsia="Times New Roman" w:hAnsi="Times New Roman" w:cs="Times New Roman"/>
                <w:b/>
                <w:bCs/>
                <w:sz w:val="20"/>
                <w:szCs w:val="20"/>
                <w:lang w:eastAsia="hu-HU"/>
              </w:rPr>
            </w:pPr>
            <w:r w:rsidRPr="4600C643">
              <w:rPr>
                <w:rFonts w:ascii="Times New Roman" w:hAnsi="Times New Roman" w:cs="Times New Roman"/>
                <w:b/>
                <w:bCs/>
              </w:rPr>
              <w:t>19,1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B586A" w14:textId="31EBFE03" w:rsidR="004E6B81" w:rsidRPr="004E6B81" w:rsidRDefault="4600C643" w:rsidP="4600C643">
            <w:pPr>
              <w:keepNext/>
              <w:keepLines/>
              <w:spacing w:after="0" w:line="240" w:lineRule="auto"/>
              <w:jc w:val="right"/>
              <w:rPr>
                <w:rFonts w:ascii="Times New Roman" w:eastAsia="Times New Roman" w:hAnsi="Times New Roman" w:cs="Times New Roman"/>
                <w:b/>
                <w:bCs/>
                <w:sz w:val="20"/>
                <w:szCs w:val="20"/>
                <w:lang w:eastAsia="hu-HU"/>
              </w:rPr>
            </w:pPr>
            <w:r w:rsidRPr="4600C643">
              <w:rPr>
                <w:rFonts w:ascii="Times New Roman" w:hAnsi="Times New Roman" w:cs="Times New Roman"/>
                <w:b/>
                <w:bCs/>
              </w:rPr>
              <w:t>18,8</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BBBB0" w14:textId="457C83F1" w:rsidR="004E6B81" w:rsidRPr="004E6B81" w:rsidRDefault="4600C643" w:rsidP="4600C643">
            <w:pPr>
              <w:keepNext/>
              <w:keepLines/>
              <w:spacing w:after="0" w:line="240" w:lineRule="auto"/>
              <w:jc w:val="right"/>
              <w:rPr>
                <w:rFonts w:ascii="Times New Roman" w:eastAsia="Times New Roman" w:hAnsi="Times New Roman" w:cs="Times New Roman"/>
                <w:b/>
                <w:bCs/>
                <w:sz w:val="20"/>
                <w:szCs w:val="20"/>
                <w:lang w:eastAsia="hu-HU"/>
              </w:rPr>
            </w:pPr>
            <w:r w:rsidRPr="4600C643">
              <w:rPr>
                <w:rFonts w:ascii="Times New Roman" w:hAnsi="Times New Roman" w:cs="Times New Roman"/>
                <w:b/>
                <w:bCs/>
              </w:rPr>
              <w:t>6366,7</w:t>
            </w:r>
          </w:p>
        </w:tc>
      </w:tr>
      <w:tr w:rsidR="004E6B81" w:rsidRPr="00377D59" w14:paraId="60064293" w14:textId="77777777" w:rsidTr="00877E09">
        <w:trPr>
          <w:trHeight w:val="340"/>
        </w:trPr>
        <w:tc>
          <w:tcPr>
            <w:tcW w:w="5382" w:type="dxa"/>
            <w:noWrap/>
            <w:vAlign w:val="center"/>
            <w:hideMark/>
          </w:tcPr>
          <w:p w14:paraId="73666509" w14:textId="770E1DDA" w:rsidR="004E6B81" w:rsidRPr="00EB7ACF" w:rsidRDefault="4600C643" w:rsidP="4600C643">
            <w:pPr>
              <w:widowControl w:val="0"/>
              <w:spacing w:after="0" w:line="240" w:lineRule="auto"/>
              <w:rPr>
                <w:rFonts w:ascii="Times New Roman" w:eastAsia="Times New Roman" w:hAnsi="Times New Roman" w:cs="Times New Roman"/>
                <w:b/>
                <w:bCs/>
                <w:sz w:val="20"/>
                <w:szCs w:val="20"/>
                <w:lang w:eastAsia="hu-HU"/>
              </w:rPr>
            </w:pPr>
            <w:r w:rsidRPr="4600C643">
              <w:rPr>
                <w:rFonts w:ascii="Times New Roman" w:eastAsia="Times New Roman" w:hAnsi="Times New Roman" w:cs="Times New Roman"/>
                <w:b/>
                <w:bCs/>
                <w:sz w:val="20"/>
                <w:szCs w:val="20"/>
                <w:lang w:eastAsia="hu-HU"/>
              </w:rPr>
              <w:t>Összesen</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A3EFD36" w14:textId="54DE9FFF" w:rsidR="004E6B81" w:rsidRPr="004E6B81" w:rsidRDefault="4600C643" w:rsidP="4600C643">
            <w:pPr>
              <w:keepNext/>
              <w:keepLines/>
              <w:spacing w:after="0" w:line="240" w:lineRule="auto"/>
              <w:jc w:val="right"/>
              <w:rPr>
                <w:rFonts w:ascii="Times New Roman" w:eastAsia="Times New Roman" w:hAnsi="Times New Roman" w:cs="Times New Roman"/>
                <w:b/>
                <w:bCs/>
                <w:sz w:val="20"/>
                <w:szCs w:val="20"/>
                <w:lang w:eastAsia="hu-HU"/>
              </w:rPr>
            </w:pPr>
            <w:r w:rsidRPr="4600C643">
              <w:rPr>
                <w:rFonts w:ascii="Times New Roman" w:hAnsi="Times New Roman" w:cs="Times New Roman"/>
                <w:b/>
                <w:bCs/>
              </w:rPr>
              <w:t>260,7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4CCAC" w14:textId="7BACE59B" w:rsidR="004E6B81" w:rsidRPr="004E6B81" w:rsidRDefault="4600C643" w:rsidP="4600C643">
            <w:pPr>
              <w:keepNext/>
              <w:keepLines/>
              <w:spacing w:after="0" w:line="240" w:lineRule="auto"/>
              <w:jc w:val="right"/>
              <w:rPr>
                <w:rFonts w:ascii="Times New Roman" w:eastAsia="Times New Roman" w:hAnsi="Times New Roman" w:cs="Times New Roman"/>
                <w:b/>
                <w:bCs/>
                <w:sz w:val="20"/>
                <w:szCs w:val="20"/>
                <w:lang w:eastAsia="hu-HU"/>
              </w:rPr>
            </w:pPr>
            <w:r w:rsidRPr="4600C643">
              <w:rPr>
                <w:rFonts w:ascii="Times New Roman" w:hAnsi="Times New Roman" w:cs="Times New Roman"/>
                <w:b/>
                <w:bCs/>
              </w:rPr>
              <w:t>313,5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CA3FA" w14:textId="32F161B2" w:rsidR="004E6B81" w:rsidRPr="004E6B81" w:rsidRDefault="4600C643" w:rsidP="4600C643">
            <w:pPr>
              <w:keepNext/>
              <w:keepLines/>
              <w:spacing w:after="0" w:line="240" w:lineRule="auto"/>
              <w:jc w:val="right"/>
              <w:rPr>
                <w:rFonts w:ascii="Times New Roman" w:eastAsia="Times New Roman" w:hAnsi="Times New Roman" w:cs="Times New Roman"/>
                <w:b/>
                <w:bCs/>
                <w:sz w:val="20"/>
                <w:szCs w:val="20"/>
                <w:lang w:eastAsia="hu-HU"/>
              </w:rPr>
            </w:pPr>
            <w:r w:rsidRPr="4600C643">
              <w:rPr>
                <w:rFonts w:ascii="Times New Roman" w:hAnsi="Times New Roman" w:cs="Times New Roman"/>
                <w:b/>
                <w:bCs/>
              </w:rPr>
              <w:t>52,8</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B57DC" w14:textId="713DC333" w:rsidR="004E6B81" w:rsidRPr="004E6B81" w:rsidRDefault="4600C643" w:rsidP="4600C643">
            <w:pPr>
              <w:keepNext/>
              <w:keepLines/>
              <w:spacing w:after="0" w:line="240" w:lineRule="auto"/>
              <w:jc w:val="right"/>
              <w:rPr>
                <w:rFonts w:ascii="Times New Roman" w:eastAsia="Times New Roman" w:hAnsi="Times New Roman" w:cs="Times New Roman"/>
                <w:b/>
                <w:bCs/>
                <w:sz w:val="20"/>
                <w:szCs w:val="20"/>
                <w:lang w:eastAsia="hu-HU"/>
              </w:rPr>
            </w:pPr>
            <w:r w:rsidRPr="4600C643">
              <w:rPr>
                <w:rFonts w:ascii="Times New Roman" w:hAnsi="Times New Roman" w:cs="Times New Roman"/>
                <w:b/>
                <w:bCs/>
              </w:rPr>
              <w:t>120,3</w:t>
            </w:r>
          </w:p>
        </w:tc>
      </w:tr>
    </w:tbl>
    <w:bookmarkEnd w:id="4"/>
    <w:p w14:paraId="2068B27F" w14:textId="4BDB529E" w:rsidR="74B9DF17" w:rsidRPr="00CD1AC2" w:rsidRDefault="4600C643" w:rsidP="4600C643">
      <w:pPr>
        <w:spacing w:before="160"/>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 xml:space="preserve">Az </w:t>
      </w:r>
      <w:r w:rsidRPr="4600C643">
        <w:rPr>
          <w:rFonts w:ascii="Times New Roman" w:eastAsia="Times New Roman" w:hAnsi="Times New Roman" w:cs="Times New Roman"/>
          <w:b/>
          <w:bCs/>
          <w:sz w:val="26"/>
          <w:szCs w:val="26"/>
        </w:rPr>
        <w:t>Uniós programok kiadásai</w:t>
      </w:r>
      <w:r w:rsidRPr="4600C643">
        <w:rPr>
          <w:rFonts w:ascii="Times New Roman" w:eastAsia="Times New Roman" w:hAnsi="Times New Roman" w:cs="Times New Roman"/>
          <w:i/>
          <w:iCs/>
          <w:sz w:val="26"/>
          <w:szCs w:val="26"/>
        </w:rPr>
        <w:t xml:space="preserve"> </w:t>
      </w:r>
      <w:r w:rsidRPr="4600C643">
        <w:rPr>
          <w:rFonts w:ascii="Times New Roman" w:eastAsia="Times New Roman" w:hAnsi="Times New Roman" w:cs="Times New Roman"/>
          <w:sz w:val="26"/>
          <w:szCs w:val="26"/>
        </w:rPr>
        <w:t>mérlegsoron 2026. február végéig 362,9 milliárd forint összegű kifizetés történt, amely a törvényi előirányzat (2761,2 milliárd forint) 13,1%-os teljesítését jelenti. A felmerült kiadások túlnyomó részét a 2021-2027-es Széchenyi Plusz programjai adták.</w:t>
      </w:r>
    </w:p>
    <w:p w14:paraId="6ABC464B" w14:textId="60303D0D" w:rsidR="74B9DF17" w:rsidRPr="00CD1AC2" w:rsidRDefault="4600C643" w:rsidP="4600C643">
      <w:pPr>
        <w:spacing w:before="240" w:after="120"/>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lastRenderedPageBreak/>
        <w:t>A legnagyobb összegű kifizetéseket ezen időszakban a Széchenyi Terv Plusz operatív programok közül a Terület- és Településfejlesztési OP (TOP Plusz) és</w:t>
      </w:r>
      <w:r w:rsidR="00C83323">
        <w:rPr>
          <w:rFonts w:ascii="Times New Roman" w:eastAsia="Times New Roman" w:hAnsi="Times New Roman" w:cs="Times New Roman"/>
          <w:sz w:val="26"/>
          <w:szCs w:val="26"/>
        </w:rPr>
        <w:t> </w:t>
      </w:r>
      <w:r w:rsidRPr="4600C643">
        <w:rPr>
          <w:rFonts w:ascii="Times New Roman" w:eastAsia="Times New Roman" w:hAnsi="Times New Roman" w:cs="Times New Roman"/>
          <w:sz w:val="26"/>
          <w:szCs w:val="26"/>
        </w:rPr>
        <w:t>a</w:t>
      </w:r>
      <w:r w:rsidR="00C83323">
        <w:rPr>
          <w:rFonts w:ascii="Times New Roman" w:eastAsia="Times New Roman" w:hAnsi="Times New Roman" w:cs="Times New Roman"/>
          <w:sz w:val="26"/>
          <w:szCs w:val="26"/>
        </w:rPr>
        <w:t> </w:t>
      </w:r>
      <w:r w:rsidRPr="4600C643">
        <w:rPr>
          <w:rFonts w:ascii="Times New Roman" w:eastAsia="Times New Roman" w:hAnsi="Times New Roman" w:cs="Times New Roman"/>
          <w:sz w:val="26"/>
          <w:szCs w:val="26"/>
        </w:rPr>
        <w:t>Gazdaságfejlesztési és Innovációs OP Plusz (GINOP Plusz) teljesítette. Kiemelkedők továbbá a Vidékfejlesztési Program és a KAP Stratégiai Terv Vidékfejlesztési Intézkedéseinek kifizetése.</w:t>
      </w:r>
    </w:p>
    <w:p w14:paraId="0EE0B389" w14:textId="23F0D3E3" w:rsidR="029C2633" w:rsidRPr="00CD1AC2" w:rsidRDefault="4600C643" w:rsidP="4600C643">
      <w:pPr>
        <w:keepLines/>
        <w:spacing w:before="160"/>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 xml:space="preserve">Az </w:t>
      </w:r>
      <w:r w:rsidRPr="4600C643">
        <w:rPr>
          <w:rFonts w:ascii="Times New Roman" w:eastAsia="Times New Roman" w:hAnsi="Times New Roman" w:cs="Times New Roman"/>
          <w:b/>
          <w:bCs/>
          <w:sz w:val="26"/>
          <w:szCs w:val="26"/>
        </w:rPr>
        <w:t>állami vagyonnal kapcsolatos kiadások</w:t>
      </w:r>
      <w:r w:rsidRPr="4600C643">
        <w:rPr>
          <w:rFonts w:ascii="Times New Roman" w:eastAsia="Times New Roman" w:hAnsi="Times New Roman" w:cs="Times New Roman"/>
          <w:sz w:val="26"/>
          <w:szCs w:val="26"/>
        </w:rPr>
        <w:t xml:space="preserve"> februári összege 30,9 milliárd forint volt, amelynek meghatározó része egyéb kiadásokhoz kapcsolódóan került kifizetésre.</w:t>
      </w:r>
    </w:p>
    <w:p w14:paraId="4D36018A" w14:textId="7CD08CE2" w:rsidR="000B49AE" w:rsidRPr="00377D59" w:rsidRDefault="009B2CCB" w:rsidP="000B49AE">
      <w:pPr>
        <w:spacing w:before="240" w:after="120" w:line="240" w:lineRule="auto"/>
        <w:jc w:val="center"/>
        <w:rPr>
          <w:rFonts w:ascii="Times New Roman" w:eastAsia="Times New Roman" w:hAnsi="Times New Roman" w:cs="Times New Roman"/>
          <w:b/>
          <w:bCs/>
          <w:sz w:val="26"/>
          <w:szCs w:val="26"/>
        </w:rPr>
      </w:pPr>
      <w:r w:rsidRPr="009B2CCB">
        <w:rPr>
          <w:rFonts w:ascii="Times New Roman" w:eastAsia="Times New Roman" w:hAnsi="Times New Roman" w:cs="Times New Roman"/>
          <w:b/>
          <w:bCs/>
          <w:noProof/>
          <w:sz w:val="26"/>
          <w:szCs w:val="26"/>
        </w:rPr>
        <w:drawing>
          <wp:inline distT="0" distB="0" distL="0" distR="0" wp14:anchorId="67B9C3E5" wp14:editId="71E5029B">
            <wp:extent cx="5940425" cy="3680460"/>
            <wp:effectExtent l="0" t="0" r="3175" b="0"/>
            <wp:docPr id="510238642" name="Kép 1" descr="A képen szöveg, képernyőkép, szám, so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238642" name="Kép 1" descr="A képen szöveg, képernyőkép, szám, sor látható&#10;&#10;Előfordulhat, hogy a mesterséges intelligencia által létrehozott tartalom helytelen."/>
                    <pic:cNvPicPr/>
                  </pic:nvPicPr>
                  <pic:blipFill>
                    <a:blip r:embed="rId19"/>
                    <a:stretch>
                      <a:fillRect/>
                    </a:stretch>
                  </pic:blipFill>
                  <pic:spPr>
                    <a:xfrm>
                      <a:off x="0" y="0"/>
                      <a:ext cx="5940425" cy="3680460"/>
                    </a:xfrm>
                    <a:prstGeom prst="rect">
                      <a:avLst/>
                    </a:prstGeom>
                  </pic:spPr>
                </pic:pic>
              </a:graphicData>
            </a:graphic>
          </wp:inline>
        </w:drawing>
      </w:r>
    </w:p>
    <w:p w14:paraId="030326D3" w14:textId="3C8CF0BC" w:rsidR="5B67C7D7" w:rsidRPr="00A37FE5" w:rsidRDefault="4600C643" w:rsidP="4600C643">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 xml:space="preserve">Az </w:t>
      </w:r>
      <w:r w:rsidRPr="4600C643">
        <w:rPr>
          <w:rFonts w:ascii="Times New Roman" w:eastAsia="Times New Roman" w:hAnsi="Times New Roman" w:cs="Times New Roman"/>
          <w:b/>
          <w:bCs/>
          <w:sz w:val="26"/>
          <w:szCs w:val="26"/>
        </w:rPr>
        <w:t xml:space="preserve">állami beruházási fejezet kiadásait </w:t>
      </w:r>
      <w:r w:rsidRPr="4600C643">
        <w:rPr>
          <w:rFonts w:ascii="Times New Roman" w:eastAsia="Times New Roman" w:hAnsi="Times New Roman" w:cs="Times New Roman"/>
          <w:sz w:val="26"/>
          <w:szCs w:val="26"/>
        </w:rPr>
        <w:t>alapvetően az egyes projektek előrehaladása határozza meg. 2026 első két hónapjában összesen 41,3 milliárd forint kiadás teljesült, amely magasabb a 2025 azonos időszakában teljesültekhez képest, amelyet az állami közútfejlesztési beruházások előző évihez képest magasabb teljesítménye okoz. A kifizetések nagy része az állami közútfejlesztési beruházásokhoz (25,0 milliárd forint) és az uniós kiadásokhoz (11,7 milliárd forint) kapcsolódtak.</w:t>
      </w:r>
    </w:p>
    <w:p w14:paraId="598CEA5E" w14:textId="3C27AF09" w:rsidR="00C224F5" w:rsidRPr="00A37FE5" w:rsidRDefault="4600C643" w:rsidP="4600C643">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 xml:space="preserve">Az </w:t>
      </w:r>
      <w:r w:rsidRPr="4600C643">
        <w:rPr>
          <w:rFonts w:ascii="Times New Roman" w:eastAsia="Times New Roman" w:hAnsi="Times New Roman" w:cs="Times New Roman"/>
          <w:b/>
          <w:bCs/>
          <w:sz w:val="26"/>
          <w:szCs w:val="26"/>
        </w:rPr>
        <w:t>egyéb kiadások</w:t>
      </w:r>
      <w:r w:rsidRPr="4600C643">
        <w:rPr>
          <w:rFonts w:ascii="Times New Roman" w:eastAsia="Times New Roman" w:hAnsi="Times New Roman" w:cs="Times New Roman"/>
          <w:sz w:val="26"/>
          <w:szCs w:val="26"/>
        </w:rPr>
        <w:t xml:space="preserve"> 2026. évi </w:t>
      </w:r>
      <w:r w:rsidR="00A36AD4">
        <w:rPr>
          <w:rFonts w:ascii="Times New Roman" w:eastAsia="Times New Roman" w:hAnsi="Times New Roman" w:cs="Times New Roman"/>
          <w:sz w:val="26"/>
          <w:szCs w:val="26"/>
        </w:rPr>
        <w:t>február</w:t>
      </w:r>
      <w:r w:rsidRPr="4600C643">
        <w:rPr>
          <w:rFonts w:ascii="Times New Roman" w:eastAsia="Times New Roman" w:hAnsi="Times New Roman" w:cs="Times New Roman"/>
          <w:sz w:val="26"/>
          <w:szCs w:val="26"/>
        </w:rPr>
        <w:t xml:space="preserve"> havi teljesítése </w:t>
      </w:r>
      <w:r w:rsidR="00675EDE">
        <w:rPr>
          <w:rFonts w:ascii="Times New Roman" w:eastAsia="Times New Roman" w:hAnsi="Times New Roman" w:cs="Times New Roman"/>
          <w:sz w:val="26"/>
          <w:szCs w:val="26"/>
        </w:rPr>
        <w:t>133,4</w:t>
      </w:r>
      <w:r w:rsidR="00675EDE" w:rsidRPr="4600C643">
        <w:rPr>
          <w:rFonts w:ascii="Times New Roman" w:eastAsia="Times New Roman" w:hAnsi="Times New Roman" w:cs="Times New Roman"/>
          <w:sz w:val="26"/>
          <w:szCs w:val="26"/>
        </w:rPr>
        <w:t xml:space="preserve"> milliárd forint lett, ami </w:t>
      </w:r>
      <w:r w:rsidR="00675EDE">
        <w:rPr>
          <w:rFonts w:ascii="Times New Roman" w:eastAsia="Times New Roman" w:hAnsi="Times New Roman" w:cs="Times New Roman"/>
          <w:sz w:val="26"/>
          <w:szCs w:val="26"/>
        </w:rPr>
        <w:t>65,5</w:t>
      </w:r>
      <w:r w:rsidR="00675EDE" w:rsidRPr="4600C643">
        <w:rPr>
          <w:rFonts w:ascii="Times New Roman" w:eastAsia="Times New Roman" w:hAnsi="Times New Roman" w:cs="Times New Roman"/>
          <w:sz w:val="26"/>
          <w:szCs w:val="26"/>
        </w:rPr>
        <w:t xml:space="preserve"> milliárd </w:t>
      </w:r>
      <w:r w:rsidRPr="4600C643">
        <w:rPr>
          <w:rFonts w:ascii="Times New Roman" w:eastAsia="Times New Roman" w:hAnsi="Times New Roman" w:cs="Times New Roman"/>
          <w:sz w:val="26"/>
          <w:szCs w:val="26"/>
        </w:rPr>
        <w:t>forinttal magasabban alakult az előző év azonos időszakához képest.</w:t>
      </w:r>
    </w:p>
    <w:p w14:paraId="15F013A7" w14:textId="33365A4D" w:rsidR="74B9DF17" w:rsidRPr="00A37FE5" w:rsidRDefault="4600C643" w:rsidP="4600C643">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 xml:space="preserve">A </w:t>
      </w:r>
      <w:r w:rsidRPr="4600C643">
        <w:rPr>
          <w:rFonts w:ascii="Times New Roman" w:eastAsia="Times New Roman" w:hAnsi="Times New Roman" w:cs="Times New Roman"/>
          <w:b/>
          <w:bCs/>
          <w:sz w:val="26"/>
          <w:szCs w:val="26"/>
        </w:rPr>
        <w:t>Hozzájárulás az EU költségvetéséhez</w:t>
      </w:r>
      <w:r w:rsidRPr="4600C643">
        <w:rPr>
          <w:rFonts w:ascii="Times New Roman" w:eastAsia="Times New Roman" w:hAnsi="Times New Roman" w:cs="Times New Roman"/>
          <w:sz w:val="26"/>
          <w:szCs w:val="26"/>
        </w:rPr>
        <w:t xml:space="preserve"> mérlegsoron 2026. február végéig 150,4 milliárd forint kiadás teljesült, ami a törvényi előirányzat 19,1%-a. E hozzájárulás 31,7 milliárd forinttal haladja meg a 2025. év azonos időszakában teljesített kiadásokat.</w:t>
      </w:r>
    </w:p>
    <w:p w14:paraId="0F5A0F03" w14:textId="6FE0BEF0" w:rsidR="6462B5A6" w:rsidRPr="00A37FE5" w:rsidRDefault="4600C643" w:rsidP="4600C643">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 xml:space="preserve">A </w:t>
      </w:r>
      <w:r w:rsidRPr="4600C643">
        <w:rPr>
          <w:rFonts w:ascii="Times New Roman" w:eastAsia="Times New Roman" w:hAnsi="Times New Roman" w:cs="Times New Roman"/>
          <w:b/>
          <w:bCs/>
          <w:sz w:val="26"/>
          <w:szCs w:val="26"/>
        </w:rPr>
        <w:t>Nemzeti Kutatási, Fejlesztési és Innovációs Alapból</w:t>
      </w:r>
      <w:r w:rsidRPr="4600C643">
        <w:rPr>
          <w:rFonts w:ascii="Times New Roman" w:eastAsia="Times New Roman" w:hAnsi="Times New Roman" w:cs="Times New Roman"/>
          <w:sz w:val="26"/>
          <w:szCs w:val="26"/>
        </w:rPr>
        <w:t xml:space="preserve"> (NKFI Alap) 2026.</w:t>
      </w:r>
      <w:r w:rsidR="001A0C94">
        <w:rPr>
          <w:rFonts w:ascii="Times New Roman" w:eastAsia="Times New Roman" w:hAnsi="Times New Roman" w:cs="Times New Roman"/>
          <w:sz w:val="26"/>
          <w:szCs w:val="26"/>
        </w:rPr>
        <w:t xml:space="preserve"> </w:t>
      </w:r>
      <w:r w:rsidRPr="4600C643">
        <w:rPr>
          <w:rFonts w:ascii="Times New Roman" w:eastAsia="Times New Roman" w:hAnsi="Times New Roman" w:cs="Times New Roman"/>
          <w:sz w:val="26"/>
          <w:szCs w:val="26"/>
        </w:rPr>
        <w:t>február végéig 42,1 milliárd forint kiadás teljesült, ami az éves előirányzat 29</w:t>
      </w:r>
      <w:r w:rsidR="001A0C94">
        <w:rPr>
          <w:rFonts w:ascii="Times New Roman" w:eastAsia="Times New Roman" w:hAnsi="Times New Roman" w:cs="Times New Roman"/>
          <w:sz w:val="26"/>
          <w:szCs w:val="26"/>
        </w:rPr>
        <w:t>,0</w:t>
      </w:r>
      <w:r w:rsidRPr="4600C643">
        <w:rPr>
          <w:rFonts w:ascii="Times New Roman" w:eastAsia="Times New Roman" w:hAnsi="Times New Roman" w:cs="Times New Roman"/>
          <w:sz w:val="26"/>
          <w:szCs w:val="26"/>
        </w:rPr>
        <w:t>%-a.</w:t>
      </w:r>
    </w:p>
    <w:p w14:paraId="17605E21" w14:textId="1968A908" w:rsidR="6462B5A6" w:rsidRPr="00A37FE5" w:rsidRDefault="4600C643" w:rsidP="4600C643">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lastRenderedPageBreak/>
        <w:t xml:space="preserve">A </w:t>
      </w:r>
      <w:r w:rsidRPr="4600C643">
        <w:rPr>
          <w:rFonts w:ascii="Times New Roman" w:eastAsia="Times New Roman" w:hAnsi="Times New Roman" w:cs="Times New Roman"/>
          <w:b/>
          <w:bCs/>
          <w:sz w:val="26"/>
          <w:szCs w:val="26"/>
        </w:rPr>
        <w:t>Nemzeti Foglalkoztatási Alap</w:t>
      </w:r>
      <w:r w:rsidRPr="4600C643">
        <w:rPr>
          <w:rFonts w:ascii="Times New Roman" w:eastAsia="Times New Roman" w:hAnsi="Times New Roman" w:cs="Times New Roman"/>
          <w:sz w:val="26"/>
          <w:szCs w:val="26"/>
        </w:rPr>
        <w:t xml:space="preserve"> (NFA) kiadásai esetében a Start-munkaprogramra összesen </w:t>
      </w:r>
      <w:r w:rsidR="001A0C94">
        <w:rPr>
          <w:rFonts w:ascii="Times New Roman" w:eastAsia="Times New Roman" w:hAnsi="Times New Roman" w:cs="Times New Roman"/>
          <w:sz w:val="26"/>
          <w:szCs w:val="26"/>
        </w:rPr>
        <w:t>1</w:t>
      </w:r>
      <w:r w:rsidRPr="4600C643">
        <w:rPr>
          <w:rFonts w:ascii="Times New Roman" w:eastAsia="Times New Roman" w:hAnsi="Times New Roman" w:cs="Times New Roman"/>
          <w:sz w:val="26"/>
          <w:szCs w:val="26"/>
        </w:rPr>
        <w:t>7</w:t>
      </w:r>
      <w:r w:rsidR="001A0C94">
        <w:rPr>
          <w:rFonts w:ascii="Times New Roman" w:eastAsia="Times New Roman" w:hAnsi="Times New Roman" w:cs="Times New Roman"/>
          <w:sz w:val="26"/>
          <w:szCs w:val="26"/>
        </w:rPr>
        <w:t>,4</w:t>
      </w:r>
      <w:r w:rsidRPr="4600C643">
        <w:rPr>
          <w:rFonts w:ascii="Times New Roman" w:eastAsia="Times New Roman" w:hAnsi="Times New Roman" w:cs="Times New Roman"/>
          <w:sz w:val="26"/>
          <w:szCs w:val="26"/>
        </w:rPr>
        <w:t> milliárd forint teljesült. Az uniós elő- és társfinanszírozásra</w:t>
      </w:r>
      <w:r w:rsidR="001A0C94">
        <w:rPr>
          <w:rFonts w:ascii="Times New Roman" w:eastAsia="Times New Roman" w:hAnsi="Times New Roman" w:cs="Times New Roman"/>
          <w:sz w:val="26"/>
          <w:szCs w:val="26"/>
        </w:rPr>
        <w:t xml:space="preserve"> </w:t>
      </w:r>
      <w:r w:rsidRPr="4600C643">
        <w:rPr>
          <w:rFonts w:ascii="Times New Roman" w:eastAsia="Times New Roman" w:hAnsi="Times New Roman" w:cs="Times New Roman"/>
          <w:sz w:val="26"/>
          <w:szCs w:val="26"/>
        </w:rPr>
        <w:t>6</w:t>
      </w:r>
      <w:r w:rsidR="001A0C94">
        <w:rPr>
          <w:rFonts w:ascii="Times New Roman" w:eastAsia="Times New Roman" w:hAnsi="Times New Roman" w:cs="Times New Roman"/>
          <w:sz w:val="26"/>
          <w:szCs w:val="26"/>
        </w:rPr>
        <w:t>,2</w:t>
      </w:r>
      <w:r w:rsidRPr="4600C643">
        <w:rPr>
          <w:rFonts w:ascii="Times New Roman" w:eastAsia="Times New Roman" w:hAnsi="Times New Roman" w:cs="Times New Roman"/>
          <w:sz w:val="26"/>
          <w:szCs w:val="26"/>
        </w:rPr>
        <w:t> milliárd forintot fordítottak.</w:t>
      </w:r>
    </w:p>
    <w:p w14:paraId="76B18BB1" w14:textId="4F312B6C" w:rsidR="123EFD2F" w:rsidRPr="00A37FE5" w:rsidRDefault="4600C643" w:rsidP="4600C643">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A</w:t>
      </w:r>
      <w:r w:rsidRPr="4600C643">
        <w:rPr>
          <w:rFonts w:ascii="Times New Roman" w:eastAsia="Times New Roman" w:hAnsi="Times New Roman" w:cs="Times New Roman"/>
          <w:b/>
          <w:bCs/>
          <w:sz w:val="26"/>
          <w:szCs w:val="26"/>
        </w:rPr>
        <w:t xml:space="preserve"> Bethlen Gábor Alapból</w:t>
      </w:r>
      <w:r w:rsidRPr="4600C643">
        <w:rPr>
          <w:rFonts w:ascii="Times New Roman" w:eastAsia="Times New Roman" w:hAnsi="Times New Roman" w:cs="Times New Roman"/>
          <w:sz w:val="26"/>
          <w:szCs w:val="26"/>
        </w:rPr>
        <w:t xml:space="preserve"> (BGA) 2026. év első két hónapjában 10,7 milliárd forint kiadás teljesült. Az alapból nyújtott támogatások a BGA irányítását ellátó Bizottság döntései alapján, ütemezetten kerültek kifizetésre.</w:t>
      </w:r>
    </w:p>
    <w:p w14:paraId="29A20A18" w14:textId="0C89FEF6" w:rsidR="00D72777" w:rsidRDefault="4600C643" w:rsidP="15BE4434">
      <w:pPr>
        <w:jc w:val="both"/>
      </w:pPr>
      <w:r w:rsidRPr="4600C643">
        <w:rPr>
          <w:rFonts w:ascii="Times New Roman" w:eastAsia="Times New Roman" w:hAnsi="Times New Roman" w:cs="Times New Roman"/>
          <w:sz w:val="26"/>
          <w:szCs w:val="26"/>
        </w:rPr>
        <w:t xml:space="preserve">A </w:t>
      </w:r>
      <w:r w:rsidRPr="4600C643">
        <w:rPr>
          <w:rFonts w:ascii="Times New Roman" w:eastAsia="Times New Roman" w:hAnsi="Times New Roman" w:cs="Times New Roman"/>
          <w:b/>
          <w:bCs/>
          <w:sz w:val="26"/>
          <w:szCs w:val="26"/>
        </w:rPr>
        <w:t xml:space="preserve">Nyugdíjbiztosítási Alap </w:t>
      </w:r>
      <w:r w:rsidRPr="4600C643">
        <w:rPr>
          <w:rFonts w:ascii="Times New Roman" w:eastAsia="Times New Roman" w:hAnsi="Times New Roman" w:cs="Times New Roman"/>
          <w:sz w:val="26"/>
          <w:szCs w:val="26"/>
        </w:rPr>
        <w:t xml:space="preserve">nyugellátási kiadásai február végéig 1749,7 milliárd forintban teljesültek, ami 258,5 milliárd forinttal haladta meg az előző év azonos időszakának teljesítési adatait. </w:t>
      </w:r>
    </w:p>
    <w:p w14:paraId="39FE7DED" w14:textId="6AA1CAAC" w:rsidR="00D72777" w:rsidRDefault="4600C643" w:rsidP="15BE4434">
      <w:pPr>
        <w:jc w:val="both"/>
      </w:pPr>
      <w:r w:rsidRPr="4600C643">
        <w:rPr>
          <w:rFonts w:ascii="Times New Roman" w:eastAsia="Times New Roman" w:hAnsi="Times New Roman" w:cs="Times New Roman"/>
          <w:sz w:val="26"/>
          <w:szCs w:val="26"/>
        </w:rPr>
        <w:t>A 17,3%-os kiadásnövekedést az előző év novemberében végrehajtott 1,6%-os kiegészítő nyugdíjemelés, a tárgyév január hónapban végrehajtott 3,6%-os inflációkövető nyugdíjemelés, a 2026. évtől bevezetésre kerülő 14. havi nyugdíj nyugellátási kiadásokra gyakorolt hatása, valamint az eltelt időszakban bekövetkezett létszámváltozás és cserélődés együttes hatása okozta. Ebből a januári nyugdíjemelés kiadásnövelő hatása a Nyugdíjbiztosítási Alapnál február hónap végéig 41,6 milliárd forint volt.</w:t>
      </w:r>
    </w:p>
    <w:p w14:paraId="67E390F1" w14:textId="668C585A" w:rsidR="00D72777" w:rsidRDefault="4600C643" w:rsidP="4600C643">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 xml:space="preserve">2026. februárjában mintegy 2 millió öregségi nyugdíjban és hozzátartozói nyugellátásban részesülő személy részere folyósítottak 13. és 14. havi nyugdíjat. A 13. havi nyugdíj Nyugdíjbiztosítási Alapot terhelő kiadása február végéig 533,2 milliárd forint volt, ami 41,5 milliárd forinttal haladta meg az előző év azonos időszakában ezen a jogcímen teljesített kiadások összegét. A 14. havi nyugdíj bevezetésére vonatkozó szabályok szerint 2026. február hónapban a havi ellátás negyedének megfelelő összegben kaptak az érintettek 14. havi nyugdíjat, összesen 133,3 milliárd forint összegben. </w:t>
      </w:r>
    </w:p>
    <w:p w14:paraId="168226B1" w14:textId="2F05C910" w:rsidR="00D72777" w:rsidRDefault="4600C643" w:rsidP="4600C643">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A 14. havi nyugdíj kiadásnövelő hatását leszámítva a nyugellátási kiadásokon belül a korbetöltött öregségi nyugdíjak 8,8%-kal, a nők 40 év jogosultsági idővel igénybe vehető öregségi nyugdíja („nők 40”) pedig 9,2%-kal haladta meg az előző év azonos időszakának kiadásait.</w:t>
      </w:r>
    </w:p>
    <w:p w14:paraId="636BCB9D" w14:textId="17B6ECD9" w:rsidR="00AA22CB" w:rsidRDefault="00AF2F5F" w:rsidP="00A36AD4">
      <w:pPr>
        <w:jc w:val="center"/>
        <w:rPr>
          <w:rFonts w:ascii="Times New Roman" w:eastAsia="Times New Roman" w:hAnsi="Times New Roman" w:cs="Times New Roman"/>
          <w:sz w:val="26"/>
          <w:szCs w:val="26"/>
        </w:rPr>
      </w:pPr>
      <w:r w:rsidRPr="00AF2F5F">
        <w:rPr>
          <w:rFonts w:ascii="Times New Roman" w:eastAsia="Times New Roman" w:hAnsi="Times New Roman" w:cs="Times New Roman"/>
          <w:noProof/>
          <w:sz w:val="26"/>
          <w:szCs w:val="26"/>
        </w:rPr>
        <w:drawing>
          <wp:inline distT="0" distB="0" distL="0" distR="0" wp14:anchorId="5FA8F1E9" wp14:editId="7E603306">
            <wp:extent cx="5940425" cy="2639060"/>
            <wp:effectExtent l="0" t="0" r="3175" b="8890"/>
            <wp:docPr id="614680200" name="Kép 1" descr="A képen szöveg, diagram, képernyőkép, kö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80200" name="Kép 1" descr="A képen szöveg, diagram, képernyőkép, kör látható&#10;&#10;Előfordulhat, hogy a mesterséges intelligencia által létrehozott tartalom helytelen."/>
                    <pic:cNvPicPr/>
                  </pic:nvPicPr>
                  <pic:blipFill>
                    <a:blip r:embed="rId20"/>
                    <a:stretch>
                      <a:fillRect/>
                    </a:stretch>
                  </pic:blipFill>
                  <pic:spPr>
                    <a:xfrm>
                      <a:off x="0" y="0"/>
                      <a:ext cx="5940425" cy="2639060"/>
                    </a:xfrm>
                    <a:prstGeom prst="rect">
                      <a:avLst/>
                    </a:prstGeom>
                  </pic:spPr>
                </pic:pic>
              </a:graphicData>
            </a:graphic>
          </wp:inline>
        </w:drawing>
      </w:r>
    </w:p>
    <w:p w14:paraId="7BDB967D" w14:textId="3EA9388E" w:rsidR="3E75DAF6" w:rsidRDefault="4600C643" w:rsidP="4600C643">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lastRenderedPageBreak/>
        <w:t xml:space="preserve">Az öregségi nyugdíjban részesülők 2026. február havi </w:t>
      </w:r>
      <w:r w:rsidRPr="4600C643">
        <w:rPr>
          <w:rFonts w:ascii="Times New Roman" w:eastAsia="Times New Roman" w:hAnsi="Times New Roman" w:cs="Times New Roman"/>
          <w:b/>
          <w:bCs/>
          <w:sz w:val="26"/>
          <w:szCs w:val="26"/>
        </w:rPr>
        <w:t>átlagos statisztikai állományi létszáma</w:t>
      </w:r>
      <w:r w:rsidRPr="4600C643">
        <w:rPr>
          <w:rFonts w:ascii="Times New Roman" w:eastAsia="Times New Roman" w:hAnsi="Times New Roman" w:cs="Times New Roman"/>
          <w:sz w:val="26"/>
          <w:szCs w:val="26"/>
        </w:rPr>
        <w:t xml:space="preserve"> az előző év azonos időszakához képest 16 228 fővel nőtt, ezen belül a korbetöltött öregségi nyugdíjban részesülők létszáma 16 302 fővel magasabb, a nők kedvezményes nyugdíjában részesülők létszáma 74 fővel lett alacsonyabb. Jelenleg 141</w:t>
      </w:r>
      <w:r w:rsidR="00BB3002">
        <w:rPr>
          <w:rFonts w:ascii="Times New Roman" w:eastAsia="Times New Roman" w:hAnsi="Times New Roman" w:cs="Times New Roman"/>
          <w:sz w:val="26"/>
          <w:szCs w:val="26"/>
        </w:rPr>
        <w:t> </w:t>
      </w:r>
      <w:r w:rsidRPr="4600C643">
        <w:rPr>
          <w:rFonts w:ascii="Times New Roman" w:eastAsia="Times New Roman" w:hAnsi="Times New Roman" w:cs="Times New Roman"/>
          <w:sz w:val="26"/>
          <w:szCs w:val="26"/>
        </w:rPr>
        <w:t>953 fő veszi igénybe a „nők</w:t>
      </w:r>
      <w:r w:rsidR="005B1180">
        <w:rPr>
          <w:rFonts w:ascii="Times New Roman" w:eastAsia="Times New Roman" w:hAnsi="Times New Roman" w:cs="Times New Roman"/>
          <w:sz w:val="26"/>
          <w:szCs w:val="26"/>
        </w:rPr>
        <w:t> </w:t>
      </w:r>
      <w:r w:rsidRPr="4600C643">
        <w:rPr>
          <w:rFonts w:ascii="Times New Roman" w:eastAsia="Times New Roman" w:hAnsi="Times New Roman" w:cs="Times New Roman"/>
          <w:sz w:val="26"/>
          <w:szCs w:val="26"/>
        </w:rPr>
        <w:t>40” kedvezményes nyugdíját. A nők kedvezményes nyugdíjában részesülők (korhatár alattiak) létszámát az új ellátások megállapításán és az elhalálozottak állományi létszámból való kivezetésén túl a korhatár betöltések is befolyásolják.</w:t>
      </w:r>
    </w:p>
    <w:p w14:paraId="11F8A96C" w14:textId="00339B6E" w:rsidR="3E75DAF6" w:rsidRDefault="4600C643" w:rsidP="3E75DAF6">
      <w:pPr>
        <w:jc w:val="both"/>
      </w:pPr>
      <w:r w:rsidRPr="4600C643">
        <w:rPr>
          <w:rFonts w:ascii="Times New Roman" w:eastAsia="Times New Roman" w:hAnsi="Times New Roman" w:cs="Times New Roman"/>
          <w:sz w:val="26"/>
          <w:szCs w:val="26"/>
        </w:rPr>
        <w:t>Az előző évhez viszonyítottan kiugró létszámnövekedés oka, hogy 2026. január 1-jétől az egészségügyi ágazatban foglalkoztatottak – a szociális, gyermekvédelmi és köznevelési intézményekben foglalkoztatottakhoz hasonlóan – mentesülnek az öregségi nyugdíjuk szüneteltetése alól, részükre januártól ismét folyósításra kerülnek a Nyugdíjbiztosítási Alapból az öregségi nyugellátások. A jogszabálymódosítás mintegy 10 ezer főt érintett.</w:t>
      </w:r>
    </w:p>
    <w:p w14:paraId="52250089" w14:textId="568EE814" w:rsidR="3E75DAF6" w:rsidRDefault="4600C643" w:rsidP="3E75DAF6">
      <w:pPr>
        <w:jc w:val="both"/>
      </w:pPr>
      <w:r w:rsidRPr="4600C643">
        <w:rPr>
          <w:rFonts w:ascii="Times New Roman" w:eastAsia="Times New Roman" w:hAnsi="Times New Roman" w:cs="Times New Roman"/>
          <w:sz w:val="26"/>
          <w:szCs w:val="26"/>
        </w:rPr>
        <w:t>Az öregségi nyugdíjak átlagos havi összege egy év alatt 18</w:t>
      </w:r>
      <w:r w:rsidR="00E21AA5">
        <w:rPr>
          <w:rFonts w:ascii="Times New Roman" w:eastAsia="Times New Roman" w:hAnsi="Times New Roman" w:cs="Times New Roman"/>
          <w:sz w:val="26"/>
          <w:szCs w:val="26"/>
        </w:rPr>
        <w:t> </w:t>
      </w:r>
      <w:r w:rsidRPr="4600C643">
        <w:rPr>
          <w:rFonts w:ascii="Times New Roman" w:eastAsia="Times New Roman" w:hAnsi="Times New Roman" w:cs="Times New Roman"/>
          <w:sz w:val="26"/>
          <w:szCs w:val="26"/>
        </w:rPr>
        <w:t>656 forinttal emelkedett, 2026. februárban 261 338 forint volt.</w:t>
      </w:r>
    </w:p>
    <w:p w14:paraId="725BF303" w14:textId="174F7D04" w:rsidR="7BF38582" w:rsidRDefault="4600C643" w:rsidP="4600C643">
      <w:pPr>
        <w:jc w:val="both"/>
        <w:rPr>
          <w:rFonts w:ascii="Times New Roman" w:eastAsia="Times New Roman" w:hAnsi="Times New Roman" w:cs="Times New Roman"/>
          <w:sz w:val="26"/>
          <w:szCs w:val="26"/>
        </w:rPr>
      </w:pPr>
      <w:r w:rsidRPr="4600C643">
        <w:rPr>
          <w:rFonts w:ascii="Times New Roman" w:eastAsia="Times New Roman" w:hAnsi="Times New Roman" w:cs="Times New Roman"/>
          <w:sz w:val="26"/>
          <w:szCs w:val="26"/>
        </w:rPr>
        <w:t>Az ellátások egy főre jutó havi átlagos összege az egyes ellátotti jogcímeken belül az előző év azonos időszakával összehasonlítva az alábbiak szerint alakult.</w:t>
      </w:r>
    </w:p>
    <w:p w14:paraId="503DFEB7" w14:textId="4515EFA9" w:rsidR="00EF1F5B" w:rsidRDefault="00A36AD4" w:rsidP="002D6802">
      <w:pPr>
        <w:pStyle w:val="NormlWeb"/>
        <w:spacing w:before="0" w:beforeAutospacing="0" w:after="0" w:afterAutospacing="0"/>
        <w:jc w:val="center"/>
      </w:pPr>
      <w:r w:rsidRPr="00A36AD4">
        <w:rPr>
          <w:noProof/>
        </w:rPr>
        <w:drawing>
          <wp:inline distT="0" distB="0" distL="0" distR="0" wp14:anchorId="75981237" wp14:editId="014F0C9F">
            <wp:extent cx="4513479" cy="3060771"/>
            <wp:effectExtent l="0" t="0" r="1905" b="6350"/>
            <wp:docPr id="763927525" name="Kép 1" descr="A képen szöveg, képernyőkép, szám, diagra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27525" name="Kép 1" descr="A képen szöveg, képernyőkép, szám, diagram látható&#10;&#10;Előfordulhat, hogy a mesterséges intelligencia által létrehozott tartalom helytelen."/>
                    <pic:cNvPicPr/>
                  </pic:nvPicPr>
                  <pic:blipFill>
                    <a:blip r:embed="rId21"/>
                    <a:stretch>
                      <a:fillRect/>
                    </a:stretch>
                  </pic:blipFill>
                  <pic:spPr>
                    <a:xfrm>
                      <a:off x="0" y="0"/>
                      <a:ext cx="4533678" cy="3074469"/>
                    </a:xfrm>
                    <a:prstGeom prst="rect">
                      <a:avLst/>
                    </a:prstGeom>
                  </pic:spPr>
                </pic:pic>
              </a:graphicData>
            </a:graphic>
          </wp:inline>
        </w:drawing>
      </w:r>
    </w:p>
    <w:p w14:paraId="3779DB9C" w14:textId="246CB37A" w:rsidR="0022104D" w:rsidRDefault="4600C643" w:rsidP="00A31F84">
      <w:pPr>
        <w:widowControl w:val="0"/>
        <w:spacing w:before="240"/>
        <w:jc w:val="both"/>
      </w:pPr>
      <w:r w:rsidRPr="4600C643">
        <w:rPr>
          <w:rFonts w:ascii="Times New Roman" w:eastAsia="Times New Roman" w:hAnsi="Times New Roman" w:cs="Times New Roman"/>
          <w:sz w:val="26"/>
          <w:szCs w:val="26"/>
        </w:rPr>
        <w:t xml:space="preserve">Az öregségi nyugdíjban, hozzátartozói nyugellátásban részesülők jogcím szerinti megoszlásának összehasonlítását a korábbi adatokkal az alábbi ábrák mutatják. </w:t>
      </w:r>
    </w:p>
    <w:p w14:paraId="6E229341" w14:textId="203C23AD" w:rsidR="00EF1F5B" w:rsidRDefault="00A36AD4" w:rsidP="00046A69">
      <w:pPr>
        <w:pStyle w:val="NormlWeb"/>
        <w:widowControl w:val="0"/>
        <w:ind w:right="424"/>
        <w:jc w:val="center"/>
      </w:pPr>
      <w:r w:rsidRPr="00A36AD4">
        <w:rPr>
          <w:noProof/>
        </w:rPr>
        <w:lastRenderedPageBreak/>
        <w:drawing>
          <wp:inline distT="0" distB="0" distL="0" distR="0" wp14:anchorId="3E316483" wp14:editId="05C1BDE1">
            <wp:extent cx="5570496" cy="2553005"/>
            <wp:effectExtent l="0" t="0" r="0" b="0"/>
            <wp:docPr id="605993560" name="Kép 1" descr="A képen szöveg, képernyőkép, diagram, Betűtípus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993560" name="Kép 1" descr="A képen szöveg, képernyőkép, diagram, Betűtípus látható&#10;&#10;Előfordulhat, hogy a mesterséges intelligencia által létrehozott tartalom helytelen."/>
                    <pic:cNvPicPr/>
                  </pic:nvPicPr>
                  <pic:blipFill>
                    <a:blip r:embed="rId22"/>
                    <a:stretch>
                      <a:fillRect/>
                    </a:stretch>
                  </pic:blipFill>
                  <pic:spPr>
                    <a:xfrm>
                      <a:off x="0" y="0"/>
                      <a:ext cx="5586865" cy="2560507"/>
                    </a:xfrm>
                    <a:prstGeom prst="rect">
                      <a:avLst/>
                    </a:prstGeom>
                  </pic:spPr>
                </pic:pic>
              </a:graphicData>
            </a:graphic>
          </wp:inline>
        </w:drawing>
      </w:r>
    </w:p>
    <w:p w14:paraId="2A4F88FB" w14:textId="0DFE69E9" w:rsidR="00D4148C" w:rsidRPr="002B492B" w:rsidRDefault="4600C643" w:rsidP="4600C643">
      <w:pPr>
        <w:widowControl w:val="0"/>
        <w:rPr>
          <w:rFonts w:ascii="Times New Roman" w:eastAsia="Times New Roman" w:hAnsi="Times New Roman" w:cs="Times New Roman"/>
          <w:b/>
          <w:bCs/>
          <w:sz w:val="26"/>
          <w:szCs w:val="26"/>
        </w:rPr>
      </w:pPr>
      <w:r w:rsidRPr="4600C643">
        <w:rPr>
          <w:rFonts w:ascii="Times New Roman" w:eastAsia="Times New Roman" w:hAnsi="Times New Roman" w:cs="Times New Roman"/>
          <w:sz w:val="26"/>
          <w:szCs w:val="26"/>
        </w:rPr>
        <w:t xml:space="preserve">Az </w:t>
      </w:r>
      <w:r w:rsidRPr="4600C643">
        <w:rPr>
          <w:rFonts w:ascii="Times New Roman" w:eastAsia="Times New Roman" w:hAnsi="Times New Roman" w:cs="Times New Roman"/>
          <w:b/>
          <w:bCs/>
          <w:sz w:val="26"/>
          <w:szCs w:val="26"/>
        </w:rPr>
        <w:t>Egészségbiztosítási Alap kiadásainak</w:t>
      </w:r>
      <w:r w:rsidRPr="4600C643">
        <w:rPr>
          <w:rFonts w:ascii="Times New Roman" w:eastAsia="Times New Roman" w:hAnsi="Times New Roman" w:cs="Times New Roman"/>
          <w:sz w:val="26"/>
          <w:szCs w:val="26"/>
        </w:rPr>
        <w:t xml:space="preserve"> összetételét a következő ábra mutatja be:</w:t>
      </w:r>
      <w:r w:rsidRPr="4600C643">
        <w:rPr>
          <w:rFonts w:ascii="Times New Roman" w:eastAsia="Times New Roman" w:hAnsi="Times New Roman" w:cs="Times New Roman"/>
          <w:b/>
          <w:bCs/>
          <w:sz w:val="26"/>
          <w:szCs w:val="26"/>
        </w:rPr>
        <w:t xml:space="preserve"> </w:t>
      </w:r>
    </w:p>
    <w:p w14:paraId="57C38B59" w14:textId="4A9B3AB2" w:rsidR="00D4148C" w:rsidRDefault="00AB17FF" w:rsidP="00AB17FF">
      <w:pPr>
        <w:widowControl w:val="0"/>
        <w:spacing w:after="240"/>
        <w:ind w:left="284"/>
        <w:jc w:val="center"/>
        <w:rPr>
          <w:rFonts w:ascii="Times New Roman" w:eastAsia="Times New Roman" w:hAnsi="Times New Roman" w:cs="Times New Roman"/>
          <w:sz w:val="26"/>
          <w:szCs w:val="26"/>
        </w:rPr>
      </w:pPr>
      <w:r w:rsidRPr="00AB17FF">
        <w:rPr>
          <w:rFonts w:ascii="Times New Roman" w:eastAsia="Times New Roman" w:hAnsi="Times New Roman" w:cs="Times New Roman"/>
          <w:noProof/>
          <w:sz w:val="26"/>
          <w:szCs w:val="26"/>
        </w:rPr>
        <w:drawing>
          <wp:inline distT="0" distB="0" distL="0" distR="0" wp14:anchorId="4027A4F1" wp14:editId="2A7B3C2F">
            <wp:extent cx="5987281" cy="2499234"/>
            <wp:effectExtent l="0" t="0" r="0" b="0"/>
            <wp:docPr id="786101807" name="Kép 1" descr="A képen szöveg, diagram, képernyőkép, kö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101807" name="Kép 1" descr="A képen szöveg, diagram, képernyőkép, kör látható&#10;&#10;Előfordulhat, hogy a mesterséges intelligencia által létrehozott tartalom helytelen."/>
                    <pic:cNvPicPr/>
                  </pic:nvPicPr>
                  <pic:blipFill>
                    <a:blip r:embed="rId23"/>
                    <a:stretch>
                      <a:fillRect/>
                    </a:stretch>
                  </pic:blipFill>
                  <pic:spPr>
                    <a:xfrm>
                      <a:off x="0" y="0"/>
                      <a:ext cx="6014022" cy="2510396"/>
                    </a:xfrm>
                    <a:prstGeom prst="rect">
                      <a:avLst/>
                    </a:prstGeom>
                  </pic:spPr>
                </pic:pic>
              </a:graphicData>
            </a:graphic>
          </wp:inline>
        </w:drawing>
      </w:r>
    </w:p>
    <w:p w14:paraId="19FDF989" w14:textId="3442799B" w:rsidR="00CA3468" w:rsidRDefault="070AFB42" w:rsidP="070AFB42">
      <w:pPr>
        <w:widowControl w:val="0"/>
        <w:spacing w:after="120"/>
        <w:jc w:val="both"/>
        <w:rPr>
          <w:rFonts w:ascii="Times New Roman" w:eastAsia="Times New Roman" w:hAnsi="Times New Roman" w:cs="Times New Roman"/>
          <w:sz w:val="26"/>
          <w:szCs w:val="26"/>
        </w:rPr>
      </w:pPr>
      <w:r w:rsidRPr="070AFB42">
        <w:rPr>
          <w:rFonts w:ascii="Times New Roman" w:eastAsia="Times New Roman" w:hAnsi="Times New Roman" w:cs="Times New Roman"/>
          <w:sz w:val="26"/>
          <w:szCs w:val="26"/>
        </w:rPr>
        <w:t xml:space="preserve">Az </w:t>
      </w:r>
      <w:r w:rsidRPr="070AFB42">
        <w:rPr>
          <w:rFonts w:ascii="Times New Roman" w:eastAsia="Times New Roman" w:hAnsi="Times New Roman" w:cs="Times New Roman"/>
          <w:b/>
          <w:bCs/>
          <w:sz w:val="26"/>
          <w:szCs w:val="26"/>
        </w:rPr>
        <w:t>Egészségbiztosítási Alap</w:t>
      </w:r>
      <w:r w:rsidRPr="070AFB42">
        <w:rPr>
          <w:rFonts w:ascii="Times New Roman" w:eastAsia="Times New Roman" w:hAnsi="Times New Roman" w:cs="Times New Roman"/>
          <w:sz w:val="26"/>
          <w:szCs w:val="26"/>
        </w:rPr>
        <w:t xml:space="preserve"> összes kiadásának 28,5%-át a </w:t>
      </w:r>
      <w:r w:rsidRPr="070AFB42">
        <w:rPr>
          <w:rFonts w:ascii="Times New Roman" w:eastAsia="Times New Roman" w:hAnsi="Times New Roman" w:cs="Times New Roman"/>
          <w:b/>
          <w:bCs/>
          <w:sz w:val="26"/>
          <w:szCs w:val="26"/>
        </w:rPr>
        <w:t>pénzbeli ellátásokra</w:t>
      </w:r>
      <w:r w:rsidRPr="070AFB42">
        <w:rPr>
          <w:rFonts w:ascii="Times New Roman" w:eastAsia="Times New Roman" w:hAnsi="Times New Roman" w:cs="Times New Roman"/>
          <w:sz w:val="26"/>
          <w:szCs w:val="26"/>
        </w:rPr>
        <w:t xml:space="preserve"> fordított összeg adta. Az ellátások részletes bemutatását a következő táblázat tartalmazza:</w:t>
      </w:r>
    </w:p>
    <w:p w14:paraId="1D31F2C8" w14:textId="3F5AAC59" w:rsidR="00DA4FBC" w:rsidRPr="001074A1" w:rsidRDefault="4600C643" w:rsidP="4600C643">
      <w:pPr>
        <w:widowControl w:val="0"/>
        <w:spacing w:after="240"/>
        <w:jc w:val="center"/>
        <w:rPr>
          <w:rFonts w:ascii="Times New Roman" w:eastAsia="Times New Roman" w:hAnsi="Times New Roman" w:cs="Times New Roman"/>
          <w:b/>
          <w:bCs/>
        </w:rPr>
      </w:pPr>
      <w:r w:rsidRPr="4600C643">
        <w:rPr>
          <w:rFonts w:ascii="Times New Roman" w:eastAsia="Times New Roman" w:hAnsi="Times New Roman" w:cs="Times New Roman"/>
          <w:b/>
          <w:bCs/>
        </w:rPr>
        <w:t>Az Egészségbiztosítási Alap pénzbeli ellátásokra fordított kiadásainak alakulása (milliárd forint)</w:t>
      </w:r>
    </w:p>
    <w:tbl>
      <w:tblPr>
        <w:tblpPr w:leftFromText="141" w:rightFromText="141" w:vertAnchor="text" w:tblpXSpec="center" w:tblpY="1"/>
        <w:tblOverlap w:val="never"/>
        <w:tblW w:w="8718" w:type="dxa"/>
        <w:tblLayout w:type="fixed"/>
        <w:tblCellMar>
          <w:left w:w="70" w:type="dxa"/>
          <w:right w:w="70" w:type="dxa"/>
        </w:tblCellMar>
        <w:tblLook w:val="04A0" w:firstRow="1" w:lastRow="0" w:firstColumn="1" w:lastColumn="0" w:noHBand="0" w:noVBand="1"/>
      </w:tblPr>
      <w:tblGrid>
        <w:gridCol w:w="4248"/>
        <w:gridCol w:w="1276"/>
        <w:gridCol w:w="1209"/>
        <w:gridCol w:w="992"/>
        <w:gridCol w:w="993"/>
      </w:tblGrid>
      <w:tr w:rsidR="00E601EF" w:rsidRPr="00377D59" w14:paraId="06E6BC15" w14:textId="77777777" w:rsidTr="070AFB42">
        <w:trPr>
          <w:trHeight w:val="340"/>
        </w:trPr>
        <w:tc>
          <w:tcPr>
            <w:tcW w:w="4248" w:type="dxa"/>
            <w:vMerge w:val="restart"/>
            <w:tcBorders>
              <w:top w:val="single" w:sz="4" w:space="0" w:color="auto"/>
              <w:left w:val="single" w:sz="4" w:space="0" w:color="auto"/>
              <w:bottom w:val="single" w:sz="4" w:space="0" w:color="000000" w:themeColor="text1"/>
              <w:right w:val="single" w:sz="4" w:space="0" w:color="auto"/>
            </w:tcBorders>
            <w:shd w:val="clear" w:color="auto" w:fill="BDD6EE" w:themeFill="accent1" w:themeFillTint="66"/>
            <w:noWrap/>
            <w:vAlign w:val="center"/>
            <w:hideMark/>
          </w:tcPr>
          <w:p w14:paraId="510863DA" w14:textId="77777777" w:rsidR="00E601EF" w:rsidRPr="00377D59" w:rsidRDefault="4600C643" w:rsidP="4600C643">
            <w:pPr>
              <w:widowControl w:val="0"/>
              <w:spacing w:after="0" w:line="240" w:lineRule="auto"/>
              <w:jc w:val="center"/>
              <w:rPr>
                <w:rFonts w:ascii="Times New Roman" w:eastAsia="Times New Roman" w:hAnsi="Times New Roman" w:cs="Times New Roman"/>
                <w:b/>
                <w:bCs/>
              </w:rPr>
            </w:pPr>
            <w:r w:rsidRPr="4600C643">
              <w:rPr>
                <w:rFonts w:ascii="Times New Roman" w:eastAsia="Times New Roman" w:hAnsi="Times New Roman" w:cs="Times New Roman"/>
                <w:b/>
                <w:bCs/>
              </w:rPr>
              <w:t>Megnevezés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7A7FE5D" w14:textId="77777777" w:rsidR="005F7B25" w:rsidRDefault="4600C643" w:rsidP="4600C643">
            <w:pPr>
              <w:widowControl w:val="0"/>
              <w:spacing w:after="0" w:line="240" w:lineRule="auto"/>
              <w:jc w:val="center"/>
              <w:rPr>
                <w:rFonts w:ascii="Times New Roman" w:eastAsia="Times New Roman" w:hAnsi="Times New Roman" w:cs="Times New Roman"/>
                <w:b/>
                <w:bCs/>
              </w:rPr>
            </w:pPr>
            <w:r w:rsidRPr="4600C643">
              <w:rPr>
                <w:rFonts w:ascii="Times New Roman" w:eastAsia="Times New Roman" w:hAnsi="Times New Roman" w:cs="Times New Roman"/>
                <w:b/>
                <w:bCs/>
              </w:rPr>
              <w:t xml:space="preserve">2025. </w:t>
            </w:r>
          </w:p>
          <w:p w14:paraId="6BB44369" w14:textId="70E4CC7F" w:rsidR="00E601EF" w:rsidRPr="00377D59" w:rsidRDefault="070AFB42" w:rsidP="070AFB42">
            <w:pPr>
              <w:widowControl w:val="0"/>
              <w:spacing w:after="0" w:line="240" w:lineRule="auto"/>
              <w:jc w:val="center"/>
              <w:rPr>
                <w:rFonts w:ascii="Times New Roman" w:eastAsia="Times New Roman" w:hAnsi="Times New Roman" w:cs="Times New Roman"/>
                <w:b/>
                <w:bCs/>
              </w:rPr>
            </w:pPr>
            <w:r w:rsidRPr="070AFB42">
              <w:rPr>
                <w:rFonts w:ascii="Times New Roman" w:eastAsia="Times New Roman" w:hAnsi="Times New Roman" w:cs="Times New Roman"/>
                <w:b/>
                <w:bCs/>
              </w:rPr>
              <w:t>I-II. hó</w:t>
            </w:r>
          </w:p>
        </w:tc>
        <w:tc>
          <w:tcPr>
            <w:tcW w:w="1209"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26BDEFD" w14:textId="77777777" w:rsidR="005F7B25" w:rsidRDefault="4600C643" w:rsidP="4600C643">
            <w:pPr>
              <w:widowControl w:val="0"/>
              <w:spacing w:after="0" w:line="240" w:lineRule="auto"/>
              <w:jc w:val="center"/>
              <w:rPr>
                <w:rFonts w:ascii="Times New Roman" w:eastAsia="Times New Roman" w:hAnsi="Times New Roman" w:cs="Times New Roman"/>
                <w:b/>
                <w:bCs/>
              </w:rPr>
            </w:pPr>
            <w:r w:rsidRPr="4600C643">
              <w:rPr>
                <w:rFonts w:ascii="Times New Roman" w:eastAsia="Times New Roman" w:hAnsi="Times New Roman" w:cs="Times New Roman"/>
                <w:b/>
                <w:bCs/>
              </w:rPr>
              <w:t xml:space="preserve">2026. </w:t>
            </w:r>
          </w:p>
          <w:p w14:paraId="5A1BFE64" w14:textId="57FE63BF" w:rsidR="00E601EF" w:rsidRPr="004E5F60" w:rsidRDefault="070AFB42" w:rsidP="070AFB42">
            <w:pPr>
              <w:widowControl w:val="0"/>
              <w:spacing w:after="0" w:line="240" w:lineRule="auto"/>
              <w:jc w:val="center"/>
              <w:rPr>
                <w:rFonts w:ascii="Times New Roman" w:eastAsia="Times New Roman" w:hAnsi="Times New Roman" w:cs="Times New Roman"/>
                <w:b/>
                <w:bCs/>
              </w:rPr>
            </w:pPr>
            <w:r w:rsidRPr="070AFB42">
              <w:rPr>
                <w:rFonts w:ascii="Times New Roman" w:eastAsia="Times New Roman" w:hAnsi="Times New Roman" w:cs="Times New Roman"/>
                <w:b/>
                <w:bCs/>
              </w:rPr>
              <w:t>I-II. hó</w:t>
            </w:r>
          </w:p>
        </w:tc>
        <w:tc>
          <w:tcPr>
            <w:tcW w:w="1985"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EFB39D6" w14:textId="77777777" w:rsidR="00E601EF" w:rsidRPr="00377D59" w:rsidRDefault="4600C643" w:rsidP="4600C643">
            <w:pPr>
              <w:widowControl w:val="0"/>
              <w:spacing w:after="0" w:line="240" w:lineRule="auto"/>
              <w:jc w:val="center"/>
              <w:rPr>
                <w:rFonts w:ascii="Times New Roman" w:eastAsia="Times New Roman" w:hAnsi="Times New Roman" w:cs="Times New Roman"/>
                <w:b/>
                <w:bCs/>
              </w:rPr>
            </w:pPr>
            <w:r w:rsidRPr="4600C643">
              <w:rPr>
                <w:rFonts w:ascii="Times New Roman" w:eastAsia="Times New Roman" w:hAnsi="Times New Roman" w:cs="Times New Roman"/>
                <w:b/>
                <w:bCs/>
              </w:rPr>
              <w:t>Eltérés</w:t>
            </w:r>
          </w:p>
        </w:tc>
      </w:tr>
      <w:tr w:rsidR="00E601EF" w:rsidRPr="00377D59" w14:paraId="67C6C54B" w14:textId="77777777" w:rsidTr="070AFB42">
        <w:trPr>
          <w:trHeight w:val="340"/>
        </w:trPr>
        <w:tc>
          <w:tcPr>
            <w:tcW w:w="4248" w:type="dxa"/>
            <w:vMerge/>
            <w:tcBorders>
              <w:top w:val="single" w:sz="4" w:space="0" w:color="auto"/>
              <w:left w:val="single" w:sz="4" w:space="0" w:color="auto"/>
              <w:bottom w:val="single" w:sz="4" w:space="0" w:color="000000"/>
              <w:right w:val="single" w:sz="4" w:space="0" w:color="auto"/>
            </w:tcBorders>
            <w:shd w:val="clear" w:color="auto" w:fill="BDD6EE" w:themeFill="accent1" w:themeFillTint="66"/>
            <w:vAlign w:val="center"/>
            <w:hideMark/>
          </w:tcPr>
          <w:p w14:paraId="5CCA367D" w14:textId="77777777" w:rsidR="00E601EF" w:rsidRPr="00377D59" w:rsidRDefault="00E601EF" w:rsidP="00A31F84">
            <w:pPr>
              <w:widowControl w:val="0"/>
              <w:spacing w:after="0" w:line="240" w:lineRule="auto"/>
              <w:rPr>
                <w:rFonts w:ascii="Times New Roman" w:eastAsia="Times New Roman" w:hAnsi="Times New Roman" w:cs="Times New Roman"/>
                <w:b/>
                <w:bCs/>
                <w:lang w:eastAsia="hu-HU"/>
              </w:rPr>
            </w:pPr>
          </w:p>
        </w:tc>
        <w:tc>
          <w:tcPr>
            <w:tcW w:w="1276"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499307A" w14:textId="77777777" w:rsidR="00E601EF" w:rsidRPr="00377D59" w:rsidRDefault="00E601EF" w:rsidP="00A31F84">
            <w:pPr>
              <w:widowControl w:val="0"/>
              <w:spacing w:after="0" w:line="240" w:lineRule="auto"/>
              <w:jc w:val="center"/>
              <w:rPr>
                <w:rFonts w:ascii="Times New Roman" w:eastAsia="Times New Roman" w:hAnsi="Times New Roman" w:cs="Times New Roman"/>
                <w:b/>
                <w:bCs/>
                <w:lang w:eastAsia="hu-HU"/>
              </w:rPr>
            </w:pPr>
          </w:p>
        </w:tc>
        <w:tc>
          <w:tcPr>
            <w:tcW w:w="1209"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3E594B6" w14:textId="77777777" w:rsidR="00E601EF" w:rsidRPr="00377D59" w:rsidRDefault="00E601EF" w:rsidP="00A31F84">
            <w:pPr>
              <w:widowControl w:val="0"/>
              <w:spacing w:after="0" w:line="240" w:lineRule="auto"/>
              <w:jc w:val="center"/>
              <w:rPr>
                <w:rFonts w:ascii="Times New Roman" w:eastAsia="Times New Roman" w:hAnsi="Times New Roman" w:cs="Times New Roman"/>
                <w:b/>
                <w:bCs/>
                <w:lang w:eastAsia="hu-HU"/>
              </w:rPr>
            </w:pPr>
          </w:p>
        </w:tc>
        <w:tc>
          <w:tcPr>
            <w:tcW w:w="992"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6986BC2B" w14:textId="77777777" w:rsidR="00E601EF" w:rsidRPr="00377D59" w:rsidRDefault="4600C643" w:rsidP="4600C643">
            <w:pPr>
              <w:widowControl w:val="0"/>
              <w:spacing w:after="0" w:line="240" w:lineRule="auto"/>
              <w:jc w:val="center"/>
              <w:rPr>
                <w:rFonts w:ascii="Times New Roman" w:eastAsia="Times New Roman" w:hAnsi="Times New Roman" w:cs="Times New Roman"/>
                <w:b/>
                <w:bCs/>
                <w:lang w:eastAsia="hu-HU"/>
              </w:rPr>
            </w:pPr>
            <w:r w:rsidRPr="4600C643">
              <w:rPr>
                <w:rFonts w:ascii="Times New Roman" w:eastAsia="Times New Roman" w:hAnsi="Times New Roman" w:cs="Times New Roman"/>
                <w:b/>
                <w:bCs/>
                <w:lang w:eastAsia="hu-HU"/>
              </w:rPr>
              <w:t>Mrd Ft</w:t>
            </w:r>
          </w:p>
        </w:tc>
        <w:tc>
          <w:tcPr>
            <w:tcW w:w="993"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0EDA458" w14:textId="77777777" w:rsidR="00E601EF" w:rsidRPr="00377D59" w:rsidRDefault="4600C643" w:rsidP="4600C643">
            <w:pPr>
              <w:widowControl w:val="0"/>
              <w:spacing w:after="0" w:line="240" w:lineRule="auto"/>
              <w:jc w:val="center"/>
              <w:rPr>
                <w:rFonts w:ascii="Times New Roman" w:eastAsia="Times New Roman" w:hAnsi="Times New Roman" w:cs="Times New Roman"/>
                <w:b/>
                <w:bCs/>
                <w:lang w:eastAsia="hu-HU"/>
              </w:rPr>
            </w:pPr>
            <w:r w:rsidRPr="4600C643">
              <w:rPr>
                <w:rFonts w:ascii="Times New Roman" w:eastAsia="Times New Roman" w:hAnsi="Times New Roman" w:cs="Times New Roman"/>
                <w:b/>
                <w:bCs/>
                <w:lang w:eastAsia="hu-HU"/>
              </w:rPr>
              <w:t>%</w:t>
            </w:r>
          </w:p>
        </w:tc>
      </w:tr>
      <w:tr w:rsidR="00494D4B" w:rsidRPr="00377D59" w14:paraId="0F7FB8C0" w14:textId="77777777" w:rsidTr="070AFB42">
        <w:trPr>
          <w:trHeight w:val="340"/>
        </w:trPr>
        <w:tc>
          <w:tcPr>
            <w:tcW w:w="4248" w:type="dxa"/>
            <w:tcBorders>
              <w:top w:val="nil"/>
              <w:left w:val="single" w:sz="4" w:space="0" w:color="auto"/>
              <w:bottom w:val="single" w:sz="4" w:space="0" w:color="auto"/>
              <w:right w:val="single" w:sz="4" w:space="0" w:color="auto"/>
            </w:tcBorders>
            <w:noWrap/>
            <w:vAlign w:val="center"/>
            <w:hideMark/>
          </w:tcPr>
          <w:p w14:paraId="4F8BBBDE" w14:textId="77777777" w:rsidR="00494D4B" w:rsidRPr="00377D59" w:rsidRDefault="4600C643" w:rsidP="4600C643">
            <w:pPr>
              <w:widowControl w:val="0"/>
              <w:spacing w:after="0" w:line="240" w:lineRule="auto"/>
              <w:ind w:firstLine="67"/>
              <w:rPr>
                <w:rFonts w:ascii="Times New Roman" w:eastAsia="Times New Roman" w:hAnsi="Times New Roman" w:cs="Times New Roman"/>
                <w:b/>
                <w:bCs/>
                <w:lang w:eastAsia="hu-HU"/>
              </w:rPr>
            </w:pPr>
            <w:r w:rsidRPr="4600C643">
              <w:rPr>
                <w:rFonts w:ascii="Times New Roman" w:eastAsia="Times New Roman" w:hAnsi="Times New Roman" w:cs="Times New Roman"/>
                <w:b/>
                <w:bCs/>
                <w:lang w:eastAsia="hu-HU"/>
              </w:rPr>
              <w:t>Pénzbeli ellátások</w:t>
            </w:r>
          </w:p>
        </w:tc>
        <w:tc>
          <w:tcPr>
            <w:tcW w:w="1276" w:type="dxa"/>
            <w:tcBorders>
              <w:top w:val="single" w:sz="4" w:space="0" w:color="auto"/>
              <w:left w:val="nil"/>
              <w:bottom w:val="single" w:sz="4" w:space="0" w:color="auto"/>
              <w:right w:val="single" w:sz="4" w:space="0" w:color="auto"/>
            </w:tcBorders>
            <w:vAlign w:val="center"/>
          </w:tcPr>
          <w:p w14:paraId="3EB30386" w14:textId="25786BD9" w:rsidR="00494D4B" w:rsidRPr="001074A1" w:rsidRDefault="070AFB42" w:rsidP="070AFB42">
            <w:pPr>
              <w:widowControl w:val="0"/>
              <w:spacing w:after="0"/>
              <w:jc w:val="right"/>
              <w:rPr>
                <w:rFonts w:ascii="Times New Roman" w:eastAsia="Times New Roman" w:hAnsi="Times New Roman" w:cs="Times New Roman"/>
                <w:b/>
                <w:bCs/>
                <w:lang w:eastAsia="hu-HU"/>
              </w:rPr>
            </w:pPr>
            <w:r w:rsidRPr="070AFB42">
              <w:rPr>
                <w:rFonts w:ascii="Times New Roman" w:eastAsia="Times New Roman" w:hAnsi="Times New Roman" w:cs="Times New Roman"/>
                <w:b/>
                <w:bCs/>
                <w:lang w:eastAsia="hu-HU"/>
              </w:rPr>
              <w:t>232,9</w:t>
            </w:r>
          </w:p>
        </w:tc>
        <w:tc>
          <w:tcPr>
            <w:tcW w:w="1209" w:type="dxa"/>
            <w:tcBorders>
              <w:top w:val="single" w:sz="4" w:space="0" w:color="auto"/>
              <w:left w:val="nil"/>
              <w:bottom w:val="single" w:sz="4" w:space="0" w:color="auto"/>
              <w:right w:val="single" w:sz="4" w:space="0" w:color="auto"/>
            </w:tcBorders>
            <w:vAlign w:val="center"/>
          </w:tcPr>
          <w:p w14:paraId="749AF748" w14:textId="772F16AD" w:rsidR="00494D4B" w:rsidRPr="001074A1" w:rsidRDefault="070AFB42" w:rsidP="070AFB42">
            <w:pPr>
              <w:widowControl w:val="0"/>
              <w:spacing w:after="0"/>
              <w:jc w:val="right"/>
              <w:rPr>
                <w:rFonts w:ascii="Times New Roman" w:eastAsia="Times New Roman" w:hAnsi="Times New Roman" w:cs="Times New Roman"/>
                <w:b/>
                <w:bCs/>
                <w:lang w:eastAsia="hu-HU"/>
              </w:rPr>
            </w:pPr>
            <w:r w:rsidRPr="070AFB42">
              <w:rPr>
                <w:rFonts w:ascii="Times New Roman" w:eastAsia="Times New Roman" w:hAnsi="Times New Roman" w:cs="Times New Roman"/>
                <w:b/>
                <w:bCs/>
                <w:lang w:eastAsia="hu-HU"/>
              </w:rPr>
              <w:t>264,3</w:t>
            </w:r>
          </w:p>
        </w:tc>
        <w:tc>
          <w:tcPr>
            <w:tcW w:w="992" w:type="dxa"/>
            <w:tcBorders>
              <w:top w:val="single" w:sz="4" w:space="0" w:color="auto"/>
              <w:left w:val="nil"/>
              <w:bottom w:val="single" w:sz="4" w:space="0" w:color="auto"/>
              <w:right w:val="single" w:sz="4" w:space="0" w:color="auto"/>
            </w:tcBorders>
            <w:noWrap/>
            <w:vAlign w:val="center"/>
          </w:tcPr>
          <w:p w14:paraId="780D698F" w14:textId="08EF517A" w:rsidR="00494D4B" w:rsidRPr="001074A1" w:rsidRDefault="070AFB42" w:rsidP="070AFB42">
            <w:pPr>
              <w:widowControl w:val="0"/>
              <w:spacing w:after="0"/>
              <w:jc w:val="right"/>
              <w:rPr>
                <w:rFonts w:ascii="Times New Roman" w:eastAsia="Times New Roman" w:hAnsi="Times New Roman" w:cs="Times New Roman"/>
                <w:b/>
                <w:bCs/>
                <w:lang w:eastAsia="hu-HU"/>
              </w:rPr>
            </w:pPr>
            <w:r w:rsidRPr="070AFB42">
              <w:rPr>
                <w:rFonts w:ascii="Times New Roman" w:eastAsia="Times New Roman" w:hAnsi="Times New Roman" w:cs="Times New Roman"/>
                <w:b/>
                <w:bCs/>
                <w:lang w:eastAsia="hu-HU"/>
              </w:rPr>
              <w:t>31,4</w:t>
            </w:r>
          </w:p>
        </w:tc>
        <w:tc>
          <w:tcPr>
            <w:tcW w:w="993" w:type="dxa"/>
            <w:tcBorders>
              <w:top w:val="single" w:sz="4" w:space="0" w:color="auto"/>
              <w:left w:val="nil"/>
              <w:bottom w:val="single" w:sz="4" w:space="0" w:color="auto"/>
              <w:right w:val="single" w:sz="4" w:space="0" w:color="auto"/>
            </w:tcBorders>
            <w:noWrap/>
            <w:vAlign w:val="center"/>
          </w:tcPr>
          <w:p w14:paraId="35977C13" w14:textId="736FCAF6" w:rsidR="00494D4B" w:rsidRPr="001074A1" w:rsidRDefault="070AFB42" w:rsidP="070AFB42">
            <w:pPr>
              <w:widowControl w:val="0"/>
              <w:spacing w:after="0"/>
              <w:jc w:val="right"/>
              <w:rPr>
                <w:rFonts w:ascii="Times New Roman" w:eastAsia="Times New Roman" w:hAnsi="Times New Roman" w:cs="Times New Roman"/>
                <w:b/>
                <w:bCs/>
                <w:lang w:eastAsia="hu-HU"/>
              </w:rPr>
            </w:pPr>
            <w:r w:rsidRPr="070AFB42">
              <w:rPr>
                <w:rFonts w:ascii="Times New Roman" w:eastAsia="Times New Roman" w:hAnsi="Times New Roman" w:cs="Times New Roman"/>
                <w:b/>
                <w:bCs/>
                <w:lang w:eastAsia="hu-HU"/>
              </w:rPr>
              <w:t>113,5</w:t>
            </w:r>
          </w:p>
        </w:tc>
      </w:tr>
      <w:tr w:rsidR="00494D4B" w:rsidRPr="00377D59" w14:paraId="07715518" w14:textId="77777777" w:rsidTr="070AFB42">
        <w:trPr>
          <w:trHeight w:val="284"/>
        </w:trPr>
        <w:tc>
          <w:tcPr>
            <w:tcW w:w="4248" w:type="dxa"/>
            <w:tcBorders>
              <w:top w:val="nil"/>
              <w:left w:val="single" w:sz="4" w:space="0" w:color="auto"/>
              <w:bottom w:val="single" w:sz="4" w:space="0" w:color="auto"/>
              <w:right w:val="single" w:sz="4" w:space="0" w:color="auto"/>
            </w:tcBorders>
            <w:noWrap/>
            <w:vAlign w:val="center"/>
            <w:hideMark/>
          </w:tcPr>
          <w:p w14:paraId="31DF5B0B" w14:textId="77777777" w:rsidR="00494D4B" w:rsidRPr="003D21B5" w:rsidRDefault="4600C643" w:rsidP="4600C643">
            <w:pPr>
              <w:widowControl w:val="0"/>
              <w:spacing w:after="0" w:line="240" w:lineRule="auto"/>
              <w:ind w:firstLine="285"/>
              <w:rPr>
                <w:rFonts w:ascii="Times New Roman" w:eastAsia="Times New Roman" w:hAnsi="Times New Roman" w:cs="Times New Roman"/>
                <w:i/>
                <w:iCs/>
                <w:lang w:eastAsia="hu-HU"/>
              </w:rPr>
            </w:pPr>
            <w:r w:rsidRPr="4600C643">
              <w:rPr>
                <w:rFonts w:ascii="Times New Roman" w:eastAsia="Times New Roman" w:hAnsi="Times New Roman" w:cs="Times New Roman"/>
                <w:i/>
                <w:iCs/>
                <w:lang w:eastAsia="hu-HU"/>
              </w:rPr>
              <w:t>Ebből:</w:t>
            </w:r>
          </w:p>
        </w:tc>
        <w:tc>
          <w:tcPr>
            <w:tcW w:w="4470" w:type="dxa"/>
            <w:gridSpan w:val="4"/>
            <w:tcBorders>
              <w:top w:val="single" w:sz="4" w:space="0" w:color="auto"/>
              <w:left w:val="nil"/>
              <w:bottom w:val="single" w:sz="4" w:space="0" w:color="auto"/>
              <w:right w:val="single" w:sz="4" w:space="0" w:color="auto"/>
            </w:tcBorders>
            <w:vAlign w:val="center"/>
          </w:tcPr>
          <w:p w14:paraId="60B47ECC" w14:textId="007D4839" w:rsidR="00494D4B" w:rsidRPr="003D21B5" w:rsidRDefault="4600C643" w:rsidP="4600C643">
            <w:pPr>
              <w:widowControl w:val="0"/>
              <w:spacing w:after="0" w:line="240" w:lineRule="auto"/>
              <w:jc w:val="right"/>
              <w:rPr>
                <w:rFonts w:ascii="Times New Roman" w:eastAsia="Times New Roman" w:hAnsi="Times New Roman" w:cs="Times New Roman"/>
                <w:lang w:eastAsia="hu-HU"/>
              </w:rPr>
            </w:pPr>
            <w:r w:rsidRPr="4600C643">
              <w:rPr>
                <w:rFonts w:ascii="Times New Roman" w:eastAsia="Times New Roman" w:hAnsi="Times New Roman" w:cs="Times New Roman"/>
                <w:lang w:eastAsia="hu-HU"/>
              </w:rPr>
              <w:t> </w:t>
            </w:r>
          </w:p>
        </w:tc>
      </w:tr>
      <w:tr w:rsidR="00494D4B" w:rsidRPr="00377D59" w14:paraId="72B9616A" w14:textId="77777777" w:rsidTr="070AFB42">
        <w:trPr>
          <w:trHeight w:val="340"/>
        </w:trPr>
        <w:tc>
          <w:tcPr>
            <w:tcW w:w="4248" w:type="dxa"/>
            <w:tcBorders>
              <w:top w:val="nil"/>
              <w:left w:val="single" w:sz="4" w:space="0" w:color="auto"/>
              <w:bottom w:val="single" w:sz="4" w:space="0" w:color="auto"/>
              <w:right w:val="single" w:sz="4" w:space="0" w:color="auto"/>
            </w:tcBorders>
            <w:noWrap/>
            <w:vAlign w:val="center"/>
            <w:hideMark/>
          </w:tcPr>
          <w:p w14:paraId="21DA2C4C" w14:textId="77777777" w:rsidR="00494D4B" w:rsidRPr="003D21B5" w:rsidRDefault="4600C643" w:rsidP="4600C643">
            <w:pPr>
              <w:widowControl w:val="0"/>
              <w:spacing w:after="0" w:line="240" w:lineRule="auto"/>
              <w:ind w:firstLine="67"/>
              <w:rPr>
                <w:rFonts w:ascii="Times New Roman" w:eastAsia="Times New Roman" w:hAnsi="Times New Roman" w:cs="Times New Roman"/>
                <w:lang w:eastAsia="hu-HU"/>
              </w:rPr>
            </w:pPr>
            <w:r w:rsidRPr="4600C643">
              <w:rPr>
                <w:rFonts w:ascii="Times New Roman" w:eastAsia="Times New Roman" w:hAnsi="Times New Roman" w:cs="Times New Roman"/>
                <w:lang w:eastAsia="hu-HU"/>
              </w:rPr>
              <w:t>Rokkantsági, rehabilitációs ellátások</w:t>
            </w:r>
          </w:p>
        </w:tc>
        <w:tc>
          <w:tcPr>
            <w:tcW w:w="1276" w:type="dxa"/>
            <w:tcBorders>
              <w:top w:val="single" w:sz="4" w:space="0" w:color="auto"/>
              <w:left w:val="nil"/>
              <w:bottom w:val="single" w:sz="4" w:space="0" w:color="auto"/>
              <w:right w:val="single" w:sz="4" w:space="0" w:color="auto"/>
            </w:tcBorders>
            <w:noWrap/>
            <w:vAlign w:val="center"/>
          </w:tcPr>
          <w:p w14:paraId="49E22A63" w14:textId="5767DF89" w:rsidR="00494D4B" w:rsidRPr="003D21B5" w:rsidRDefault="070AFB42" w:rsidP="070AFB42">
            <w:pPr>
              <w:widowControl w:val="0"/>
              <w:spacing w:after="0"/>
              <w:jc w:val="right"/>
              <w:rPr>
                <w:rFonts w:ascii="Times New Roman" w:eastAsia="Times New Roman" w:hAnsi="Times New Roman" w:cs="Times New Roman"/>
                <w:lang w:eastAsia="hu-HU"/>
              </w:rPr>
            </w:pPr>
            <w:r w:rsidRPr="070AFB42">
              <w:rPr>
                <w:rFonts w:ascii="Times New Roman" w:eastAsia="Times New Roman" w:hAnsi="Times New Roman" w:cs="Times New Roman"/>
                <w:lang w:eastAsia="hu-HU"/>
              </w:rPr>
              <w:t>94,5</w:t>
            </w:r>
          </w:p>
        </w:tc>
        <w:tc>
          <w:tcPr>
            <w:tcW w:w="1209" w:type="dxa"/>
            <w:tcBorders>
              <w:top w:val="single" w:sz="4" w:space="0" w:color="auto"/>
              <w:left w:val="nil"/>
              <w:bottom w:val="single" w:sz="4" w:space="0" w:color="auto"/>
              <w:right w:val="single" w:sz="4" w:space="0" w:color="auto"/>
            </w:tcBorders>
            <w:noWrap/>
            <w:vAlign w:val="center"/>
          </w:tcPr>
          <w:p w14:paraId="0480FC73" w14:textId="26E6F2E4" w:rsidR="00494D4B" w:rsidRPr="003D21B5" w:rsidRDefault="070AFB42" w:rsidP="070AFB42">
            <w:pPr>
              <w:widowControl w:val="0"/>
              <w:spacing w:after="0"/>
              <w:jc w:val="right"/>
              <w:rPr>
                <w:rFonts w:ascii="Times New Roman" w:eastAsia="Times New Roman" w:hAnsi="Times New Roman" w:cs="Times New Roman"/>
                <w:lang w:eastAsia="hu-HU"/>
              </w:rPr>
            </w:pPr>
            <w:r w:rsidRPr="070AFB42">
              <w:rPr>
                <w:rFonts w:ascii="Times New Roman" w:eastAsia="Times New Roman" w:hAnsi="Times New Roman" w:cs="Times New Roman"/>
                <w:lang w:eastAsia="hu-HU"/>
              </w:rPr>
              <w:t>109,5</w:t>
            </w:r>
          </w:p>
        </w:tc>
        <w:tc>
          <w:tcPr>
            <w:tcW w:w="992" w:type="dxa"/>
            <w:tcBorders>
              <w:top w:val="single" w:sz="4" w:space="0" w:color="auto"/>
              <w:left w:val="nil"/>
              <w:bottom w:val="single" w:sz="4" w:space="0" w:color="auto"/>
              <w:right w:val="single" w:sz="4" w:space="0" w:color="auto"/>
            </w:tcBorders>
            <w:noWrap/>
            <w:vAlign w:val="center"/>
          </w:tcPr>
          <w:p w14:paraId="63616B24" w14:textId="2070E0A3" w:rsidR="00494D4B" w:rsidRPr="003D21B5" w:rsidRDefault="070AFB42" w:rsidP="070AFB42">
            <w:pPr>
              <w:widowControl w:val="0"/>
              <w:spacing w:after="0"/>
              <w:jc w:val="right"/>
              <w:rPr>
                <w:rFonts w:ascii="Times New Roman" w:eastAsia="Times New Roman" w:hAnsi="Times New Roman" w:cs="Times New Roman"/>
                <w:lang w:eastAsia="hu-HU"/>
              </w:rPr>
            </w:pPr>
            <w:r w:rsidRPr="070AFB42">
              <w:rPr>
                <w:rFonts w:ascii="Times New Roman" w:eastAsia="Times New Roman" w:hAnsi="Times New Roman" w:cs="Times New Roman"/>
                <w:lang w:eastAsia="hu-HU"/>
              </w:rPr>
              <w:t>15,0</w:t>
            </w:r>
          </w:p>
        </w:tc>
        <w:tc>
          <w:tcPr>
            <w:tcW w:w="993" w:type="dxa"/>
            <w:tcBorders>
              <w:top w:val="single" w:sz="4" w:space="0" w:color="auto"/>
              <w:left w:val="nil"/>
              <w:bottom w:val="single" w:sz="4" w:space="0" w:color="auto"/>
              <w:right w:val="single" w:sz="4" w:space="0" w:color="auto"/>
            </w:tcBorders>
            <w:noWrap/>
            <w:vAlign w:val="center"/>
          </w:tcPr>
          <w:p w14:paraId="2B583A17" w14:textId="69BC7343" w:rsidR="00494D4B" w:rsidRPr="003D21B5" w:rsidRDefault="070AFB42" w:rsidP="070AFB42">
            <w:pPr>
              <w:widowControl w:val="0"/>
              <w:spacing w:after="0"/>
              <w:jc w:val="right"/>
              <w:rPr>
                <w:rFonts w:ascii="Times New Roman" w:eastAsia="Times New Roman" w:hAnsi="Times New Roman" w:cs="Times New Roman"/>
                <w:lang w:eastAsia="hu-HU"/>
              </w:rPr>
            </w:pPr>
            <w:r w:rsidRPr="070AFB42">
              <w:rPr>
                <w:rFonts w:ascii="Times New Roman" w:eastAsia="Times New Roman" w:hAnsi="Times New Roman" w:cs="Times New Roman"/>
                <w:lang w:eastAsia="hu-HU"/>
              </w:rPr>
              <w:t>115,9</w:t>
            </w:r>
          </w:p>
        </w:tc>
      </w:tr>
      <w:tr w:rsidR="00494D4B" w:rsidRPr="00377D59" w14:paraId="778FD915" w14:textId="77777777" w:rsidTr="070AFB42">
        <w:trPr>
          <w:trHeight w:val="340"/>
        </w:trPr>
        <w:tc>
          <w:tcPr>
            <w:tcW w:w="4248" w:type="dxa"/>
            <w:tcBorders>
              <w:top w:val="nil"/>
              <w:left w:val="single" w:sz="4" w:space="0" w:color="auto"/>
              <w:bottom w:val="single" w:sz="4" w:space="0" w:color="auto"/>
              <w:right w:val="single" w:sz="4" w:space="0" w:color="auto"/>
            </w:tcBorders>
            <w:noWrap/>
            <w:vAlign w:val="center"/>
            <w:hideMark/>
          </w:tcPr>
          <w:p w14:paraId="4CDB1046" w14:textId="4891E4FD" w:rsidR="00494D4B" w:rsidRPr="003D21B5" w:rsidRDefault="4600C643" w:rsidP="4600C643">
            <w:pPr>
              <w:widowControl w:val="0"/>
              <w:spacing w:after="0" w:line="240" w:lineRule="auto"/>
              <w:ind w:firstLine="67"/>
              <w:rPr>
                <w:rFonts w:ascii="Times New Roman" w:eastAsia="Times New Roman" w:hAnsi="Times New Roman" w:cs="Times New Roman"/>
                <w:lang w:eastAsia="hu-HU"/>
              </w:rPr>
            </w:pPr>
            <w:r w:rsidRPr="4600C643">
              <w:rPr>
                <w:rFonts w:ascii="Times New Roman" w:eastAsia="Times New Roman" w:hAnsi="Times New Roman" w:cs="Times New Roman"/>
                <w:lang w:eastAsia="hu-HU"/>
              </w:rPr>
              <w:t>Gyermekgondozási díj és örökbefogadói díj</w:t>
            </w:r>
          </w:p>
        </w:tc>
        <w:tc>
          <w:tcPr>
            <w:tcW w:w="1276" w:type="dxa"/>
            <w:tcBorders>
              <w:top w:val="single" w:sz="4" w:space="0" w:color="auto"/>
              <w:left w:val="nil"/>
              <w:bottom w:val="single" w:sz="4" w:space="0" w:color="auto"/>
              <w:right w:val="single" w:sz="4" w:space="0" w:color="auto"/>
            </w:tcBorders>
            <w:noWrap/>
            <w:vAlign w:val="center"/>
          </w:tcPr>
          <w:p w14:paraId="0B0C3582" w14:textId="69C26D82" w:rsidR="00494D4B" w:rsidRPr="003D21B5" w:rsidRDefault="070AFB42" w:rsidP="070AFB42">
            <w:pPr>
              <w:widowControl w:val="0"/>
              <w:spacing w:after="0"/>
              <w:jc w:val="right"/>
              <w:rPr>
                <w:rFonts w:ascii="Times New Roman" w:eastAsia="Times New Roman" w:hAnsi="Times New Roman" w:cs="Times New Roman"/>
                <w:lang w:eastAsia="hu-HU"/>
              </w:rPr>
            </w:pPr>
            <w:r w:rsidRPr="070AFB42">
              <w:rPr>
                <w:rFonts w:ascii="Times New Roman" w:eastAsia="Times New Roman" w:hAnsi="Times New Roman" w:cs="Times New Roman"/>
                <w:lang w:eastAsia="hu-HU"/>
              </w:rPr>
              <w:t>65,4</w:t>
            </w:r>
          </w:p>
        </w:tc>
        <w:tc>
          <w:tcPr>
            <w:tcW w:w="1209" w:type="dxa"/>
            <w:tcBorders>
              <w:top w:val="single" w:sz="4" w:space="0" w:color="auto"/>
              <w:left w:val="nil"/>
              <w:bottom w:val="single" w:sz="4" w:space="0" w:color="auto"/>
              <w:right w:val="single" w:sz="4" w:space="0" w:color="auto"/>
            </w:tcBorders>
            <w:noWrap/>
            <w:vAlign w:val="center"/>
          </w:tcPr>
          <w:p w14:paraId="6E6D7B2A" w14:textId="5D6A724D" w:rsidR="00494D4B" w:rsidRPr="003D21B5" w:rsidRDefault="070AFB42" w:rsidP="070AFB42">
            <w:pPr>
              <w:widowControl w:val="0"/>
              <w:spacing w:after="0"/>
              <w:jc w:val="right"/>
              <w:rPr>
                <w:rFonts w:ascii="Times New Roman" w:eastAsia="Times New Roman" w:hAnsi="Times New Roman" w:cs="Times New Roman"/>
                <w:lang w:eastAsia="hu-HU"/>
              </w:rPr>
            </w:pPr>
            <w:r w:rsidRPr="070AFB42">
              <w:rPr>
                <w:rFonts w:ascii="Times New Roman" w:eastAsia="Times New Roman" w:hAnsi="Times New Roman" w:cs="Times New Roman"/>
                <w:lang w:eastAsia="hu-HU"/>
              </w:rPr>
              <w:t>69,1</w:t>
            </w:r>
          </w:p>
        </w:tc>
        <w:tc>
          <w:tcPr>
            <w:tcW w:w="992" w:type="dxa"/>
            <w:tcBorders>
              <w:top w:val="single" w:sz="4" w:space="0" w:color="auto"/>
              <w:left w:val="nil"/>
              <w:bottom w:val="single" w:sz="4" w:space="0" w:color="auto"/>
              <w:right w:val="single" w:sz="4" w:space="0" w:color="auto"/>
            </w:tcBorders>
            <w:noWrap/>
            <w:vAlign w:val="center"/>
          </w:tcPr>
          <w:p w14:paraId="791AEA46" w14:textId="05C47FC5" w:rsidR="00494D4B" w:rsidRPr="003D21B5" w:rsidRDefault="070AFB42" w:rsidP="070AFB42">
            <w:pPr>
              <w:widowControl w:val="0"/>
              <w:spacing w:after="0"/>
              <w:jc w:val="right"/>
              <w:rPr>
                <w:rFonts w:ascii="Times New Roman" w:eastAsia="Times New Roman" w:hAnsi="Times New Roman" w:cs="Times New Roman"/>
                <w:lang w:eastAsia="hu-HU"/>
              </w:rPr>
            </w:pPr>
            <w:r w:rsidRPr="070AFB42">
              <w:rPr>
                <w:rFonts w:ascii="Times New Roman" w:eastAsia="Times New Roman" w:hAnsi="Times New Roman" w:cs="Times New Roman"/>
                <w:lang w:eastAsia="hu-HU"/>
              </w:rPr>
              <w:t>3,7</w:t>
            </w:r>
          </w:p>
        </w:tc>
        <w:tc>
          <w:tcPr>
            <w:tcW w:w="993" w:type="dxa"/>
            <w:tcBorders>
              <w:top w:val="single" w:sz="4" w:space="0" w:color="auto"/>
              <w:left w:val="nil"/>
              <w:bottom w:val="single" w:sz="4" w:space="0" w:color="auto"/>
              <w:right w:val="single" w:sz="4" w:space="0" w:color="auto"/>
            </w:tcBorders>
            <w:noWrap/>
            <w:vAlign w:val="center"/>
          </w:tcPr>
          <w:p w14:paraId="189A6E8D" w14:textId="51C90DA1" w:rsidR="00494D4B" w:rsidRPr="003D21B5" w:rsidRDefault="070AFB42" w:rsidP="070AFB42">
            <w:pPr>
              <w:widowControl w:val="0"/>
              <w:spacing w:after="0"/>
              <w:jc w:val="right"/>
              <w:rPr>
                <w:rFonts w:ascii="Times New Roman" w:eastAsia="Times New Roman" w:hAnsi="Times New Roman" w:cs="Times New Roman"/>
                <w:lang w:eastAsia="hu-HU"/>
              </w:rPr>
            </w:pPr>
            <w:r w:rsidRPr="070AFB42">
              <w:rPr>
                <w:rFonts w:ascii="Times New Roman" w:eastAsia="Times New Roman" w:hAnsi="Times New Roman" w:cs="Times New Roman"/>
                <w:lang w:eastAsia="hu-HU"/>
              </w:rPr>
              <w:t>105,7</w:t>
            </w:r>
          </w:p>
        </w:tc>
      </w:tr>
      <w:tr w:rsidR="00494D4B" w:rsidRPr="00377D59" w14:paraId="7D62EFFD" w14:textId="77777777" w:rsidTr="070AFB42">
        <w:trPr>
          <w:trHeight w:val="340"/>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6487EDDE" w14:textId="77777777" w:rsidR="00494D4B" w:rsidRPr="003D21B5" w:rsidRDefault="4600C643" w:rsidP="4600C643">
            <w:pPr>
              <w:widowControl w:val="0"/>
              <w:spacing w:after="0" w:line="240" w:lineRule="auto"/>
              <w:ind w:firstLine="67"/>
              <w:rPr>
                <w:rFonts w:ascii="Times New Roman" w:eastAsia="Times New Roman" w:hAnsi="Times New Roman" w:cs="Times New Roman"/>
                <w:lang w:eastAsia="hu-HU"/>
              </w:rPr>
            </w:pPr>
            <w:r w:rsidRPr="4600C643">
              <w:rPr>
                <w:rFonts w:ascii="Times New Roman" w:eastAsia="Times New Roman" w:hAnsi="Times New Roman" w:cs="Times New Roman"/>
                <w:lang w:eastAsia="hu-HU"/>
              </w:rPr>
              <w:t>Táppénz</w:t>
            </w:r>
          </w:p>
        </w:tc>
        <w:tc>
          <w:tcPr>
            <w:tcW w:w="1276" w:type="dxa"/>
            <w:tcBorders>
              <w:top w:val="single" w:sz="4" w:space="0" w:color="auto"/>
              <w:left w:val="nil"/>
              <w:bottom w:val="single" w:sz="4" w:space="0" w:color="auto"/>
              <w:right w:val="single" w:sz="4" w:space="0" w:color="auto"/>
            </w:tcBorders>
            <w:noWrap/>
            <w:vAlign w:val="center"/>
          </w:tcPr>
          <w:p w14:paraId="4DBD4593" w14:textId="419D3E44" w:rsidR="00494D4B" w:rsidRPr="003D21B5" w:rsidRDefault="070AFB42" w:rsidP="070AFB42">
            <w:pPr>
              <w:widowControl w:val="0"/>
              <w:spacing w:after="0"/>
              <w:jc w:val="right"/>
              <w:rPr>
                <w:rFonts w:ascii="Times New Roman" w:eastAsia="Times New Roman" w:hAnsi="Times New Roman" w:cs="Times New Roman"/>
                <w:lang w:eastAsia="hu-HU"/>
              </w:rPr>
            </w:pPr>
            <w:r w:rsidRPr="070AFB42">
              <w:rPr>
                <w:rFonts w:ascii="Times New Roman" w:eastAsia="Times New Roman" w:hAnsi="Times New Roman" w:cs="Times New Roman"/>
                <w:lang w:eastAsia="hu-HU"/>
              </w:rPr>
              <w:t>41,7</w:t>
            </w:r>
          </w:p>
        </w:tc>
        <w:tc>
          <w:tcPr>
            <w:tcW w:w="1209" w:type="dxa"/>
            <w:tcBorders>
              <w:top w:val="single" w:sz="4" w:space="0" w:color="auto"/>
              <w:left w:val="nil"/>
              <w:bottom w:val="single" w:sz="4" w:space="0" w:color="auto"/>
              <w:right w:val="single" w:sz="4" w:space="0" w:color="auto"/>
            </w:tcBorders>
            <w:noWrap/>
            <w:vAlign w:val="center"/>
          </w:tcPr>
          <w:p w14:paraId="7122EFC4" w14:textId="1B7C380A" w:rsidR="00494D4B" w:rsidRPr="003D21B5" w:rsidRDefault="070AFB42" w:rsidP="070AFB42">
            <w:pPr>
              <w:widowControl w:val="0"/>
              <w:spacing w:after="0"/>
              <w:jc w:val="right"/>
              <w:rPr>
                <w:rFonts w:ascii="Times New Roman" w:eastAsia="Times New Roman" w:hAnsi="Times New Roman" w:cs="Times New Roman"/>
                <w:lang w:eastAsia="hu-HU"/>
              </w:rPr>
            </w:pPr>
            <w:r w:rsidRPr="070AFB42">
              <w:rPr>
                <w:rFonts w:ascii="Times New Roman" w:eastAsia="Times New Roman" w:hAnsi="Times New Roman" w:cs="Times New Roman"/>
                <w:lang w:eastAsia="hu-HU"/>
              </w:rPr>
              <w:t>54,4</w:t>
            </w:r>
          </w:p>
        </w:tc>
        <w:tc>
          <w:tcPr>
            <w:tcW w:w="992" w:type="dxa"/>
            <w:tcBorders>
              <w:top w:val="single" w:sz="4" w:space="0" w:color="auto"/>
              <w:left w:val="nil"/>
              <w:bottom w:val="single" w:sz="4" w:space="0" w:color="auto"/>
              <w:right w:val="single" w:sz="4" w:space="0" w:color="auto"/>
            </w:tcBorders>
            <w:noWrap/>
            <w:vAlign w:val="center"/>
          </w:tcPr>
          <w:p w14:paraId="64552A76" w14:textId="7679CA7A" w:rsidR="00494D4B" w:rsidRPr="003D21B5" w:rsidRDefault="070AFB42" w:rsidP="070AFB42">
            <w:pPr>
              <w:widowControl w:val="0"/>
              <w:spacing w:after="0"/>
              <w:jc w:val="right"/>
              <w:rPr>
                <w:rFonts w:ascii="Times New Roman" w:eastAsia="Times New Roman" w:hAnsi="Times New Roman" w:cs="Times New Roman"/>
                <w:lang w:eastAsia="hu-HU"/>
              </w:rPr>
            </w:pPr>
            <w:r w:rsidRPr="070AFB42">
              <w:rPr>
                <w:rFonts w:ascii="Times New Roman" w:eastAsia="Times New Roman" w:hAnsi="Times New Roman" w:cs="Times New Roman"/>
                <w:lang w:eastAsia="hu-HU"/>
              </w:rPr>
              <w:t>12,7</w:t>
            </w:r>
          </w:p>
        </w:tc>
        <w:tc>
          <w:tcPr>
            <w:tcW w:w="993" w:type="dxa"/>
            <w:tcBorders>
              <w:top w:val="single" w:sz="4" w:space="0" w:color="auto"/>
              <w:left w:val="nil"/>
              <w:bottom w:val="single" w:sz="4" w:space="0" w:color="auto"/>
              <w:right w:val="single" w:sz="4" w:space="0" w:color="auto"/>
            </w:tcBorders>
            <w:noWrap/>
            <w:vAlign w:val="center"/>
          </w:tcPr>
          <w:p w14:paraId="324ADF3D" w14:textId="245C9F4B" w:rsidR="00494D4B" w:rsidRPr="003D21B5" w:rsidRDefault="070AFB42" w:rsidP="070AFB42">
            <w:pPr>
              <w:widowControl w:val="0"/>
              <w:spacing w:after="0"/>
              <w:jc w:val="right"/>
              <w:rPr>
                <w:rFonts w:ascii="Times New Roman" w:eastAsia="Times New Roman" w:hAnsi="Times New Roman" w:cs="Times New Roman"/>
                <w:lang w:eastAsia="hu-HU"/>
              </w:rPr>
            </w:pPr>
            <w:r w:rsidRPr="070AFB42">
              <w:rPr>
                <w:rFonts w:ascii="Times New Roman" w:eastAsia="Times New Roman" w:hAnsi="Times New Roman" w:cs="Times New Roman"/>
                <w:lang w:eastAsia="hu-HU"/>
              </w:rPr>
              <w:t>130,5</w:t>
            </w:r>
          </w:p>
        </w:tc>
      </w:tr>
    </w:tbl>
    <w:p w14:paraId="7F2895FE" w14:textId="26F11AD3" w:rsidR="001074A1" w:rsidRDefault="070AFB42" w:rsidP="070AFB42">
      <w:pPr>
        <w:widowControl w:val="0"/>
        <w:spacing w:before="240"/>
        <w:jc w:val="both"/>
        <w:rPr>
          <w:rFonts w:ascii="Times New Roman" w:eastAsia="Times New Roman" w:hAnsi="Times New Roman" w:cs="Times New Roman"/>
          <w:sz w:val="26"/>
          <w:szCs w:val="26"/>
        </w:rPr>
      </w:pPr>
      <w:bookmarkStart w:id="5" w:name="_Hlk224563843"/>
      <w:r w:rsidRPr="070AFB42">
        <w:rPr>
          <w:rFonts w:ascii="Times New Roman" w:eastAsia="Times New Roman" w:hAnsi="Times New Roman" w:cs="Times New Roman"/>
          <w:sz w:val="26"/>
          <w:szCs w:val="26"/>
        </w:rPr>
        <w:t xml:space="preserve">A </w:t>
      </w:r>
      <w:r w:rsidRPr="070AFB42">
        <w:rPr>
          <w:rFonts w:ascii="Times New Roman" w:eastAsia="Times New Roman" w:hAnsi="Times New Roman" w:cs="Times New Roman"/>
          <w:b/>
          <w:bCs/>
          <w:sz w:val="26"/>
          <w:szCs w:val="26"/>
        </w:rPr>
        <w:t>gyógyító-megelőző ellátásokra</w:t>
      </w:r>
      <w:r w:rsidRPr="070AFB42">
        <w:rPr>
          <w:rFonts w:ascii="Times New Roman" w:eastAsia="Times New Roman" w:hAnsi="Times New Roman" w:cs="Times New Roman"/>
          <w:sz w:val="26"/>
          <w:szCs w:val="26"/>
        </w:rPr>
        <w:t xml:space="preserve"> fordított kiadás 2026</w:t>
      </w:r>
      <w:r w:rsidR="00B46811">
        <w:rPr>
          <w:rFonts w:ascii="Times New Roman" w:eastAsia="Times New Roman" w:hAnsi="Times New Roman" w:cs="Times New Roman"/>
          <w:sz w:val="26"/>
          <w:szCs w:val="26"/>
        </w:rPr>
        <w:t>.</w:t>
      </w:r>
      <w:r w:rsidRPr="070AFB42">
        <w:rPr>
          <w:rFonts w:ascii="Times New Roman" w:eastAsia="Times New Roman" w:hAnsi="Times New Roman" w:cs="Times New Roman"/>
          <w:sz w:val="26"/>
          <w:szCs w:val="26"/>
        </w:rPr>
        <w:t xml:space="preserve"> február végéig 537,1 milliárd forintot tett ki a 2025 első két hónapjában felmerült 531,5 milliárd forint összegű kiadással szemben.</w:t>
      </w:r>
    </w:p>
    <w:bookmarkEnd w:id="5"/>
    <w:p w14:paraId="69E4940B" w14:textId="18074318" w:rsidR="001074A1" w:rsidRDefault="070AFB42" w:rsidP="070AFB42">
      <w:pPr>
        <w:jc w:val="both"/>
        <w:rPr>
          <w:rFonts w:ascii="Times New Roman" w:eastAsia="Times New Roman" w:hAnsi="Times New Roman" w:cs="Times New Roman"/>
          <w:sz w:val="26"/>
          <w:szCs w:val="26"/>
        </w:rPr>
      </w:pPr>
      <w:r w:rsidRPr="070AFB42">
        <w:rPr>
          <w:rFonts w:ascii="Times New Roman" w:eastAsia="Times New Roman" w:hAnsi="Times New Roman" w:cs="Times New Roman"/>
          <w:b/>
          <w:bCs/>
          <w:sz w:val="26"/>
          <w:szCs w:val="26"/>
        </w:rPr>
        <w:lastRenderedPageBreak/>
        <w:t>Gyógyszertámogatásra</w:t>
      </w:r>
      <w:r w:rsidRPr="070AFB42">
        <w:rPr>
          <w:rFonts w:ascii="Times New Roman" w:eastAsia="Times New Roman" w:hAnsi="Times New Roman" w:cs="Times New Roman"/>
          <w:sz w:val="26"/>
          <w:szCs w:val="26"/>
        </w:rPr>
        <w:t xml:space="preserve"> 2026 február végéig 101,6 milliárd forint került kifizetésre, amely 6,6 milliárd forinttal magasabb az előző év azonos időszakában kifizetett összegnél.</w:t>
      </w:r>
    </w:p>
    <w:p w14:paraId="7B768C24" w14:textId="4F783F64" w:rsidR="00B155FE" w:rsidRPr="004966FE" w:rsidRDefault="4600C643" w:rsidP="4600C643">
      <w:pPr>
        <w:keepNext/>
        <w:pageBreakBefore/>
        <w:numPr>
          <w:ilvl w:val="0"/>
          <w:numId w:val="3"/>
        </w:numPr>
        <w:spacing w:after="120" w:line="240" w:lineRule="auto"/>
        <w:ind w:left="714" w:hanging="357"/>
        <w:jc w:val="both"/>
        <w:outlineLvl w:val="2"/>
        <w:rPr>
          <w:rFonts w:ascii="Times New Roman" w:eastAsia="Times New Roman" w:hAnsi="Times New Roman" w:cs="Times New Roman"/>
          <w:b/>
          <w:bCs/>
          <w:smallCaps/>
          <w:sz w:val="28"/>
          <w:szCs w:val="28"/>
          <w:lang w:eastAsia="hu-HU"/>
        </w:rPr>
      </w:pPr>
      <w:r w:rsidRPr="4600C643">
        <w:rPr>
          <w:rFonts w:ascii="Times New Roman" w:eastAsia="Times New Roman" w:hAnsi="Times New Roman" w:cs="Times New Roman"/>
          <w:b/>
          <w:bCs/>
          <w:smallCaps/>
          <w:sz w:val="28"/>
          <w:szCs w:val="28"/>
          <w:lang w:eastAsia="hu-HU"/>
        </w:rPr>
        <w:lastRenderedPageBreak/>
        <w:t>A költségvetési szervek és fejezeti kezelésű előirányzatok alakulása</w:t>
      </w:r>
    </w:p>
    <w:p w14:paraId="41120C33" w14:textId="2DAD6DB1" w:rsidR="00484365" w:rsidRPr="00145F79" w:rsidRDefault="4600C643" w:rsidP="4600C643">
      <w:pPr>
        <w:spacing w:before="240"/>
        <w:jc w:val="both"/>
        <w:rPr>
          <w:rFonts w:ascii="Times New Roman" w:eastAsia="Times New Roman" w:hAnsi="Times New Roman" w:cs="Times New Roman"/>
          <w:color w:val="000000" w:themeColor="text1"/>
          <w:sz w:val="26"/>
          <w:szCs w:val="26"/>
          <w:lang w:eastAsia="hu-HU"/>
        </w:rPr>
      </w:pPr>
      <w:r w:rsidRPr="4600C643">
        <w:rPr>
          <w:rFonts w:ascii="Times New Roman" w:eastAsia="Times New Roman" w:hAnsi="Times New Roman" w:cs="Times New Roman"/>
          <w:sz w:val="26"/>
          <w:szCs w:val="26"/>
          <w:lang w:eastAsia="hu-HU"/>
        </w:rPr>
        <w:t xml:space="preserve">A </w:t>
      </w:r>
      <w:r w:rsidRPr="4600C643">
        <w:rPr>
          <w:rFonts w:ascii="Times New Roman" w:eastAsia="Times New Roman" w:hAnsi="Times New Roman" w:cs="Times New Roman"/>
          <w:b/>
          <w:bCs/>
          <w:sz w:val="26"/>
          <w:szCs w:val="26"/>
          <w:lang w:eastAsia="hu-HU"/>
        </w:rPr>
        <w:t>költségvetési szervek bevételei</w:t>
      </w:r>
      <w:r w:rsidRPr="4600C643">
        <w:rPr>
          <w:rFonts w:ascii="Times New Roman" w:eastAsia="Times New Roman" w:hAnsi="Times New Roman" w:cs="Times New Roman"/>
          <w:sz w:val="26"/>
          <w:szCs w:val="26"/>
          <w:lang w:eastAsia="hu-HU"/>
        </w:rPr>
        <w:t xml:space="preserve"> 2026 első két hónapjában 489,2 milliárd forintot tettek ki, amely 8,8%-kal magasabb az előző év azonos időszakának bevételeihez képest. Az</w:t>
      </w:r>
      <w:r w:rsidR="00AC5A5F">
        <w:rPr>
          <w:rFonts w:ascii="Times New Roman" w:eastAsia="Times New Roman" w:hAnsi="Times New Roman" w:cs="Times New Roman"/>
          <w:sz w:val="26"/>
          <w:szCs w:val="26"/>
          <w:lang w:eastAsia="hu-HU"/>
        </w:rPr>
        <w:t> </w:t>
      </w:r>
      <w:r w:rsidRPr="4600C643">
        <w:rPr>
          <w:rFonts w:ascii="Times New Roman" w:eastAsia="Times New Roman" w:hAnsi="Times New Roman" w:cs="Times New Roman"/>
          <w:sz w:val="26"/>
          <w:szCs w:val="26"/>
          <w:lang w:eastAsia="hu-HU"/>
        </w:rPr>
        <w:t xml:space="preserve">intézmények bevételei közül 295,9 milliárd forintot tett ki a Nemzeti Egészségbiztosítási Alapkezelő által az egészségügyi intézményeknek utalt </w:t>
      </w:r>
      <w:r w:rsidRPr="4600C643">
        <w:rPr>
          <w:rFonts w:ascii="Times New Roman" w:eastAsia="Times New Roman" w:hAnsi="Times New Roman" w:cs="Times New Roman"/>
          <w:color w:val="000000" w:themeColor="text1"/>
          <w:sz w:val="26"/>
          <w:szCs w:val="26"/>
          <w:lang w:eastAsia="hu-HU"/>
        </w:rPr>
        <w:t>támogatás.</w:t>
      </w:r>
    </w:p>
    <w:p w14:paraId="6C6ADA97" w14:textId="2AA738AA" w:rsidR="00484365" w:rsidRPr="007B6DF2" w:rsidRDefault="4600C643" w:rsidP="4600C643">
      <w:pPr>
        <w:jc w:val="both"/>
        <w:rPr>
          <w:rFonts w:ascii="Times New Roman" w:eastAsia="Times New Roman" w:hAnsi="Times New Roman" w:cs="Times New Roman"/>
          <w:sz w:val="26"/>
          <w:szCs w:val="26"/>
          <w:lang w:eastAsia="hu-HU"/>
        </w:rPr>
      </w:pPr>
      <w:r w:rsidRPr="4600C643">
        <w:rPr>
          <w:rFonts w:ascii="Times New Roman" w:eastAsia="Times New Roman" w:hAnsi="Times New Roman" w:cs="Times New Roman"/>
          <w:sz w:val="26"/>
          <w:szCs w:val="26"/>
          <w:lang w:eastAsia="hu-HU"/>
        </w:rPr>
        <w:t xml:space="preserve">A </w:t>
      </w:r>
      <w:r w:rsidRPr="4600C643">
        <w:rPr>
          <w:rFonts w:ascii="Times New Roman" w:eastAsia="Times New Roman" w:hAnsi="Times New Roman" w:cs="Times New Roman"/>
          <w:b/>
          <w:bCs/>
          <w:sz w:val="26"/>
          <w:szCs w:val="26"/>
          <w:lang w:eastAsia="hu-HU"/>
        </w:rPr>
        <w:t>szakmai fejezeti kezelésű előirányzatok bevételei</w:t>
      </w:r>
      <w:r w:rsidRPr="4600C643">
        <w:rPr>
          <w:rFonts w:ascii="Times New Roman" w:eastAsia="Times New Roman" w:hAnsi="Times New Roman" w:cs="Times New Roman"/>
          <w:sz w:val="26"/>
          <w:szCs w:val="26"/>
          <w:lang w:eastAsia="hu-HU"/>
        </w:rPr>
        <w:t xml:space="preserve"> 2026 első két hónapjában 138,0 milliárd forintot tettek ki, mely több mint kétszerese az előző év azonos időszakának bevételéhez képest. A bevételek jelentős részét az „Alapok alapja GINOP pénzügyi eszközök” törvényi sorra befolyt összegek teszik ki, melyek nem uniós bevételként jóváírt tételek.</w:t>
      </w:r>
    </w:p>
    <w:p w14:paraId="5A50B96E" w14:textId="20D9360D" w:rsidR="00484365" w:rsidRPr="004966FE" w:rsidRDefault="4600C643" w:rsidP="4600C643">
      <w:pPr>
        <w:jc w:val="both"/>
        <w:rPr>
          <w:rFonts w:ascii="Times New Roman" w:eastAsia="Times New Roman" w:hAnsi="Times New Roman" w:cs="Times New Roman"/>
          <w:sz w:val="26"/>
          <w:szCs w:val="26"/>
          <w:lang w:eastAsia="hu-HU"/>
        </w:rPr>
      </w:pPr>
      <w:r w:rsidRPr="4600C643">
        <w:rPr>
          <w:rFonts w:ascii="Times New Roman" w:eastAsia="Times New Roman" w:hAnsi="Times New Roman" w:cs="Times New Roman"/>
          <w:sz w:val="26"/>
          <w:szCs w:val="26"/>
          <w:lang w:eastAsia="hu-HU"/>
        </w:rPr>
        <w:t xml:space="preserve">A </w:t>
      </w:r>
      <w:r w:rsidRPr="4600C643">
        <w:rPr>
          <w:rFonts w:ascii="Times New Roman" w:hAnsi="Times New Roman" w:cs="Times New Roman"/>
          <w:sz w:val="26"/>
          <w:szCs w:val="26"/>
          <w:lang w:eastAsia="hu-HU"/>
        </w:rPr>
        <w:t>2026. év első kéthavi, 627,2 milliárd forint összegű bevételek megoszlását a következő grafikon szemlélteti</w:t>
      </w:r>
      <w:r w:rsidRPr="4600C643">
        <w:rPr>
          <w:rFonts w:ascii="Times New Roman" w:eastAsia="Times New Roman" w:hAnsi="Times New Roman" w:cs="Times New Roman"/>
          <w:sz w:val="26"/>
          <w:szCs w:val="26"/>
          <w:lang w:eastAsia="hu-HU"/>
        </w:rPr>
        <w:t>:</w:t>
      </w:r>
    </w:p>
    <w:p w14:paraId="576D18BB" w14:textId="5219D016" w:rsidR="00B056CC" w:rsidRPr="00377D59" w:rsidRDefault="00AC5A5F" w:rsidP="00C2238F">
      <w:pPr>
        <w:spacing w:before="240" w:after="120"/>
        <w:jc w:val="center"/>
        <w:rPr>
          <w:rFonts w:ascii="Times New Roman" w:eastAsia="Times New Roman" w:hAnsi="Times New Roman" w:cs="Times New Roman"/>
          <w:b/>
          <w:sz w:val="26"/>
          <w:szCs w:val="26"/>
        </w:rPr>
      </w:pPr>
      <w:r w:rsidRPr="00AC5A5F">
        <w:rPr>
          <w:rFonts w:ascii="Times New Roman" w:eastAsia="Times New Roman" w:hAnsi="Times New Roman" w:cs="Times New Roman"/>
          <w:b/>
          <w:noProof/>
          <w:sz w:val="26"/>
          <w:szCs w:val="26"/>
        </w:rPr>
        <w:drawing>
          <wp:inline distT="0" distB="0" distL="0" distR="0" wp14:anchorId="4350B276" wp14:editId="392E0CA8">
            <wp:extent cx="5608708" cy="3138095"/>
            <wp:effectExtent l="0" t="0" r="0" b="5715"/>
            <wp:docPr id="404147247" name="Kép 1" descr="A képen szöveg, képernyőkép, sor, szá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147247" name="Kép 1" descr="A képen szöveg, képernyőkép, sor, szám látható&#10;&#10;Előfordulhat, hogy a mesterséges intelligencia által létrehozott tartalom helytelen."/>
                    <pic:cNvPicPr/>
                  </pic:nvPicPr>
                  <pic:blipFill rotWithShape="1">
                    <a:blip r:embed="rId24"/>
                    <a:srcRect l="2353"/>
                    <a:stretch/>
                  </pic:blipFill>
                  <pic:spPr bwMode="auto">
                    <a:xfrm>
                      <a:off x="0" y="0"/>
                      <a:ext cx="5617299" cy="3142902"/>
                    </a:xfrm>
                    <a:prstGeom prst="rect">
                      <a:avLst/>
                    </a:prstGeom>
                    <a:ln>
                      <a:noFill/>
                    </a:ln>
                    <a:extLst>
                      <a:ext uri="{53640926-AAD7-44D8-BBD7-CCE9431645EC}">
                        <a14:shadowObscured xmlns:a14="http://schemas.microsoft.com/office/drawing/2010/main"/>
                      </a:ext>
                    </a:extLst>
                  </pic:spPr>
                </pic:pic>
              </a:graphicData>
            </a:graphic>
          </wp:inline>
        </w:drawing>
      </w:r>
    </w:p>
    <w:p w14:paraId="1D98D1A9" w14:textId="01C5B3E9" w:rsidR="00484365" w:rsidRPr="00E56F21" w:rsidRDefault="4600C643" w:rsidP="4600C643">
      <w:pPr>
        <w:spacing w:before="240"/>
        <w:jc w:val="both"/>
        <w:rPr>
          <w:rFonts w:ascii="Times New Roman" w:eastAsia="Times New Roman" w:hAnsi="Times New Roman" w:cs="Times New Roman"/>
          <w:sz w:val="26"/>
          <w:szCs w:val="26"/>
          <w:lang w:eastAsia="hu-HU"/>
        </w:rPr>
      </w:pPr>
      <w:r w:rsidRPr="4600C643">
        <w:rPr>
          <w:rFonts w:ascii="Times New Roman" w:eastAsia="Times New Roman" w:hAnsi="Times New Roman" w:cs="Times New Roman"/>
          <w:sz w:val="26"/>
          <w:szCs w:val="26"/>
          <w:lang w:eastAsia="hu-HU"/>
        </w:rPr>
        <w:t xml:space="preserve">A </w:t>
      </w:r>
      <w:r w:rsidRPr="4600C643">
        <w:rPr>
          <w:rFonts w:ascii="Times New Roman" w:eastAsia="Times New Roman" w:hAnsi="Times New Roman" w:cs="Times New Roman"/>
          <w:b/>
          <w:bCs/>
          <w:sz w:val="26"/>
          <w:szCs w:val="26"/>
          <w:lang w:eastAsia="hu-HU"/>
        </w:rPr>
        <w:t>költségvetési szervek kiadásai</w:t>
      </w:r>
      <w:r w:rsidRPr="4600C643">
        <w:rPr>
          <w:rFonts w:ascii="Times New Roman" w:eastAsia="Times New Roman" w:hAnsi="Times New Roman" w:cs="Times New Roman"/>
          <w:sz w:val="26"/>
          <w:szCs w:val="26"/>
          <w:lang w:eastAsia="hu-HU"/>
        </w:rPr>
        <w:t xml:space="preserve"> mérlegsoron 2026 első két hónapjában 1902,2 milliárd forint kiadás teljesült, mely 39,7%-kal magasabb az előző év azonos időszakának kiadásaihoz képest. A kiadásból 1410,9 milliárd forint a személyi juttatásokra és munkaadókat terhelő járulékokra kifizetett összeg. Ez tartalmazza a fegyveres és a rendvédelmi feladatokat ellátó szervek részére kifizetett 2026. évi szolgálati juttatás („fegyverpénz”) összegét is.</w:t>
      </w:r>
    </w:p>
    <w:p w14:paraId="0AB00615" w14:textId="6646F8DF" w:rsidR="00484365" w:rsidRPr="004966FE" w:rsidRDefault="4600C643" w:rsidP="4600C643">
      <w:pPr>
        <w:spacing w:before="240"/>
        <w:jc w:val="both"/>
        <w:rPr>
          <w:rFonts w:ascii="Times New Roman" w:eastAsia="Times New Roman" w:hAnsi="Times New Roman" w:cs="Times New Roman"/>
          <w:sz w:val="26"/>
          <w:szCs w:val="26"/>
          <w:lang w:eastAsia="hu-HU"/>
        </w:rPr>
      </w:pPr>
      <w:r w:rsidRPr="4600C643">
        <w:rPr>
          <w:rFonts w:ascii="Times New Roman" w:eastAsia="Times New Roman" w:hAnsi="Times New Roman" w:cs="Times New Roman"/>
          <w:sz w:val="26"/>
          <w:szCs w:val="26"/>
          <w:lang w:eastAsia="hu-HU"/>
        </w:rPr>
        <w:t xml:space="preserve">A </w:t>
      </w:r>
      <w:r w:rsidRPr="4600C643">
        <w:rPr>
          <w:rFonts w:ascii="Times New Roman" w:eastAsia="Times New Roman" w:hAnsi="Times New Roman" w:cs="Times New Roman"/>
          <w:b/>
          <w:bCs/>
          <w:sz w:val="26"/>
          <w:szCs w:val="26"/>
          <w:lang w:eastAsia="hu-HU"/>
        </w:rPr>
        <w:t>szakmai fejezeti kezelésű előirányzatok kiadásai</w:t>
      </w:r>
      <w:r w:rsidRPr="4600C643">
        <w:rPr>
          <w:rFonts w:ascii="Times New Roman" w:eastAsia="Times New Roman" w:hAnsi="Times New Roman" w:cs="Times New Roman"/>
          <w:sz w:val="26"/>
          <w:szCs w:val="26"/>
          <w:lang w:eastAsia="hu-HU"/>
        </w:rPr>
        <w:t xml:space="preserve"> mérlegsoron 2026 első két hónapjában 1731,8 milliárd forint kiadás teljesült, mely több mint kétszerese, mint az előző év azonos időszakának kiadása. Ezen időszak teljesítéséből az alábbi kiadások emelhetők ki:</w:t>
      </w:r>
    </w:p>
    <w:p w14:paraId="1DE60443" w14:textId="77777777" w:rsidR="00484365" w:rsidRPr="00BE4BAC" w:rsidRDefault="00484365" w:rsidP="00484365">
      <w:pPr>
        <w:jc w:val="both"/>
        <w:rPr>
          <w:rFonts w:ascii="Times New Roman" w:eastAsia="Times New Roman" w:hAnsi="Times New Roman" w:cs="Times New Roman"/>
          <w:sz w:val="26"/>
          <w:szCs w:val="26"/>
          <w:lang w:eastAsia="hu-HU"/>
        </w:rPr>
      </w:pPr>
      <w:r w:rsidRPr="004966FE">
        <w:rPr>
          <w:rFonts w:ascii="Times New Roman" w:eastAsia="Times New Roman" w:hAnsi="Times New Roman" w:cs="Times New Roman"/>
          <w:color w:val="FF0000"/>
          <w:sz w:val="26"/>
          <w:szCs w:val="26"/>
          <w:lang w:eastAsia="hu-HU"/>
        </w:rPr>
        <w:br w:type="page"/>
      </w:r>
    </w:p>
    <w:p w14:paraId="1C3E2D66" w14:textId="77777777" w:rsidR="00484365" w:rsidRPr="008E4041" w:rsidRDefault="4600C643" w:rsidP="4600C643">
      <w:pPr>
        <w:spacing w:after="120" w:line="240" w:lineRule="auto"/>
        <w:jc w:val="right"/>
        <w:rPr>
          <w:rFonts w:ascii="Times New Roman" w:eastAsia="Times New Roman" w:hAnsi="Times New Roman" w:cs="Times New Roman"/>
          <w:i/>
          <w:iCs/>
          <w:sz w:val="20"/>
          <w:szCs w:val="20"/>
          <w:lang w:eastAsia="hu-HU"/>
        </w:rPr>
      </w:pPr>
      <w:r w:rsidRPr="4600C643">
        <w:rPr>
          <w:rFonts w:ascii="Times New Roman" w:eastAsia="Times New Roman" w:hAnsi="Times New Roman" w:cs="Times New Roman"/>
          <w:i/>
          <w:iCs/>
          <w:sz w:val="20"/>
          <w:szCs w:val="20"/>
          <w:lang w:eastAsia="hu-HU"/>
        </w:rPr>
        <w:lastRenderedPageBreak/>
        <w:t>milliárd forint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51"/>
        <w:gridCol w:w="992"/>
      </w:tblGrid>
      <w:tr w:rsidR="00711674" w:rsidRPr="008E4041" w14:paraId="165EDCFB" w14:textId="77777777" w:rsidTr="4600C643">
        <w:trPr>
          <w:trHeight w:val="283"/>
        </w:trPr>
        <w:tc>
          <w:tcPr>
            <w:tcW w:w="8251" w:type="dxa"/>
            <w:tcMar>
              <w:top w:w="0" w:type="dxa"/>
              <w:left w:w="108" w:type="dxa"/>
              <w:bottom w:w="0" w:type="dxa"/>
              <w:right w:w="108" w:type="dxa"/>
            </w:tcMar>
            <w:vAlign w:val="center"/>
            <w:hideMark/>
          </w:tcPr>
          <w:p w14:paraId="6D2249A8" w14:textId="77777777" w:rsidR="00711674" w:rsidRPr="008E4041" w:rsidRDefault="4600C643" w:rsidP="4600C643">
            <w:pPr>
              <w:spacing w:after="0" w:line="240" w:lineRule="auto"/>
              <w:jc w:val="both"/>
              <w:rPr>
                <w:rFonts w:ascii="Times New Roman" w:hAnsi="Times New Roman" w:cs="Times New Roman"/>
                <w:sz w:val="24"/>
                <w:szCs w:val="24"/>
                <w:lang w:eastAsia="hu-HU"/>
              </w:rPr>
            </w:pPr>
            <w:r w:rsidRPr="4600C643">
              <w:rPr>
                <w:rFonts w:ascii="Times New Roman" w:hAnsi="Times New Roman" w:cs="Times New Roman"/>
                <w:sz w:val="24"/>
                <w:szCs w:val="24"/>
                <w:lang w:eastAsia="hu-HU"/>
              </w:rPr>
              <w:t>Nem állami felsőoktatási intézmények támogatása</w:t>
            </w:r>
          </w:p>
        </w:tc>
        <w:tc>
          <w:tcPr>
            <w:tcW w:w="992" w:type="dxa"/>
            <w:noWrap/>
            <w:tcMar>
              <w:top w:w="0" w:type="dxa"/>
              <w:left w:w="108" w:type="dxa"/>
              <w:bottom w:w="0" w:type="dxa"/>
              <w:right w:w="108" w:type="dxa"/>
            </w:tcMar>
            <w:vAlign w:val="center"/>
          </w:tcPr>
          <w:p w14:paraId="57709DB4" w14:textId="38B1470C" w:rsidR="00711674" w:rsidRPr="008E4041" w:rsidRDefault="4600C643" w:rsidP="4600C643">
            <w:pPr>
              <w:spacing w:after="0" w:line="240" w:lineRule="auto"/>
              <w:jc w:val="right"/>
              <w:rPr>
                <w:rFonts w:ascii="Times New Roman" w:hAnsi="Times New Roman" w:cs="Times New Roman"/>
                <w:sz w:val="24"/>
                <w:szCs w:val="24"/>
                <w:lang w:eastAsia="hu-HU"/>
              </w:rPr>
            </w:pPr>
            <w:r w:rsidRPr="4600C643">
              <w:rPr>
                <w:rFonts w:ascii="Times New Roman" w:hAnsi="Times New Roman" w:cs="Times New Roman"/>
                <w:sz w:val="24"/>
                <w:szCs w:val="24"/>
                <w:lang w:eastAsia="hu-HU"/>
              </w:rPr>
              <w:t>213,9</w:t>
            </w:r>
          </w:p>
        </w:tc>
      </w:tr>
      <w:tr w:rsidR="00711674" w:rsidRPr="008E4041" w14:paraId="653C7308" w14:textId="77777777" w:rsidTr="4600C643">
        <w:trPr>
          <w:trHeight w:val="340"/>
        </w:trPr>
        <w:tc>
          <w:tcPr>
            <w:tcW w:w="8251" w:type="dxa"/>
            <w:tcMar>
              <w:top w:w="0" w:type="dxa"/>
              <w:left w:w="108" w:type="dxa"/>
              <w:bottom w:w="0" w:type="dxa"/>
              <w:right w:w="108" w:type="dxa"/>
            </w:tcMar>
            <w:vAlign w:val="center"/>
            <w:hideMark/>
          </w:tcPr>
          <w:p w14:paraId="6E666FF1" w14:textId="77777777" w:rsidR="00711674" w:rsidRPr="008E4041" w:rsidRDefault="4600C643" w:rsidP="4600C643">
            <w:pPr>
              <w:spacing w:after="0" w:line="240" w:lineRule="auto"/>
              <w:rPr>
                <w:rFonts w:ascii="Times New Roman" w:hAnsi="Times New Roman" w:cs="Times New Roman"/>
                <w:sz w:val="24"/>
                <w:szCs w:val="24"/>
                <w:lang w:eastAsia="hu-HU"/>
              </w:rPr>
            </w:pPr>
            <w:r w:rsidRPr="4600C643">
              <w:rPr>
                <w:rFonts w:ascii="Times New Roman" w:hAnsi="Times New Roman" w:cs="Times New Roman"/>
                <w:sz w:val="24"/>
                <w:szCs w:val="24"/>
                <w:lang w:eastAsia="hu-HU"/>
              </w:rPr>
              <w:t>Normatív finanszírozás (köznevelési célú humánszolgáltatás és működési támogatás, hit- és erkölcstanoktatás és tankönyvtámogatás, illetve szociális, gyermekvédelmi, gyermekjóléti és fogyatékos személyek esélyegyenlőségét elősegítő célelőirányzatok)</w:t>
            </w:r>
          </w:p>
        </w:tc>
        <w:tc>
          <w:tcPr>
            <w:tcW w:w="992" w:type="dxa"/>
            <w:noWrap/>
            <w:tcMar>
              <w:top w:w="0" w:type="dxa"/>
              <w:left w:w="108" w:type="dxa"/>
              <w:bottom w:w="0" w:type="dxa"/>
              <w:right w:w="108" w:type="dxa"/>
            </w:tcMar>
            <w:vAlign w:val="center"/>
          </w:tcPr>
          <w:p w14:paraId="6AE16DC1" w14:textId="52A51AB7" w:rsidR="00711674" w:rsidRPr="008E4041" w:rsidRDefault="4600C643" w:rsidP="4600C643">
            <w:pPr>
              <w:spacing w:after="0" w:line="240" w:lineRule="auto"/>
              <w:jc w:val="right"/>
              <w:rPr>
                <w:rFonts w:ascii="Times New Roman" w:hAnsi="Times New Roman" w:cs="Times New Roman"/>
                <w:sz w:val="24"/>
                <w:szCs w:val="24"/>
                <w:lang w:eastAsia="hu-HU"/>
              </w:rPr>
            </w:pPr>
            <w:r w:rsidRPr="4600C643">
              <w:rPr>
                <w:rFonts w:ascii="Times New Roman" w:hAnsi="Times New Roman" w:cs="Times New Roman"/>
                <w:sz w:val="24"/>
                <w:szCs w:val="24"/>
                <w:lang w:eastAsia="hu-HU"/>
              </w:rPr>
              <w:t>186,0</w:t>
            </w:r>
          </w:p>
        </w:tc>
      </w:tr>
      <w:tr w:rsidR="00711674" w:rsidRPr="008E4041" w14:paraId="3C01C8B1" w14:textId="77777777" w:rsidTr="4600C643">
        <w:trPr>
          <w:trHeight w:val="283"/>
        </w:trPr>
        <w:tc>
          <w:tcPr>
            <w:tcW w:w="8251" w:type="dxa"/>
            <w:tcMar>
              <w:top w:w="0" w:type="dxa"/>
              <w:left w:w="108" w:type="dxa"/>
              <w:bottom w:w="0" w:type="dxa"/>
              <w:right w:w="108" w:type="dxa"/>
            </w:tcMar>
            <w:vAlign w:val="center"/>
          </w:tcPr>
          <w:p w14:paraId="4BB1C2C8" w14:textId="1584109D" w:rsidR="00711674" w:rsidRPr="15BE4434" w:rsidRDefault="4600C643" w:rsidP="4600C643">
            <w:pPr>
              <w:spacing w:after="0" w:line="240" w:lineRule="auto"/>
              <w:jc w:val="both"/>
              <w:rPr>
                <w:rFonts w:ascii="Times New Roman" w:hAnsi="Times New Roman" w:cs="Times New Roman"/>
                <w:sz w:val="24"/>
                <w:szCs w:val="24"/>
                <w:lang w:eastAsia="hu-HU"/>
              </w:rPr>
            </w:pPr>
            <w:r w:rsidRPr="4600C643">
              <w:rPr>
                <w:rFonts w:ascii="Times New Roman" w:hAnsi="Times New Roman" w:cs="Times New Roman"/>
                <w:sz w:val="24"/>
                <w:szCs w:val="24"/>
                <w:lang w:eastAsia="hu-HU"/>
              </w:rPr>
              <w:t>Turisztikai fejlesztési feladatok</w:t>
            </w:r>
          </w:p>
        </w:tc>
        <w:tc>
          <w:tcPr>
            <w:tcW w:w="992" w:type="dxa"/>
            <w:noWrap/>
            <w:tcMar>
              <w:top w:w="0" w:type="dxa"/>
              <w:left w:w="108" w:type="dxa"/>
              <w:bottom w:w="0" w:type="dxa"/>
              <w:right w:w="108" w:type="dxa"/>
            </w:tcMar>
            <w:vAlign w:val="center"/>
          </w:tcPr>
          <w:p w14:paraId="7D8A418D" w14:textId="799C1449" w:rsidR="00711674" w:rsidRDefault="4600C643" w:rsidP="4600C643">
            <w:pPr>
              <w:spacing w:after="0" w:line="240" w:lineRule="auto"/>
              <w:jc w:val="right"/>
              <w:rPr>
                <w:rFonts w:ascii="Times New Roman" w:hAnsi="Times New Roman" w:cs="Times New Roman"/>
                <w:sz w:val="24"/>
                <w:szCs w:val="24"/>
                <w:lang w:eastAsia="hu-HU"/>
              </w:rPr>
            </w:pPr>
            <w:r w:rsidRPr="4600C643">
              <w:rPr>
                <w:rFonts w:ascii="Times New Roman" w:hAnsi="Times New Roman" w:cs="Times New Roman"/>
                <w:sz w:val="24"/>
                <w:szCs w:val="24"/>
                <w:lang w:eastAsia="hu-HU"/>
              </w:rPr>
              <w:t>86,3</w:t>
            </w:r>
          </w:p>
        </w:tc>
      </w:tr>
      <w:tr w:rsidR="00103723" w:rsidRPr="008E4041" w14:paraId="43EADCD2" w14:textId="77777777" w:rsidTr="4600C643">
        <w:trPr>
          <w:trHeight w:val="283"/>
        </w:trPr>
        <w:tc>
          <w:tcPr>
            <w:tcW w:w="8251" w:type="dxa"/>
            <w:tcMar>
              <w:top w:w="0" w:type="dxa"/>
              <w:left w:w="108" w:type="dxa"/>
              <w:bottom w:w="0" w:type="dxa"/>
              <w:right w:w="108" w:type="dxa"/>
            </w:tcMar>
            <w:vAlign w:val="center"/>
          </w:tcPr>
          <w:p w14:paraId="4198CF34" w14:textId="7D1C8DBA" w:rsidR="00103723" w:rsidRPr="1EAC8E60" w:rsidRDefault="4600C643" w:rsidP="4600C643">
            <w:pPr>
              <w:spacing w:after="0" w:line="240" w:lineRule="auto"/>
              <w:jc w:val="both"/>
              <w:rPr>
                <w:rFonts w:ascii="Times New Roman" w:hAnsi="Times New Roman" w:cs="Times New Roman"/>
                <w:sz w:val="24"/>
                <w:szCs w:val="24"/>
                <w:lang w:eastAsia="hu-HU"/>
              </w:rPr>
            </w:pPr>
            <w:r w:rsidRPr="4600C643">
              <w:rPr>
                <w:rFonts w:ascii="Times New Roman" w:hAnsi="Times New Roman" w:cs="Times New Roman"/>
                <w:sz w:val="24"/>
                <w:szCs w:val="24"/>
                <w:lang w:eastAsia="hu-HU"/>
              </w:rPr>
              <w:t>Közúthálózat fenntartás és működtetés</w:t>
            </w:r>
          </w:p>
        </w:tc>
        <w:tc>
          <w:tcPr>
            <w:tcW w:w="992" w:type="dxa"/>
            <w:noWrap/>
            <w:tcMar>
              <w:top w:w="0" w:type="dxa"/>
              <w:left w:w="108" w:type="dxa"/>
              <w:bottom w:w="0" w:type="dxa"/>
              <w:right w:w="108" w:type="dxa"/>
            </w:tcMar>
            <w:vAlign w:val="center"/>
          </w:tcPr>
          <w:p w14:paraId="1E51D1D0" w14:textId="5647F1FE" w:rsidR="00103723" w:rsidRPr="30317774" w:rsidRDefault="4600C643" w:rsidP="4600C643">
            <w:pPr>
              <w:spacing w:after="0" w:line="240" w:lineRule="auto"/>
              <w:jc w:val="right"/>
              <w:rPr>
                <w:rFonts w:ascii="Times New Roman" w:hAnsi="Times New Roman" w:cs="Times New Roman"/>
                <w:sz w:val="24"/>
                <w:szCs w:val="24"/>
                <w:lang w:eastAsia="hu-HU"/>
              </w:rPr>
            </w:pPr>
            <w:r w:rsidRPr="4600C643">
              <w:rPr>
                <w:rFonts w:ascii="Times New Roman" w:hAnsi="Times New Roman" w:cs="Times New Roman"/>
                <w:sz w:val="24"/>
                <w:szCs w:val="24"/>
                <w:lang w:eastAsia="hu-HU"/>
              </w:rPr>
              <w:t>71,0</w:t>
            </w:r>
          </w:p>
        </w:tc>
      </w:tr>
      <w:tr w:rsidR="00711674" w:rsidRPr="008E4041" w14:paraId="3B84CF10" w14:textId="77777777" w:rsidTr="4600C643">
        <w:trPr>
          <w:trHeight w:val="283"/>
        </w:trPr>
        <w:tc>
          <w:tcPr>
            <w:tcW w:w="8251" w:type="dxa"/>
            <w:tcMar>
              <w:top w:w="0" w:type="dxa"/>
              <w:left w:w="108" w:type="dxa"/>
              <w:bottom w:w="0" w:type="dxa"/>
              <w:right w:w="108" w:type="dxa"/>
            </w:tcMar>
            <w:vAlign w:val="center"/>
          </w:tcPr>
          <w:p w14:paraId="0FD0169A" w14:textId="77741588" w:rsidR="00711674" w:rsidRDefault="4600C643" w:rsidP="4600C643">
            <w:pPr>
              <w:spacing w:after="0" w:line="240" w:lineRule="auto"/>
              <w:jc w:val="both"/>
              <w:rPr>
                <w:rFonts w:ascii="Times New Roman" w:hAnsi="Times New Roman" w:cs="Times New Roman"/>
                <w:sz w:val="24"/>
                <w:szCs w:val="24"/>
                <w:lang w:eastAsia="hu-HU"/>
              </w:rPr>
            </w:pPr>
            <w:r w:rsidRPr="4600C643">
              <w:rPr>
                <w:rFonts w:ascii="Times New Roman" w:hAnsi="Times New Roman" w:cs="Times New Roman"/>
                <w:sz w:val="24"/>
                <w:szCs w:val="24"/>
                <w:lang w:eastAsia="hu-HU"/>
              </w:rPr>
              <w:t>Egyházi alapintézmény működés, SZJA rendelkezés és kiegészítése</w:t>
            </w:r>
          </w:p>
        </w:tc>
        <w:tc>
          <w:tcPr>
            <w:tcW w:w="992" w:type="dxa"/>
            <w:noWrap/>
            <w:tcMar>
              <w:top w:w="0" w:type="dxa"/>
              <w:left w:w="108" w:type="dxa"/>
              <w:bottom w:w="0" w:type="dxa"/>
              <w:right w:w="108" w:type="dxa"/>
            </w:tcMar>
            <w:vAlign w:val="center"/>
          </w:tcPr>
          <w:p w14:paraId="3CFFC712" w14:textId="4FCC8C51" w:rsidR="00711674" w:rsidRDefault="4600C643" w:rsidP="4600C643">
            <w:pPr>
              <w:spacing w:after="0" w:line="240" w:lineRule="auto"/>
              <w:jc w:val="right"/>
              <w:rPr>
                <w:rFonts w:ascii="Times New Roman" w:hAnsi="Times New Roman" w:cs="Times New Roman"/>
                <w:sz w:val="24"/>
                <w:szCs w:val="24"/>
                <w:lang w:eastAsia="hu-HU"/>
              </w:rPr>
            </w:pPr>
            <w:r w:rsidRPr="4600C643">
              <w:rPr>
                <w:rFonts w:ascii="Times New Roman" w:hAnsi="Times New Roman" w:cs="Times New Roman"/>
                <w:sz w:val="24"/>
                <w:szCs w:val="24"/>
                <w:lang w:eastAsia="hu-HU"/>
              </w:rPr>
              <w:t>31,6</w:t>
            </w:r>
          </w:p>
        </w:tc>
      </w:tr>
      <w:tr w:rsidR="00711674" w:rsidRPr="008E4041" w14:paraId="0C4084D1" w14:textId="77777777" w:rsidTr="4600C643">
        <w:trPr>
          <w:trHeight w:val="283"/>
        </w:trPr>
        <w:tc>
          <w:tcPr>
            <w:tcW w:w="8251" w:type="dxa"/>
            <w:tcMar>
              <w:top w:w="0" w:type="dxa"/>
              <w:left w:w="108" w:type="dxa"/>
              <w:bottom w:w="0" w:type="dxa"/>
              <w:right w:w="108" w:type="dxa"/>
            </w:tcMar>
            <w:vAlign w:val="center"/>
          </w:tcPr>
          <w:p w14:paraId="394DD88A" w14:textId="1AB9AC18" w:rsidR="00711674" w:rsidRDefault="4600C643" w:rsidP="4600C643">
            <w:pPr>
              <w:spacing w:after="0" w:line="240" w:lineRule="auto"/>
              <w:jc w:val="both"/>
              <w:rPr>
                <w:rFonts w:ascii="Times New Roman" w:hAnsi="Times New Roman" w:cs="Times New Roman"/>
                <w:sz w:val="24"/>
                <w:szCs w:val="24"/>
                <w:lang w:eastAsia="hu-HU"/>
              </w:rPr>
            </w:pPr>
            <w:r w:rsidRPr="4600C643">
              <w:rPr>
                <w:rFonts w:ascii="Times New Roman" w:hAnsi="Times New Roman" w:cs="Times New Roman"/>
                <w:sz w:val="24"/>
                <w:szCs w:val="24"/>
                <w:lang w:eastAsia="hu-HU"/>
              </w:rPr>
              <w:t>HUN-REN Magyar Kutatási Hálózat támogatása</w:t>
            </w:r>
          </w:p>
        </w:tc>
        <w:tc>
          <w:tcPr>
            <w:tcW w:w="992" w:type="dxa"/>
            <w:noWrap/>
            <w:tcMar>
              <w:top w:w="0" w:type="dxa"/>
              <w:left w:w="108" w:type="dxa"/>
              <w:bottom w:w="0" w:type="dxa"/>
              <w:right w:w="108" w:type="dxa"/>
            </w:tcMar>
            <w:vAlign w:val="center"/>
          </w:tcPr>
          <w:p w14:paraId="7A78ED9C" w14:textId="7346CE91" w:rsidR="00711674" w:rsidRDefault="4600C643" w:rsidP="4600C643">
            <w:pPr>
              <w:spacing w:after="0" w:line="240" w:lineRule="auto"/>
              <w:jc w:val="right"/>
              <w:rPr>
                <w:rFonts w:ascii="Times New Roman" w:hAnsi="Times New Roman" w:cs="Times New Roman"/>
                <w:sz w:val="24"/>
                <w:szCs w:val="24"/>
                <w:lang w:eastAsia="hu-HU"/>
              </w:rPr>
            </w:pPr>
            <w:r w:rsidRPr="4600C643">
              <w:rPr>
                <w:rFonts w:ascii="Times New Roman" w:hAnsi="Times New Roman" w:cs="Times New Roman"/>
                <w:sz w:val="24"/>
                <w:szCs w:val="24"/>
                <w:lang w:eastAsia="hu-HU"/>
              </w:rPr>
              <w:t>27,8</w:t>
            </w:r>
          </w:p>
        </w:tc>
      </w:tr>
      <w:tr w:rsidR="00103723" w:rsidRPr="008E4041" w14:paraId="19B728EA" w14:textId="77777777" w:rsidTr="4600C643">
        <w:trPr>
          <w:trHeight w:val="283"/>
        </w:trPr>
        <w:tc>
          <w:tcPr>
            <w:tcW w:w="8251" w:type="dxa"/>
            <w:tcMar>
              <w:top w:w="0" w:type="dxa"/>
              <w:left w:w="108" w:type="dxa"/>
              <w:bottom w:w="0" w:type="dxa"/>
              <w:right w:w="108" w:type="dxa"/>
            </w:tcMar>
            <w:vAlign w:val="center"/>
          </w:tcPr>
          <w:p w14:paraId="0E880990" w14:textId="397D6EE9" w:rsidR="00103723" w:rsidRPr="1EAC8E60" w:rsidRDefault="4600C643" w:rsidP="4600C643">
            <w:pPr>
              <w:spacing w:after="0" w:line="240" w:lineRule="auto"/>
              <w:jc w:val="both"/>
              <w:rPr>
                <w:rFonts w:ascii="Times New Roman" w:hAnsi="Times New Roman" w:cs="Times New Roman"/>
                <w:sz w:val="24"/>
                <w:szCs w:val="24"/>
                <w:lang w:eastAsia="hu-HU"/>
              </w:rPr>
            </w:pPr>
            <w:r w:rsidRPr="4600C643">
              <w:rPr>
                <w:rFonts w:ascii="Times New Roman" w:hAnsi="Times New Roman" w:cs="Times New Roman"/>
                <w:sz w:val="24"/>
                <w:szCs w:val="24"/>
                <w:lang w:eastAsia="hu-HU"/>
              </w:rPr>
              <w:t>Víziközmű-fejlesztések</w:t>
            </w:r>
          </w:p>
        </w:tc>
        <w:tc>
          <w:tcPr>
            <w:tcW w:w="992" w:type="dxa"/>
            <w:noWrap/>
            <w:tcMar>
              <w:top w:w="0" w:type="dxa"/>
              <w:left w:w="108" w:type="dxa"/>
              <w:bottom w:w="0" w:type="dxa"/>
              <w:right w:w="108" w:type="dxa"/>
            </w:tcMar>
            <w:vAlign w:val="center"/>
          </w:tcPr>
          <w:p w14:paraId="13E38021" w14:textId="2E4F81A1" w:rsidR="00103723" w:rsidRPr="30317774" w:rsidRDefault="4600C643" w:rsidP="4600C643">
            <w:pPr>
              <w:spacing w:after="0" w:line="240" w:lineRule="auto"/>
              <w:jc w:val="right"/>
              <w:rPr>
                <w:rFonts w:ascii="Times New Roman" w:hAnsi="Times New Roman" w:cs="Times New Roman"/>
                <w:sz w:val="24"/>
                <w:szCs w:val="24"/>
                <w:lang w:eastAsia="hu-HU"/>
              </w:rPr>
            </w:pPr>
            <w:r w:rsidRPr="4600C643">
              <w:rPr>
                <w:rFonts w:ascii="Times New Roman" w:hAnsi="Times New Roman" w:cs="Times New Roman"/>
                <w:sz w:val="24"/>
                <w:szCs w:val="24"/>
                <w:lang w:eastAsia="hu-HU"/>
              </w:rPr>
              <w:t>27,3</w:t>
            </w:r>
          </w:p>
        </w:tc>
      </w:tr>
      <w:tr w:rsidR="00711674" w:rsidRPr="008E4041" w14:paraId="245CFEE2" w14:textId="77777777" w:rsidTr="4600C643">
        <w:trPr>
          <w:trHeight w:val="283"/>
        </w:trPr>
        <w:tc>
          <w:tcPr>
            <w:tcW w:w="8251" w:type="dxa"/>
            <w:tcMar>
              <w:top w:w="0" w:type="dxa"/>
              <w:left w:w="108" w:type="dxa"/>
              <w:bottom w:w="0" w:type="dxa"/>
              <w:right w:w="108" w:type="dxa"/>
            </w:tcMar>
            <w:vAlign w:val="center"/>
          </w:tcPr>
          <w:p w14:paraId="575A9507" w14:textId="1E7B6EB7" w:rsidR="00711674" w:rsidRDefault="4600C643" w:rsidP="4600C643">
            <w:pPr>
              <w:spacing w:after="0" w:line="240" w:lineRule="auto"/>
              <w:jc w:val="both"/>
              <w:rPr>
                <w:rFonts w:ascii="Times New Roman" w:hAnsi="Times New Roman" w:cs="Times New Roman"/>
                <w:sz w:val="24"/>
                <w:szCs w:val="24"/>
                <w:lang w:eastAsia="hu-HU"/>
              </w:rPr>
            </w:pPr>
            <w:r w:rsidRPr="4600C643">
              <w:rPr>
                <w:rFonts w:ascii="Times New Roman" w:hAnsi="Times New Roman" w:cs="Times New Roman"/>
                <w:sz w:val="24"/>
                <w:szCs w:val="24"/>
                <w:lang w:eastAsia="hu-HU"/>
              </w:rPr>
              <w:t>Infrastrukturális, innovációs és ökoszisztéma fejlesztések</w:t>
            </w:r>
          </w:p>
        </w:tc>
        <w:tc>
          <w:tcPr>
            <w:tcW w:w="992" w:type="dxa"/>
            <w:noWrap/>
            <w:tcMar>
              <w:top w:w="0" w:type="dxa"/>
              <w:left w:w="108" w:type="dxa"/>
              <w:bottom w:w="0" w:type="dxa"/>
              <w:right w:w="108" w:type="dxa"/>
            </w:tcMar>
            <w:vAlign w:val="center"/>
          </w:tcPr>
          <w:p w14:paraId="491421AE" w14:textId="5ABC1D44" w:rsidR="00711674" w:rsidRDefault="4600C643" w:rsidP="4600C643">
            <w:pPr>
              <w:spacing w:after="0" w:line="240" w:lineRule="auto"/>
              <w:jc w:val="right"/>
              <w:rPr>
                <w:rFonts w:ascii="Times New Roman" w:hAnsi="Times New Roman" w:cs="Times New Roman"/>
                <w:sz w:val="24"/>
                <w:szCs w:val="24"/>
                <w:lang w:eastAsia="hu-HU"/>
              </w:rPr>
            </w:pPr>
            <w:r w:rsidRPr="4600C643">
              <w:rPr>
                <w:rFonts w:ascii="Times New Roman" w:hAnsi="Times New Roman" w:cs="Times New Roman"/>
                <w:sz w:val="24"/>
                <w:szCs w:val="24"/>
                <w:lang w:eastAsia="hu-HU"/>
              </w:rPr>
              <w:t>22,5</w:t>
            </w:r>
          </w:p>
        </w:tc>
      </w:tr>
    </w:tbl>
    <w:p w14:paraId="032A8560" w14:textId="30908258" w:rsidR="00484365" w:rsidRPr="00A61DE1" w:rsidRDefault="4600C643" w:rsidP="4600C643">
      <w:pPr>
        <w:spacing w:before="160" w:after="0"/>
        <w:jc w:val="both"/>
        <w:rPr>
          <w:rFonts w:ascii="Times New Roman" w:eastAsia="Times New Roman" w:hAnsi="Times New Roman" w:cs="Times New Roman"/>
          <w:sz w:val="26"/>
          <w:szCs w:val="26"/>
          <w:lang w:eastAsia="hu-HU"/>
        </w:rPr>
      </w:pPr>
      <w:r w:rsidRPr="4600C643">
        <w:rPr>
          <w:rFonts w:ascii="Times New Roman" w:eastAsia="Times New Roman" w:hAnsi="Times New Roman" w:cs="Times New Roman"/>
          <w:sz w:val="26"/>
          <w:szCs w:val="26"/>
          <w:lang w:eastAsia="hu-HU"/>
        </w:rPr>
        <w:t>A 2026. év első kéthavi, 3634,0 milliárd forint összegű kiadásának megoszlását a következő grafikon szemlélteti:</w:t>
      </w:r>
    </w:p>
    <w:p w14:paraId="3599A16D" w14:textId="4C384A2F" w:rsidR="00B056CC" w:rsidRDefault="00AC5A5F" w:rsidP="009C33A4">
      <w:pPr>
        <w:spacing w:before="240"/>
        <w:jc w:val="center"/>
        <w:rPr>
          <w:rFonts w:ascii="Times New Roman" w:eastAsia="Times New Roman" w:hAnsi="Times New Roman" w:cs="Times New Roman"/>
          <w:b/>
          <w:sz w:val="26"/>
          <w:szCs w:val="26"/>
        </w:rPr>
      </w:pPr>
      <w:r w:rsidRPr="00AC5A5F">
        <w:rPr>
          <w:rFonts w:ascii="Times New Roman" w:eastAsia="Times New Roman" w:hAnsi="Times New Roman" w:cs="Times New Roman"/>
          <w:b/>
          <w:noProof/>
          <w:sz w:val="26"/>
          <w:szCs w:val="26"/>
        </w:rPr>
        <w:drawing>
          <wp:inline distT="0" distB="0" distL="0" distR="0" wp14:anchorId="2682D18E" wp14:editId="3899AF13">
            <wp:extent cx="5806416" cy="3279027"/>
            <wp:effectExtent l="0" t="0" r="4445" b="0"/>
            <wp:docPr id="518062813" name="Kép 1" descr="A képen szöveg, képernyőkép, sor, szá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062813" name="Kép 1" descr="A képen szöveg, képernyőkép, sor, szám látható&#10;&#10;Előfordulhat, hogy a mesterséges intelligencia által létrehozott tartalom helytelen."/>
                    <pic:cNvPicPr/>
                  </pic:nvPicPr>
                  <pic:blipFill>
                    <a:blip r:embed="rId25"/>
                    <a:stretch>
                      <a:fillRect/>
                    </a:stretch>
                  </pic:blipFill>
                  <pic:spPr>
                    <a:xfrm>
                      <a:off x="0" y="0"/>
                      <a:ext cx="5813311" cy="3282921"/>
                    </a:xfrm>
                    <a:prstGeom prst="rect">
                      <a:avLst/>
                    </a:prstGeom>
                  </pic:spPr>
                </pic:pic>
              </a:graphicData>
            </a:graphic>
          </wp:inline>
        </w:drawing>
      </w:r>
    </w:p>
    <w:p w14:paraId="7B768C4E" w14:textId="3E063542" w:rsidR="00B155FE" w:rsidRPr="00377D59" w:rsidRDefault="4600C643" w:rsidP="4600C643">
      <w:pPr>
        <w:keepNext/>
        <w:numPr>
          <w:ilvl w:val="0"/>
          <w:numId w:val="3"/>
        </w:numPr>
        <w:ind w:left="714" w:hanging="357"/>
        <w:jc w:val="both"/>
        <w:outlineLvl w:val="2"/>
        <w:rPr>
          <w:rFonts w:ascii="Times New Roman" w:eastAsia="Times New Roman" w:hAnsi="Times New Roman" w:cs="Times New Roman"/>
          <w:b/>
          <w:bCs/>
          <w:smallCaps/>
          <w:sz w:val="28"/>
          <w:szCs w:val="28"/>
          <w:lang w:eastAsia="hu-HU"/>
        </w:rPr>
      </w:pPr>
      <w:r w:rsidRPr="4600C643">
        <w:rPr>
          <w:rFonts w:ascii="Times New Roman" w:eastAsia="Times New Roman" w:hAnsi="Times New Roman" w:cs="Times New Roman"/>
          <w:b/>
          <w:bCs/>
          <w:smallCaps/>
          <w:sz w:val="28"/>
          <w:szCs w:val="28"/>
          <w:lang w:eastAsia="hu-HU"/>
        </w:rPr>
        <w:t>Kamategyenleg</w:t>
      </w:r>
    </w:p>
    <w:p w14:paraId="0047F521" w14:textId="5110B34B" w:rsidR="003F3151" w:rsidRDefault="4600C643" w:rsidP="4600C643">
      <w:pPr>
        <w:jc w:val="both"/>
        <w:rPr>
          <w:rFonts w:ascii="Times New Roman" w:hAnsi="Times New Roman" w:cs="Times New Roman"/>
          <w:sz w:val="26"/>
          <w:szCs w:val="26"/>
        </w:rPr>
      </w:pPr>
      <w:bookmarkStart w:id="6" w:name="_Hlk211416201"/>
      <w:r w:rsidRPr="4600C643">
        <w:rPr>
          <w:rFonts w:ascii="Times New Roman" w:hAnsi="Times New Roman" w:cs="Times New Roman"/>
          <w:sz w:val="26"/>
          <w:szCs w:val="26"/>
          <w:lang w:eastAsia="hu-HU"/>
        </w:rPr>
        <w:t xml:space="preserve">A bevételek és kiadások egyenlegeként adódó </w:t>
      </w:r>
      <w:r w:rsidR="00944F06" w:rsidRPr="00944F06">
        <w:rPr>
          <w:rFonts w:ascii="Times New Roman" w:hAnsi="Times New Roman" w:cs="Times New Roman"/>
          <w:sz w:val="26"/>
          <w:szCs w:val="26"/>
          <w:lang w:eastAsia="hu-HU"/>
        </w:rPr>
        <w:t>396,9</w:t>
      </w:r>
      <w:r w:rsidRPr="4600C643">
        <w:rPr>
          <w:rFonts w:ascii="Times New Roman" w:hAnsi="Times New Roman" w:cs="Times New Roman"/>
          <w:sz w:val="26"/>
          <w:szCs w:val="26"/>
          <w:lang w:eastAsia="hu-HU"/>
        </w:rPr>
        <w:t xml:space="preserve"> milliárd forint összegű </w:t>
      </w:r>
      <w:r w:rsidRPr="4600C643">
        <w:rPr>
          <w:rFonts w:ascii="Times New Roman" w:hAnsi="Times New Roman" w:cs="Times New Roman"/>
          <w:b/>
          <w:bCs/>
          <w:sz w:val="26"/>
          <w:szCs w:val="26"/>
          <w:lang w:eastAsia="hu-HU"/>
        </w:rPr>
        <w:t>nettó</w:t>
      </w:r>
      <w:r w:rsidRPr="4600C643">
        <w:rPr>
          <w:rFonts w:ascii="Times New Roman" w:hAnsi="Times New Roman" w:cs="Times New Roman"/>
          <w:b/>
          <w:bCs/>
          <w:sz w:val="26"/>
          <w:szCs w:val="26"/>
        </w:rPr>
        <w:t xml:space="preserve"> kamatkiadás</w:t>
      </w:r>
      <w:r w:rsidRPr="4600C643">
        <w:rPr>
          <w:rFonts w:ascii="Times New Roman" w:hAnsi="Times New Roman" w:cs="Times New Roman"/>
          <w:sz w:val="26"/>
          <w:szCs w:val="26"/>
        </w:rPr>
        <w:t xml:space="preserve"> 2026 </w:t>
      </w:r>
      <w:r w:rsidR="00944F06">
        <w:rPr>
          <w:rFonts w:ascii="Times New Roman" w:hAnsi="Times New Roman" w:cs="Times New Roman"/>
          <w:sz w:val="26"/>
          <w:szCs w:val="26"/>
        </w:rPr>
        <w:t>február végéig</w:t>
      </w:r>
      <w:r w:rsidRPr="4600C643">
        <w:rPr>
          <w:rFonts w:ascii="Times New Roman" w:hAnsi="Times New Roman" w:cs="Times New Roman"/>
          <w:sz w:val="26"/>
          <w:szCs w:val="26"/>
        </w:rPr>
        <w:t xml:space="preserve"> </w:t>
      </w:r>
      <w:r w:rsidR="00944F06">
        <w:rPr>
          <w:rFonts w:ascii="Times New Roman" w:hAnsi="Times New Roman" w:cs="Times New Roman"/>
          <w:sz w:val="26"/>
          <w:szCs w:val="26"/>
        </w:rPr>
        <w:t>572,6</w:t>
      </w:r>
      <w:r w:rsidRPr="4600C643">
        <w:rPr>
          <w:rFonts w:ascii="Times New Roman" w:hAnsi="Times New Roman" w:cs="Times New Roman"/>
          <w:sz w:val="26"/>
          <w:szCs w:val="26"/>
        </w:rPr>
        <w:t xml:space="preserve"> milliárd forinttal lett alacsonyabb az előző évhez képest, mely az </w:t>
      </w:r>
      <w:r w:rsidR="00944F06">
        <w:rPr>
          <w:rFonts w:ascii="Times New Roman" w:hAnsi="Times New Roman" w:cs="Times New Roman"/>
          <w:sz w:val="26"/>
          <w:szCs w:val="26"/>
        </w:rPr>
        <w:t>eltérő</w:t>
      </w:r>
      <w:r w:rsidRPr="4600C643">
        <w:rPr>
          <w:rFonts w:ascii="Times New Roman" w:hAnsi="Times New Roman" w:cs="Times New Roman"/>
          <w:sz w:val="26"/>
          <w:szCs w:val="26"/>
        </w:rPr>
        <w:t xml:space="preserve"> hozamokkal és finanszírozási szerkezettel magyarázható.</w:t>
      </w:r>
    </w:p>
    <w:bookmarkEnd w:id="6"/>
    <w:p w14:paraId="1475120F" w14:textId="77777777" w:rsidR="00224E67" w:rsidRDefault="00224E67" w:rsidP="716D41F4">
      <w:pPr>
        <w:jc w:val="both"/>
        <w:rPr>
          <w:rFonts w:ascii="Times New Roman" w:hAnsi="Times New Roman" w:cs="Times New Roman"/>
          <w:sz w:val="26"/>
          <w:szCs w:val="26"/>
        </w:rPr>
      </w:pPr>
    </w:p>
    <w:p w14:paraId="12833000" w14:textId="77777777" w:rsidR="00224E67" w:rsidRDefault="00224E67" w:rsidP="716D41F4">
      <w:pPr>
        <w:jc w:val="both"/>
        <w:rPr>
          <w:rFonts w:ascii="Times New Roman" w:hAnsi="Times New Roman" w:cs="Times New Roman"/>
          <w:sz w:val="26"/>
          <w:szCs w:val="26"/>
        </w:rPr>
      </w:pPr>
    </w:p>
    <w:p w14:paraId="7B768C50" w14:textId="77777777" w:rsidR="00B155FE" w:rsidRPr="00377D59" w:rsidRDefault="00B155FE" w:rsidP="00B155FE">
      <w:pPr>
        <w:tabs>
          <w:tab w:val="left" w:pos="550"/>
        </w:tabs>
        <w:spacing w:before="120" w:after="120" w:line="240" w:lineRule="auto"/>
        <w:jc w:val="both"/>
        <w:rPr>
          <w:rFonts w:ascii="Times New Roman" w:eastAsia="Times New Roman" w:hAnsi="Times New Roman" w:cs="Times New Roman"/>
          <w:caps/>
          <w:sz w:val="26"/>
          <w:szCs w:val="20"/>
          <w:lang w:eastAsia="hu-HU"/>
        </w:rPr>
      </w:pPr>
      <w:r w:rsidRPr="00377D59">
        <w:rPr>
          <w:rFonts w:ascii="Times New Roman" w:eastAsia="Times New Roman" w:hAnsi="Times New Roman" w:cs="Times New Roman"/>
          <w:caps/>
          <w:sz w:val="26"/>
          <w:szCs w:val="20"/>
          <w:lang w:eastAsia="hu-HU"/>
        </w:rPr>
        <w:br w:type="page"/>
      </w:r>
    </w:p>
    <w:p w14:paraId="688B9DA7" w14:textId="77777777" w:rsidR="00C9408B" w:rsidRDefault="4600C643" w:rsidP="4600C643">
      <w:pPr>
        <w:keepNext/>
        <w:spacing w:after="120" w:line="240" w:lineRule="auto"/>
        <w:jc w:val="center"/>
        <w:outlineLvl w:val="3"/>
        <w:rPr>
          <w:rFonts w:ascii="Times New Roman" w:eastAsia="Times New Roman" w:hAnsi="Times New Roman" w:cs="Times New Roman"/>
          <w:b/>
          <w:bCs/>
          <w:caps/>
          <w:sz w:val="26"/>
          <w:szCs w:val="26"/>
          <w:lang w:eastAsia="hu-HU"/>
        </w:rPr>
      </w:pPr>
      <w:r w:rsidRPr="4600C643">
        <w:rPr>
          <w:rFonts w:ascii="Times New Roman" w:eastAsia="Times New Roman" w:hAnsi="Times New Roman" w:cs="Times New Roman"/>
          <w:b/>
          <w:bCs/>
          <w:caps/>
          <w:sz w:val="26"/>
          <w:szCs w:val="26"/>
          <w:lang w:eastAsia="hu-HU"/>
        </w:rPr>
        <w:lastRenderedPageBreak/>
        <w:t>II.</w:t>
      </w:r>
    </w:p>
    <w:p w14:paraId="7B768C51" w14:textId="63BB059C" w:rsidR="00B155FE" w:rsidRPr="00377D59" w:rsidRDefault="4600C643" w:rsidP="4600C643">
      <w:pPr>
        <w:keepNext/>
        <w:spacing w:after="240" w:line="240" w:lineRule="auto"/>
        <w:jc w:val="center"/>
        <w:outlineLvl w:val="3"/>
        <w:rPr>
          <w:rFonts w:ascii="Times New Roman" w:eastAsia="Times New Roman" w:hAnsi="Times New Roman" w:cs="Times New Roman"/>
          <w:b/>
          <w:bCs/>
          <w:caps/>
          <w:sz w:val="26"/>
          <w:szCs w:val="26"/>
          <w:lang w:eastAsia="hu-HU"/>
        </w:rPr>
      </w:pPr>
      <w:r w:rsidRPr="4600C643">
        <w:rPr>
          <w:rFonts w:ascii="Times New Roman" w:eastAsia="Times New Roman" w:hAnsi="Times New Roman" w:cs="Times New Roman"/>
          <w:b/>
          <w:bCs/>
          <w:caps/>
          <w:sz w:val="26"/>
          <w:szCs w:val="26"/>
          <w:lang w:eastAsia="hu-HU"/>
        </w:rPr>
        <w:t>Az államháztartás központi alrendszerének finanszírozása</w:t>
      </w:r>
    </w:p>
    <w:p w14:paraId="401A33AB" w14:textId="1E9C1419" w:rsidR="00D424B8" w:rsidRPr="008E6DF0" w:rsidRDefault="4600C643" w:rsidP="4600C643">
      <w:pPr>
        <w:ind w:right="23"/>
        <w:jc w:val="both"/>
        <w:rPr>
          <w:rFonts w:ascii="Times New Roman" w:eastAsia="Times New Roman" w:hAnsi="Times New Roman" w:cs="Times New Roman"/>
          <w:b/>
          <w:bCs/>
          <w:sz w:val="26"/>
          <w:szCs w:val="26"/>
          <w:lang w:eastAsia="hu-HU"/>
        </w:rPr>
      </w:pPr>
      <w:r w:rsidRPr="4600C643">
        <w:rPr>
          <w:rFonts w:ascii="Times New Roman" w:eastAsia="Times New Roman" w:hAnsi="Times New Roman" w:cs="Times New Roman"/>
          <w:sz w:val="26"/>
          <w:szCs w:val="26"/>
          <w:lang w:eastAsia="hu-HU"/>
        </w:rPr>
        <w:t xml:space="preserve">A központi költségvetés adóssága 2026. </w:t>
      </w:r>
      <w:r w:rsidR="00126926">
        <w:rPr>
          <w:rFonts w:ascii="Times New Roman" w:eastAsia="Times New Roman" w:hAnsi="Times New Roman" w:cs="Times New Roman"/>
          <w:sz w:val="26"/>
          <w:szCs w:val="26"/>
          <w:lang w:eastAsia="hu-HU"/>
        </w:rPr>
        <w:t>február</w:t>
      </w:r>
      <w:r w:rsidRPr="4600C643">
        <w:rPr>
          <w:rFonts w:ascii="Times New Roman" w:eastAsia="Times New Roman" w:hAnsi="Times New Roman" w:cs="Times New Roman"/>
          <w:sz w:val="26"/>
          <w:szCs w:val="26"/>
          <w:lang w:eastAsia="hu-HU"/>
        </w:rPr>
        <w:t xml:space="preserve"> végéig </w:t>
      </w:r>
      <w:r w:rsidR="002756E3" w:rsidRPr="002756E3">
        <w:rPr>
          <w:rFonts w:ascii="Times New Roman" w:eastAsia="Times New Roman" w:hAnsi="Times New Roman" w:cs="Times New Roman"/>
          <w:sz w:val="26"/>
          <w:szCs w:val="26"/>
          <w:lang w:eastAsia="hu-HU"/>
        </w:rPr>
        <w:t>2379,5</w:t>
      </w:r>
      <w:r w:rsidR="002756E3">
        <w:rPr>
          <w:rFonts w:ascii="Times New Roman" w:eastAsia="Times New Roman" w:hAnsi="Times New Roman" w:cs="Times New Roman"/>
          <w:sz w:val="26"/>
          <w:szCs w:val="26"/>
          <w:lang w:eastAsia="hu-HU"/>
        </w:rPr>
        <w:t> milliárd</w:t>
      </w:r>
      <w:r w:rsidRPr="4600C643">
        <w:rPr>
          <w:rFonts w:ascii="Times New Roman" w:eastAsia="Times New Roman" w:hAnsi="Times New Roman" w:cs="Times New Roman"/>
          <w:sz w:val="26"/>
          <w:szCs w:val="26"/>
          <w:lang w:eastAsia="hu-HU"/>
        </w:rPr>
        <w:t xml:space="preserve"> forinttal növekedett a következő négy tényező eredményeképpen:</w:t>
      </w:r>
    </w:p>
    <w:p w14:paraId="4417A1D9" w14:textId="105D1D5E" w:rsidR="002756E3" w:rsidRPr="002756E3" w:rsidRDefault="002756E3" w:rsidP="4600C643">
      <w:pPr>
        <w:pStyle w:val="Listaszerbekezds"/>
        <w:numPr>
          <w:ilvl w:val="0"/>
          <w:numId w:val="2"/>
        </w:numPr>
        <w:jc w:val="both"/>
        <w:rPr>
          <w:rFonts w:ascii="Times New Roman" w:eastAsia="Times New Roman" w:hAnsi="Times New Roman" w:cs="Times New Roman"/>
          <w:sz w:val="26"/>
          <w:szCs w:val="26"/>
          <w:lang w:eastAsia="hu-HU"/>
        </w:rPr>
      </w:pPr>
      <w:r w:rsidRPr="002756E3">
        <w:rPr>
          <w:rFonts w:ascii="Times New Roman" w:eastAsia="Times New Roman" w:hAnsi="Times New Roman" w:cs="Times New Roman"/>
          <w:b/>
          <w:bCs/>
          <w:sz w:val="26"/>
          <w:szCs w:val="26"/>
          <w:lang w:eastAsia="hu-HU"/>
        </w:rPr>
        <w:t>Az első tényező</w:t>
      </w:r>
      <w:r w:rsidRPr="002756E3">
        <w:rPr>
          <w:rFonts w:ascii="Times New Roman" w:eastAsia="Times New Roman" w:hAnsi="Times New Roman" w:cs="Times New Roman"/>
          <w:sz w:val="26"/>
          <w:szCs w:val="26"/>
          <w:lang w:eastAsia="hu-HU"/>
        </w:rPr>
        <w:t xml:space="preserve"> a nettó forintkibocsátás, amely 1672,7</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forinttal növelte az adósságot, így segítette a költségvetési hiány egy részének finanszírozását.</w:t>
      </w:r>
    </w:p>
    <w:p w14:paraId="3EE05D12" w14:textId="3D35DF3C" w:rsidR="002756E3" w:rsidRPr="002756E3" w:rsidRDefault="002756E3" w:rsidP="4600C643">
      <w:pPr>
        <w:pStyle w:val="Listaszerbekezds"/>
        <w:numPr>
          <w:ilvl w:val="0"/>
          <w:numId w:val="2"/>
        </w:numPr>
        <w:jc w:val="both"/>
        <w:rPr>
          <w:rFonts w:ascii="Times New Roman" w:eastAsia="Times New Roman" w:hAnsi="Times New Roman" w:cs="Times New Roman"/>
          <w:sz w:val="26"/>
          <w:szCs w:val="26"/>
          <w:lang w:eastAsia="hu-HU"/>
        </w:rPr>
      </w:pPr>
      <w:r w:rsidRPr="002756E3">
        <w:rPr>
          <w:rFonts w:ascii="Times New Roman" w:eastAsia="Times New Roman" w:hAnsi="Times New Roman" w:cs="Times New Roman"/>
          <w:b/>
          <w:bCs/>
          <w:sz w:val="26"/>
          <w:szCs w:val="26"/>
          <w:lang w:eastAsia="hu-HU"/>
        </w:rPr>
        <w:t>A második – szintén növelő hatású – tényező</w:t>
      </w:r>
      <w:r w:rsidRPr="002756E3">
        <w:rPr>
          <w:rFonts w:ascii="Times New Roman" w:eastAsia="Times New Roman" w:hAnsi="Times New Roman" w:cs="Times New Roman"/>
          <w:sz w:val="26"/>
          <w:szCs w:val="26"/>
          <w:lang w:eastAsia="hu-HU"/>
        </w:rPr>
        <w:t xml:space="preserve"> a nettó devizakibocsátás, amely 1182,</w:t>
      </w:r>
      <w:r w:rsidR="00C02661">
        <w:rPr>
          <w:rFonts w:ascii="Times New Roman" w:eastAsia="Times New Roman" w:hAnsi="Times New Roman" w:cs="Times New Roman"/>
          <w:sz w:val="26"/>
          <w:szCs w:val="26"/>
          <w:lang w:eastAsia="hu-HU"/>
        </w:rPr>
        <w:t>4</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 összegben hozzájárul a hiány finanszírozásához és a devizabetétállomány növekedéséhez.</w:t>
      </w:r>
    </w:p>
    <w:p w14:paraId="221C55C7" w14:textId="6E338134" w:rsidR="002756E3" w:rsidRDefault="002756E3" w:rsidP="4600C643">
      <w:pPr>
        <w:pStyle w:val="Listaszerbekezds"/>
        <w:numPr>
          <w:ilvl w:val="0"/>
          <w:numId w:val="2"/>
        </w:numPr>
        <w:jc w:val="both"/>
        <w:rPr>
          <w:rFonts w:ascii="Times New Roman" w:eastAsia="Times New Roman" w:hAnsi="Times New Roman" w:cs="Times New Roman"/>
          <w:sz w:val="26"/>
          <w:szCs w:val="26"/>
          <w:lang w:eastAsia="hu-HU"/>
        </w:rPr>
      </w:pPr>
      <w:r w:rsidRPr="002756E3">
        <w:rPr>
          <w:rFonts w:ascii="Times New Roman" w:eastAsia="Times New Roman" w:hAnsi="Times New Roman" w:cs="Times New Roman"/>
          <w:b/>
          <w:bCs/>
          <w:sz w:val="26"/>
          <w:szCs w:val="26"/>
          <w:lang w:eastAsia="hu-HU"/>
        </w:rPr>
        <w:t>A harmadik – további növelő hatású – tényező</w:t>
      </w:r>
      <w:r w:rsidRPr="002756E3">
        <w:rPr>
          <w:rFonts w:ascii="Times New Roman" w:eastAsia="Times New Roman" w:hAnsi="Times New Roman" w:cs="Times New Roman"/>
          <w:sz w:val="26"/>
          <w:szCs w:val="26"/>
          <w:lang w:eastAsia="hu-HU"/>
        </w:rPr>
        <w:t xml:space="preserve"> a deviza-keresztárfolyamok változása és az egyéb tényezők miatt bekövetkezett mark-</w:t>
      </w:r>
      <w:proofErr w:type="spellStart"/>
      <w:r w:rsidRPr="002756E3">
        <w:rPr>
          <w:rFonts w:ascii="Times New Roman" w:eastAsia="Times New Roman" w:hAnsi="Times New Roman" w:cs="Times New Roman"/>
          <w:sz w:val="26"/>
          <w:szCs w:val="26"/>
          <w:lang w:eastAsia="hu-HU"/>
        </w:rPr>
        <w:t>to</w:t>
      </w:r>
      <w:proofErr w:type="spellEnd"/>
      <w:r w:rsidRPr="002756E3">
        <w:rPr>
          <w:rFonts w:ascii="Times New Roman" w:eastAsia="Times New Roman" w:hAnsi="Times New Roman" w:cs="Times New Roman"/>
          <w:sz w:val="26"/>
          <w:szCs w:val="26"/>
          <w:lang w:eastAsia="hu-HU"/>
        </w:rPr>
        <w:t>-market betétállományok emelkedése 1,1</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 összegben.</w:t>
      </w:r>
    </w:p>
    <w:p w14:paraId="111568C6" w14:textId="4F4BA20F" w:rsidR="007B0B76" w:rsidRPr="002756E3" w:rsidRDefault="002756E3" w:rsidP="00B03B7F">
      <w:pPr>
        <w:pStyle w:val="Listaszerbekezds"/>
        <w:numPr>
          <w:ilvl w:val="0"/>
          <w:numId w:val="2"/>
        </w:numPr>
        <w:jc w:val="both"/>
        <w:rPr>
          <w:rFonts w:ascii="Times New Roman" w:eastAsia="Times New Roman" w:hAnsi="Times New Roman" w:cs="Times New Roman"/>
          <w:sz w:val="26"/>
          <w:szCs w:val="26"/>
          <w:lang w:eastAsia="hu-HU"/>
        </w:rPr>
      </w:pPr>
      <w:r w:rsidRPr="002756E3">
        <w:rPr>
          <w:rFonts w:ascii="Times New Roman" w:eastAsia="Times New Roman" w:hAnsi="Times New Roman" w:cs="Times New Roman"/>
          <w:b/>
          <w:bCs/>
          <w:sz w:val="26"/>
          <w:szCs w:val="26"/>
          <w:lang w:eastAsia="hu-HU"/>
        </w:rPr>
        <w:t>A negyedik – fentiekkel ellentétes, csökkentő hatású – tényező</w:t>
      </w:r>
      <w:r w:rsidRPr="002756E3">
        <w:rPr>
          <w:rFonts w:ascii="Times New Roman" w:eastAsia="Times New Roman" w:hAnsi="Times New Roman" w:cs="Times New Roman"/>
          <w:sz w:val="26"/>
          <w:szCs w:val="26"/>
          <w:lang w:eastAsia="hu-HU"/>
        </w:rPr>
        <w:t xml:space="preserve"> a forint árfolyamának az elmúlt év végéhez képest bekövetkezett erősödése, amely az adósság devizában fennálló részének forintban számított nyilvántartási értékét 476,7</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forinttal mérsékelte.</w:t>
      </w:r>
    </w:p>
    <w:p w14:paraId="157CBCF7" w14:textId="192A582E" w:rsidR="007B0B76" w:rsidRPr="007B0B76" w:rsidRDefault="007B0B76" w:rsidP="007B0B76">
      <w:pPr>
        <w:jc w:val="both"/>
        <w:rPr>
          <w:rFonts w:ascii="Times New Roman" w:eastAsia="Times New Roman" w:hAnsi="Times New Roman" w:cs="Times New Roman"/>
          <w:sz w:val="26"/>
          <w:szCs w:val="26"/>
          <w:lang w:eastAsia="hu-HU"/>
        </w:rPr>
        <w:sectPr w:rsidR="007B0B76" w:rsidRPr="007B0B76" w:rsidSect="00AB17FF">
          <w:headerReference w:type="default" r:id="rId26"/>
          <w:footerReference w:type="default" r:id="rId27"/>
          <w:footnotePr>
            <w:numRestart w:val="eachPage"/>
          </w:footnotePr>
          <w:pgSz w:w="11907" w:h="16840" w:code="9"/>
          <w:pgMar w:top="1134" w:right="1134" w:bottom="1418" w:left="1418" w:header="709" w:footer="709" w:gutter="0"/>
          <w:cols w:space="708"/>
          <w:docGrid w:linePitch="354"/>
        </w:sectPr>
      </w:pPr>
    </w:p>
    <w:p w14:paraId="7B768C5C" w14:textId="2C4F9B84" w:rsidR="00B155FE" w:rsidRPr="00377D59" w:rsidRDefault="4600C643" w:rsidP="4600C643">
      <w:pPr>
        <w:spacing w:after="120" w:line="240" w:lineRule="auto"/>
        <w:ind w:right="23"/>
        <w:jc w:val="both"/>
        <w:rPr>
          <w:rFonts w:ascii="Times New Roman" w:eastAsia="Times New Roman" w:hAnsi="Times New Roman" w:cs="Times New Roman"/>
          <w:sz w:val="26"/>
          <w:szCs w:val="26"/>
          <w:lang w:eastAsia="hu-HU"/>
        </w:rPr>
      </w:pPr>
      <w:r w:rsidRPr="4600C643">
        <w:rPr>
          <w:rFonts w:ascii="Times New Roman" w:eastAsia="Times New Roman" w:hAnsi="Times New Roman" w:cs="Times New Roman"/>
          <w:sz w:val="26"/>
          <w:szCs w:val="26"/>
          <w:lang w:eastAsia="hu-HU"/>
        </w:rPr>
        <w:lastRenderedPageBreak/>
        <w:t xml:space="preserve">Az előzetes adatok szerint 2026. </w:t>
      </w:r>
      <w:r w:rsidR="002756E3">
        <w:rPr>
          <w:rFonts w:ascii="Times New Roman" w:eastAsia="Times New Roman" w:hAnsi="Times New Roman" w:cs="Times New Roman"/>
          <w:sz w:val="26"/>
          <w:szCs w:val="26"/>
          <w:lang w:eastAsia="hu-HU"/>
        </w:rPr>
        <w:t>február</w:t>
      </w:r>
      <w:r w:rsidRPr="4600C643">
        <w:rPr>
          <w:rFonts w:ascii="Times New Roman" w:eastAsia="Times New Roman" w:hAnsi="Times New Roman" w:cs="Times New Roman"/>
          <w:sz w:val="26"/>
          <w:szCs w:val="26"/>
          <w:lang w:eastAsia="hu-HU"/>
        </w:rPr>
        <w:t xml:space="preserve"> végén a </w:t>
      </w:r>
      <w:r w:rsidRPr="4600C643">
        <w:rPr>
          <w:rFonts w:ascii="Times New Roman" w:eastAsia="Times New Roman" w:hAnsi="Times New Roman" w:cs="Times New Roman"/>
          <w:b/>
          <w:bCs/>
          <w:sz w:val="26"/>
          <w:szCs w:val="26"/>
          <w:lang w:eastAsia="hu-HU"/>
        </w:rPr>
        <w:t xml:space="preserve">központi költségvetés forint- és devizaadóssága </w:t>
      </w:r>
      <w:r w:rsidRPr="4600C643">
        <w:rPr>
          <w:rFonts w:ascii="Times New Roman" w:eastAsia="Times New Roman" w:hAnsi="Times New Roman" w:cs="Times New Roman"/>
          <w:sz w:val="26"/>
          <w:szCs w:val="26"/>
          <w:lang w:eastAsia="hu-HU"/>
        </w:rPr>
        <w:t>az alábbiak szerint alakult:</w:t>
      </w:r>
    </w:p>
    <w:p w14:paraId="7B768C5D" w14:textId="228E6358" w:rsidR="00B155FE" w:rsidRDefault="4600C643" w:rsidP="4600C643">
      <w:pPr>
        <w:overflowPunct w:val="0"/>
        <w:autoSpaceDE w:val="0"/>
        <w:autoSpaceDN w:val="0"/>
        <w:adjustRightInd w:val="0"/>
        <w:spacing w:after="120" w:line="240" w:lineRule="auto"/>
        <w:ind w:right="23"/>
        <w:jc w:val="center"/>
        <w:textAlignment w:val="baseline"/>
        <w:rPr>
          <w:rFonts w:ascii="Times New Roman" w:eastAsia="Times New Roman" w:hAnsi="Times New Roman" w:cs="Times New Roman"/>
          <w:sz w:val="26"/>
          <w:szCs w:val="26"/>
          <w:lang w:eastAsia="hu-HU"/>
        </w:rPr>
      </w:pPr>
      <w:r w:rsidRPr="4600C643">
        <w:rPr>
          <w:rFonts w:ascii="Times New Roman" w:eastAsia="Times New Roman" w:hAnsi="Times New Roman" w:cs="Times New Roman"/>
          <w:sz w:val="26"/>
          <w:szCs w:val="26"/>
          <w:lang w:eastAsia="hu-HU"/>
        </w:rPr>
        <w:t>A központi költségvetés adósságának alakulása 2026-ban,</w:t>
      </w:r>
      <w:r w:rsidR="002756E3">
        <w:rPr>
          <w:rFonts w:ascii="Times New Roman" w:eastAsia="Times New Roman" w:hAnsi="Times New Roman" w:cs="Times New Roman"/>
          <w:sz w:val="26"/>
          <w:szCs w:val="26"/>
          <w:lang w:eastAsia="hu-HU"/>
        </w:rPr>
        <w:t> milliárd</w:t>
      </w:r>
      <w:r w:rsidRPr="4600C643">
        <w:rPr>
          <w:rFonts w:ascii="Times New Roman" w:eastAsia="Times New Roman" w:hAnsi="Times New Roman" w:cs="Times New Roman"/>
          <w:sz w:val="26"/>
          <w:szCs w:val="26"/>
          <w:lang w:eastAsia="hu-HU"/>
        </w:rPr>
        <w:t xml:space="preserve"> forint</w:t>
      </w:r>
    </w:p>
    <w:p w14:paraId="31C86ED1" w14:textId="52A0596D" w:rsidR="007B0B76" w:rsidRDefault="002756E3" w:rsidP="13E847AC">
      <w:pPr>
        <w:overflowPunct w:val="0"/>
        <w:autoSpaceDE w:val="0"/>
        <w:autoSpaceDN w:val="0"/>
        <w:adjustRightInd w:val="0"/>
        <w:spacing w:after="120" w:line="240" w:lineRule="auto"/>
        <w:ind w:right="23"/>
        <w:jc w:val="center"/>
        <w:textAlignment w:val="baseline"/>
        <w:rPr>
          <w:rFonts w:ascii="Times New Roman" w:eastAsia="Times New Roman" w:hAnsi="Times New Roman" w:cs="Times New Roman"/>
          <w:sz w:val="26"/>
          <w:szCs w:val="26"/>
          <w:lang w:eastAsia="hu-HU"/>
        </w:rPr>
      </w:pPr>
      <w:r w:rsidRPr="002756E3">
        <w:rPr>
          <w:noProof/>
        </w:rPr>
        <w:drawing>
          <wp:inline distT="0" distB="0" distL="0" distR="0" wp14:anchorId="3F289B28" wp14:editId="61D20F43">
            <wp:extent cx="8936990" cy="4230370"/>
            <wp:effectExtent l="0" t="0" r="0" b="0"/>
            <wp:docPr id="996080891"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936990" cy="4230370"/>
                    </a:xfrm>
                    <a:prstGeom prst="rect">
                      <a:avLst/>
                    </a:prstGeom>
                    <a:noFill/>
                    <a:ln>
                      <a:noFill/>
                    </a:ln>
                  </pic:spPr>
                </pic:pic>
              </a:graphicData>
            </a:graphic>
          </wp:inline>
        </w:drawing>
      </w:r>
    </w:p>
    <w:p w14:paraId="7B768C5F" w14:textId="77777777" w:rsidR="00B155FE" w:rsidRPr="00377D59" w:rsidRDefault="4600C643" w:rsidP="4600C643">
      <w:pPr>
        <w:spacing w:after="120" w:line="240" w:lineRule="auto"/>
        <w:jc w:val="both"/>
        <w:rPr>
          <w:rFonts w:ascii="Times New Roman" w:eastAsia="Times New Roman" w:hAnsi="Times New Roman" w:cs="Times New Roman"/>
          <w:sz w:val="24"/>
          <w:szCs w:val="24"/>
          <w:lang w:eastAsia="hu-HU"/>
        </w:rPr>
      </w:pPr>
      <w:r w:rsidRPr="4600C643">
        <w:rPr>
          <w:rFonts w:ascii="Times New Roman" w:eastAsia="Times New Roman" w:hAnsi="Times New Roman" w:cs="Times New Roman"/>
          <w:i/>
          <w:iCs/>
          <w:sz w:val="24"/>
          <w:szCs w:val="24"/>
          <w:lang w:eastAsia="hu-HU"/>
        </w:rPr>
        <w:t>Megjegyzés: a táblában szereplő tizedes eltérések kerekítésből adódnak.</w:t>
      </w:r>
    </w:p>
    <w:p w14:paraId="612D5E01" w14:textId="247C2A7A" w:rsidR="00617877" w:rsidRPr="00377D59" w:rsidRDefault="00617877" w:rsidP="00617877">
      <w:pPr>
        <w:rPr>
          <w:rFonts w:ascii="Times New Roman" w:eastAsia="Times New Roman" w:hAnsi="Times New Roman" w:cs="Times New Roman"/>
          <w:sz w:val="26"/>
          <w:szCs w:val="26"/>
          <w:lang w:eastAsia="hu-HU"/>
        </w:rPr>
      </w:pPr>
    </w:p>
    <w:p w14:paraId="10C52F47" w14:textId="77777777" w:rsidR="00EA1F58" w:rsidRDefault="00EA1F58" w:rsidP="008D26E2">
      <w:pPr>
        <w:jc w:val="center"/>
        <w:rPr>
          <w:rFonts w:ascii="Times New Roman" w:eastAsia="Times New Roman" w:hAnsi="Times New Roman" w:cs="Times New Roman"/>
          <w:sz w:val="26"/>
          <w:szCs w:val="26"/>
          <w:lang w:eastAsia="hu-HU"/>
        </w:rPr>
      </w:pPr>
    </w:p>
    <w:p w14:paraId="3C11BC0D" w14:textId="77777777" w:rsidR="008D26E2" w:rsidRDefault="008D26E2" w:rsidP="008D26E2">
      <w:pPr>
        <w:rPr>
          <w:rFonts w:ascii="Times New Roman" w:eastAsia="Times New Roman" w:hAnsi="Times New Roman" w:cs="Times New Roman"/>
          <w:sz w:val="26"/>
          <w:szCs w:val="26"/>
          <w:lang w:eastAsia="hu-HU"/>
        </w:rPr>
      </w:pPr>
    </w:p>
    <w:p w14:paraId="4A764331" w14:textId="77777777" w:rsidR="008D26E2" w:rsidRPr="008D26E2" w:rsidRDefault="008D26E2" w:rsidP="008D26E2">
      <w:pPr>
        <w:rPr>
          <w:rFonts w:ascii="Times New Roman" w:eastAsia="Times New Roman" w:hAnsi="Times New Roman" w:cs="Times New Roman"/>
          <w:sz w:val="26"/>
          <w:szCs w:val="26"/>
          <w:lang w:eastAsia="hu-HU"/>
        </w:rPr>
        <w:sectPr w:rsidR="008D26E2" w:rsidRPr="008D26E2" w:rsidSect="007449BF">
          <w:headerReference w:type="default" r:id="rId29"/>
          <w:headerReference w:type="first" r:id="rId30"/>
          <w:footnotePr>
            <w:numRestart w:val="eachPage"/>
          </w:footnotePr>
          <w:pgSz w:w="16840" w:h="11907" w:orient="landscape" w:code="9"/>
          <w:pgMar w:top="993" w:right="1134" w:bottom="1134" w:left="1418" w:header="709" w:footer="709" w:gutter="0"/>
          <w:pgNumType w:start="19"/>
          <w:cols w:space="708"/>
          <w:titlePg/>
          <w:docGrid w:linePitch="299"/>
        </w:sectPr>
      </w:pPr>
    </w:p>
    <w:p w14:paraId="573F6E8B" w14:textId="740B0F47" w:rsidR="002756E3" w:rsidRPr="002756E3" w:rsidRDefault="002756E3" w:rsidP="002756E3">
      <w:pPr>
        <w:jc w:val="both"/>
        <w:rPr>
          <w:rFonts w:ascii="Times New Roman" w:eastAsia="Times New Roman" w:hAnsi="Times New Roman" w:cs="Times New Roman"/>
          <w:sz w:val="26"/>
          <w:szCs w:val="26"/>
          <w:lang w:eastAsia="hu-HU"/>
        </w:rPr>
      </w:pPr>
      <w:r w:rsidRPr="002756E3">
        <w:rPr>
          <w:rFonts w:ascii="Times New Roman" w:eastAsia="Times New Roman" w:hAnsi="Times New Roman" w:cs="Times New Roman"/>
          <w:b/>
          <w:bCs/>
          <w:sz w:val="26"/>
          <w:szCs w:val="26"/>
          <w:lang w:eastAsia="hu-HU"/>
        </w:rPr>
        <w:lastRenderedPageBreak/>
        <w:t>A központi költségvetés devizaadóssága</w:t>
      </w:r>
      <w:r w:rsidRPr="002756E3">
        <w:rPr>
          <w:rFonts w:ascii="Times New Roman" w:eastAsia="Times New Roman" w:hAnsi="Times New Roman" w:cs="Times New Roman"/>
          <w:sz w:val="26"/>
          <w:szCs w:val="26"/>
          <w:lang w:eastAsia="hu-HU"/>
        </w:rPr>
        <w:t xml:space="preserve"> 2026-ban 705,8</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forinttal 18</w:t>
      </w:r>
      <w:r>
        <w:rPr>
          <w:rFonts w:ascii="Times New Roman" w:eastAsia="Times New Roman" w:hAnsi="Times New Roman" w:cs="Times New Roman"/>
          <w:sz w:val="26"/>
          <w:szCs w:val="26"/>
          <w:lang w:eastAsia="hu-HU"/>
        </w:rPr>
        <w:t> </w:t>
      </w:r>
      <w:r w:rsidRPr="002756E3">
        <w:rPr>
          <w:rFonts w:ascii="Times New Roman" w:eastAsia="Times New Roman" w:hAnsi="Times New Roman" w:cs="Times New Roman"/>
          <w:sz w:val="26"/>
          <w:szCs w:val="26"/>
          <w:lang w:eastAsia="hu-HU"/>
        </w:rPr>
        <w:t>515,5</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forintra növekedett az elmúlt év végéhez képest. A devizaadósság részaránya a teljes adósságon belül 29,4%-os szinten volt februárban, a 2025. év végi szinthez képest nem változott</w:t>
      </w:r>
      <w:r w:rsidR="005D6FA1">
        <w:rPr>
          <w:rFonts w:ascii="Times New Roman" w:eastAsia="Times New Roman" w:hAnsi="Times New Roman" w:cs="Times New Roman"/>
          <w:sz w:val="26"/>
          <w:szCs w:val="26"/>
          <w:lang w:eastAsia="hu-HU"/>
        </w:rPr>
        <w:t xml:space="preserve">. </w:t>
      </w:r>
      <w:r w:rsidRPr="002756E3">
        <w:rPr>
          <w:rFonts w:ascii="Times New Roman" w:eastAsia="Times New Roman" w:hAnsi="Times New Roman" w:cs="Times New Roman"/>
          <w:sz w:val="26"/>
          <w:szCs w:val="26"/>
          <w:lang w:eastAsia="hu-HU"/>
        </w:rPr>
        <w:t>A növekedés hátterében döntően a január elején végrehajtott devizakötvény-kibocsátások állnak. 2026</w:t>
      </w:r>
      <w:r w:rsidR="005D6FA1">
        <w:rPr>
          <w:rFonts w:ascii="Times New Roman" w:eastAsia="Times New Roman" w:hAnsi="Times New Roman" w:cs="Times New Roman"/>
          <w:sz w:val="26"/>
          <w:szCs w:val="26"/>
          <w:lang w:eastAsia="hu-HU"/>
        </w:rPr>
        <w:t>.</w:t>
      </w:r>
      <w:r w:rsidRPr="002756E3">
        <w:rPr>
          <w:rFonts w:ascii="Times New Roman" w:eastAsia="Times New Roman" w:hAnsi="Times New Roman" w:cs="Times New Roman"/>
          <w:sz w:val="26"/>
          <w:szCs w:val="26"/>
          <w:lang w:eastAsia="hu-HU"/>
        </w:rPr>
        <w:t xml:space="preserve"> január 7-én került sor az idei év első nemzetközi eurókötvény-kibocsátására összesen 1157,9</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 (3,0</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euró) összegben. Két sorozat piacra vitele történt meg, egy 7 éves futamidejű hagyományos sorozat 771,9</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 (2,0</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EUR) összegben és egy 12 éves futamidejű zöld sorozat 386,0</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 (1,0</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EUR) összegben.</w:t>
      </w:r>
      <w:r w:rsidR="005D6FA1">
        <w:rPr>
          <w:rFonts w:ascii="Times New Roman" w:eastAsia="Times New Roman" w:hAnsi="Times New Roman" w:cs="Times New Roman"/>
          <w:sz w:val="26"/>
          <w:szCs w:val="26"/>
          <w:lang w:eastAsia="hu-HU"/>
        </w:rPr>
        <w:t xml:space="preserve"> </w:t>
      </w:r>
      <w:r w:rsidRPr="002756E3">
        <w:rPr>
          <w:rFonts w:ascii="Times New Roman" w:eastAsia="Times New Roman" w:hAnsi="Times New Roman" w:cs="Times New Roman"/>
          <w:sz w:val="26"/>
          <w:szCs w:val="26"/>
          <w:lang w:eastAsia="hu-HU"/>
        </w:rPr>
        <w:t>A további devizahitel lehívások összege szintén emelte, míg az árfolyamerősödés ugyanakkor csökkentette a devizaadósság részarányát.</w:t>
      </w:r>
    </w:p>
    <w:p w14:paraId="60FBBD12" w14:textId="29043190" w:rsidR="002756E3" w:rsidRPr="002756E3" w:rsidRDefault="002756E3" w:rsidP="002756E3">
      <w:pPr>
        <w:jc w:val="both"/>
        <w:rPr>
          <w:rFonts w:ascii="Times New Roman" w:eastAsia="Times New Roman" w:hAnsi="Times New Roman" w:cs="Times New Roman"/>
          <w:sz w:val="26"/>
          <w:szCs w:val="26"/>
          <w:lang w:eastAsia="hu-HU"/>
        </w:rPr>
      </w:pPr>
      <w:r w:rsidRPr="002756E3">
        <w:rPr>
          <w:rFonts w:ascii="Times New Roman" w:eastAsia="Times New Roman" w:hAnsi="Times New Roman" w:cs="Times New Roman"/>
          <w:b/>
          <w:bCs/>
          <w:sz w:val="26"/>
          <w:szCs w:val="26"/>
          <w:lang w:eastAsia="hu-HU"/>
        </w:rPr>
        <w:t>A költségvetés forintadóssága</w:t>
      </w:r>
      <w:r w:rsidRPr="002756E3">
        <w:rPr>
          <w:rFonts w:ascii="Times New Roman" w:eastAsia="Times New Roman" w:hAnsi="Times New Roman" w:cs="Times New Roman"/>
          <w:sz w:val="26"/>
          <w:szCs w:val="26"/>
          <w:lang w:eastAsia="hu-HU"/>
        </w:rPr>
        <w:t xml:space="preserve"> február végéig 1672,7</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forinttal növekedett</w:t>
      </w:r>
      <w:r w:rsidR="005D6FA1">
        <w:rPr>
          <w:rFonts w:ascii="Times New Roman" w:eastAsia="Times New Roman" w:hAnsi="Times New Roman" w:cs="Times New Roman"/>
          <w:sz w:val="26"/>
          <w:szCs w:val="26"/>
          <w:lang w:eastAsia="hu-HU"/>
        </w:rPr>
        <w:t>,</w:t>
      </w:r>
      <w:r w:rsidRPr="002756E3">
        <w:rPr>
          <w:rFonts w:ascii="Times New Roman" w:eastAsia="Times New Roman" w:hAnsi="Times New Roman" w:cs="Times New Roman"/>
          <w:sz w:val="26"/>
          <w:szCs w:val="26"/>
          <w:lang w:eastAsia="hu-HU"/>
        </w:rPr>
        <w:t xml:space="preserve"> és 44</w:t>
      </w:r>
      <w:r>
        <w:rPr>
          <w:rFonts w:ascii="Times New Roman" w:eastAsia="Times New Roman" w:hAnsi="Times New Roman" w:cs="Times New Roman"/>
          <w:sz w:val="26"/>
          <w:szCs w:val="26"/>
          <w:lang w:eastAsia="hu-HU"/>
        </w:rPr>
        <w:t> </w:t>
      </w:r>
      <w:r w:rsidRPr="002756E3">
        <w:rPr>
          <w:rFonts w:ascii="Times New Roman" w:eastAsia="Times New Roman" w:hAnsi="Times New Roman" w:cs="Times New Roman"/>
          <w:sz w:val="26"/>
          <w:szCs w:val="26"/>
          <w:lang w:eastAsia="hu-HU"/>
        </w:rPr>
        <w:t>248,6</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forintot ért el. A forint adósság a teljes államadósság 70,3%-át teszi ki, ami szintén nem változott 2025 december végi szinthez képest.</w:t>
      </w:r>
    </w:p>
    <w:p w14:paraId="34914B55" w14:textId="29621B05" w:rsidR="002756E3" w:rsidRPr="002756E3" w:rsidRDefault="002756E3" w:rsidP="002756E3">
      <w:pPr>
        <w:jc w:val="both"/>
        <w:rPr>
          <w:rFonts w:ascii="Times New Roman" w:eastAsia="Times New Roman" w:hAnsi="Times New Roman" w:cs="Times New Roman"/>
          <w:sz w:val="26"/>
          <w:szCs w:val="26"/>
          <w:lang w:eastAsia="hu-HU"/>
        </w:rPr>
      </w:pPr>
      <w:r w:rsidRPr="002756E3">
        <w:rPr>
          <w:rFonts w:ascii="Times New Roman" w:eastAsia="Times New Roman" w:hAnsi="Times New Roman" w:cs="Times New Roman"/>
          <w:sz w:val="26"/>
          <w:szCs w:val="26"/>
          <w:lang w:eastAsia="hu-HU"/>
        </w:rPr>
        <w:t>2026. február végén a forint lakossági állampapírok állománya 11</w:t>
      </w:r>
      <w:r w:rsidR="007A5167">
        <w:rPr>
          <w:rFonts w:ascii="Times New Roman" w:eastAsia="Times New Roman" w:hAnsi="Times New Roman" w:cs="Times New Roman"/>
          <w:sz w:val="26"/>
          <w:szCs w:val="26"/>
          <w:lang w:eastAsia="hu-HU"/>
        </w:rPr>
        <w:t> </w:t>
      </w:r>
      <w:r w:rsidRPr="002756E3">
        <w:rPr>
          <w:rFonts w:ascii="Times New Roman" w:eastAsia="Times New Roman" w:hAnsi="Times New Roman" w:cs="Times New Roman"/>
          <w:sz w:val="26"/>
          <w:szCs w:val="26"/>
          <w:lang w:eastAsia="hu-HU"/>
        </w:rPr>
        <w:t>990,4</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forintot tett ki, ami 264,4</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 növekedést jelent 2025. december vége óta. A Fix Magyar Állampapír állománya 471,7</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forinttal növekedett és elérte a 4123,6</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forintot hó végén. A Magyar Állampapír Plusz állománya, a nyomdai kibocsátású és a korábban értékesített papírokkal együtt, 165,0</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forinttal emelkedett, így hó végén 1313,2</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 volt. A Prémium Magyar Állampapír állománya 2026. február végére 410,3</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forinttal csökkent, amelynek következtében 3299,4</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forintot tett ki. A</w:t>
      </w:r>
      <w:r w:rsidR="005D6FA1">
        <w:rPr>
          <w:rFonts w:ascii="Times New Roman" w:eastAsia="Times New Roman" w:hAnsi="Times New Roman" w:cs="Times New Roman"/>
          <w:sz w:val="26"/>
          <w:szCs w:val="26"/>
          <w:lang w:eastAsia="hu-HU"/>
        </w:rPr>
        <w:t> </w:t>
      </w:r>
      <w:r w:rsidRPr="002756E3">
        <w:rPr>
          <w:rFonts w:ascii="Times New Roman" w:eastAsia="Times New Roman" w:hAnsi="Times New Roman" w:cs="Times New Roman"/>
          <w:sz w:val="26"/>
          <w:szCs w:val="26"/>
          <w:lang w:eastAsia="hu-HU"/>
        </w:rPr>
        <w:t>Bónusz Magyar Állampapír állománya is mérséklődött 1,1</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forinttal, ezért hó végén 2069,4</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forintot tett ki. A lakossági állampapírok közül a Fix Magyar Állampapír értékesítése volt a legmagasabb februárban.</w:t>
      </w:r>
    </w:p>
    <w:p w14:paraId="4503D605" w14:textId="3D6A14F5" w:rsidR="002756E3" w:rsidRPr="002756E3" w:rsidRDefault="002756E3" w:rsidP="002756E3">
      <w:pPr>
        <w:jc w:val="both"/>
        <w:rPr>
          <w:rFonts w:ascii="Times New Roman" w:eastAsia="Times New Roman" w:hAnsi="Times New Roman" w:cs="Times New Roman"/>
          <w:sz w:val="26"/>
          <w:szCs w:val="26"/>
          <w:lang w:eastAsia="hu-HU"/>
        </w:rPr>
      </w:pPr>
      <w:r w:rsidRPr="002756E3">
        <w:rPr>
          <w:rFonts w:ascii="Times New Roman" w:eastAsia="Times New Roman" w:hAnsi="Times New Roman" w:cs="Times New Roman"/>
          <w:sz w:val="26"/>
          <w:szCs w:val="26"/>
          <w:lang w:eastAsia="hu-HU"/>
        </w:rPr>
        <w:t>Az ÁKK Zrt. február hó folyamán összesen 12,3</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 összegben vásárolt vissza lakossági állampapírokat a forgalmazó bankoktól. A forgalmazóknak lehetősége van saját számlájukra került lakossági állampapírok cseréjére, amelynek keretében a lakossági állampapírokat az épp értékesítés alatt álló sorozatokra válthatják be, majd a másodpiacon tovább értékesíthetik a lakosság számára. Ennek keretében februárban 24,4</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 összegben váltották be a saját számlájukra került lakossági állampapírokat az épp értékesítés alatt álló sorozatokra, amit a másodpiacon tovább értékesíthetnek a lakosság számára.</w:t>
      </w:r>
    </w:p>
    <w:p w14:paraId="2001D9E8" w14:textId="7F5F04C7" w:rsidR="002756E3" w:rsidRPr="002756E3" w:rsidRDefault="002756E3" w:rsidP="002756E3">
      <w:pPr>
        <w:jc w:val="both"/>
        <w:rPr>
          <w:rFonts w:ascii="Times New Roman" w:eastAsia="Times New Roman" w:hAnsi="Times New Roman" w:cs="Times New Roman"/>
          <w:sz w:val="26"/>
          <w:szCs w:val="26"/>
          <w:lang w:eastAsia="hu-HU"/>
        </w:rPr>
      </w:pPr>
      <w:r w:rsidRPr="002756E3">
        <w:rPr>
          <w:rFonts w:ascii="Times New Roman" w:eastAsia="Times New Roman" w:hAnsi="Times New Roman" w:cs="Times New Roman"/>
          <w:b/>
          <w:bCs/>
          <w:sz w:val="26"/>
          <w:szCs w:val="26"/>
          <w:lang w:eastAsia="hu-HU"/>
        </w:rPr>
        <w:t>A külföldi befektetők állampapír állománya</w:t>
      </w:r>
      <w:r w:rsidRPr="002756E3">
        <w:rPr>
          <w:rFonts w:ascii="Times New Roman" w:eastAsia="Times New Roman" w:hAnsi="Times New Roman" w:cs="Times New Roman"/>
          <w:sz w:val="26"/>
          <w:szCs w:val="26"/>
          <w:lang w:eastAsia="hu-HU"/>
        </w:rPr>
        <w:t xml:space="preserve"> februárban 238,7</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forinttal 8320,7</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forintra növekedett az előző hónaphoz képest. A külföldi állomány 99,5%-a, 8278,1</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 államkötvény, 0,5%-a, 42,6</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 diszkontkincstárjegy. A</w:t>
      </w:r>
      <w:r w:rsidR="005D6FA1">
        <w:rPr>
          <w:rFonts w:ascii="Times New Roman" w:eastAsia="Times New Roman" w:hAnsi="Times New Roman" w:cs="Times New Roman"/>
          <w:sz w:val="26"/>
          <w:szCs w:val="26"/>
          <w:lang w:eastAsia="hu-HU"/>
        </w:rPr>
        <w:t> </w:t>
      </w:r>
      <w:r w:rsidRPr="002756E3">
        <w:rPr>
          <w:rFonts w:ascii="Times New Roman" w:eastAsia="Times New Roman" w:hAnsi="Times New Roman" w:cs="Times New Roman"/>
          <w:sz w:val="26"/>
          <w:szCs w:val="26"/>
          <w:lang w:eastAsia="hu-HU"/>
        </w:rPr>
        <w:t>külföldi állomány átlagos hátralévő futamideje február végén 5,9 év volt.</w:t>
      </w:r>
    </w:p>
    <w:p w14:paraId="2F84FBFA" w14:textId="22F3255A" w:rsidR="002756E3" w:rsidRPr="002756E3" w:rsidRDefault="002756E3" w:rsidP="002756E3">
      <w:pPr>
        <w:jc w:val="both"/>
        <w:rPr>
          <w:rFonts w:ascii="Times New Roman" w:eastAsia="Times New Roman" w:hAnsi="Times New Roman" w:cs="Times New Roman"/>
          <w:sz w:val="26"/>
          <w:szCs w:val="26"/>
          <w:lang w:eastAsia="hu-HU"/>
        </w:rPr>
      </w:pPr>
      <w:r w:rsidRPr="002756E3">
        <w:rPr>
          <w:rFonts w:ascii="Times New Roman" w:eastAsia="Times New Roman" w:hAnsi="Times New Roman" w:cs="Times New Roman"/>
          <w:sz w:val="26"/>
          <w:szCs w:val="26"/>
          <w:lang w:eastAsia="hu-HU"/>
        </w:rPr>
        <w:t xml:space="preserve">A devizaállamadósság kockázatainak mérséklése érdekében az ÁKK Zrt. </w:t>
      </w:r>
      <w:proofErr w:type="spellStart"/>
      <w:r w:rsidRPr="002756E3">
        <w:rPr>
          <w:rFonts w:ascii="Times New Roman" w:eastAsia="Times New Roman" w:hAnsi="Times New Roman" w:cs="Times New Roman"/>
          <w:sz w:val="26"/>
          <w:szCs w:val="26"/>
          <w:lang w:eastAsia="hu-HU"/>
        </w:rPr>
        <w:t>swapügyleteket</w:t>
      </w:r>
      <w:proofErr w:type="spellEnd"/>
      <w:r w:rsidRPr="002756E3">
        <w:rPr>
          <w:rFonts w:ascii="Times New Roman" w:eastAsia="Times New Roman" w:hAnsi="Times New Roman" w:cs="Times New Roman"/>
          <w:sz w:val="26"/>
          <w:szCs w:val="26"/>
          <w:lang w:eastAsia="hu-HU"/>
        </w:rPr>
        <w:t xml:space="preserve"> köt. Ezen ügyletekhez kapcsolódóan az ÁKK Zrt.-nél elhelyezett fedezeti összegek (ún. mark-</w:t>
      </w:r>
      <w:proofErr w:type="spellStart"/>
      <w:r w:rsidRPr="002756E3">
        <w:rPr>
          <w:rFonts w:ascii="Times New Roman" w:eastAsia="Times New Roman" w:hAnsi="Times New Roman" w:cs="Times New Roman"/>
          <w:sz w:val="26"/>
          <w:szCs w:val="26"/>
          <w:lang w:eastAsia="hu-HU"/>
        </w:rPr>
        <w:t>to</w:t>
      </w:r>
      <w:proofErr w:type="spellEnd"/>
      <w:r w:rsidRPr="002756E3">
        <w:rPr>
          <w:rFonts w:ascii="Times New Roman" w:eastAsia="Times New Roman" w:hAnsi="Times New Roman" w:cs="Times New Roman"/>
          <w:sz w:val="26"/>
          <w:szCs w:val="26"/>
          <w:lang w:eastAsia="hu-HU"/>
        </w:rPr>
        <w:t>-market betétek) az adósságállomány részét képezik, és az „egyéb kötelezettségek” soron kerülnek kimutatásra. A vizsgált időszakban az egyéb kötelezettségek állománya 1,1</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forinttal emelkedett. Február végén az állomány 155,1</w:t>
      </w:r>
      <w:r>
        <w:rPr>
          <w:rFonts w:ascii="Times New Roman" w:eastAsia="Times New Roman" w:hAnsi="Times New Roman" w:cs="Times New Roman"/>
          <w:sz w:val="26"/>
          <w:szCs w:val="26"/>
          <w:lang w:eastAsia="hu-HU"/>
        </w:rPr>
        <w:t> milliárd</w:t>
      </w:r>
      <w:r w:rsidRPr="002756E3">
        <w:rPr>
          <w:rFonts w:ascii="Times New Roman" w:eastAsia="Times New Roman" w:hAnsi="Times New Roman" w:cs="Times New Roman"/>
          <w:sz w:val="26"/>
          <w:szCs w:val="26"/>
          <w:lang w:eastAsia="hu-HU"/>
        </w:rPr>
        <w:t xml:space="preserve"> forintot tett ki, ami a teljes államadósság 0,2%-át jelenti.</w:t>
      </w:r>
    </w:p>
    <w:sectPr w:rsidR="002756E3" w:rsidRPr="002756E3" w:rsidSect="007449BF">
      <w:headerReference w:type="even" r:id="rId31"/>
      <w:footerReference w:type="default" r:id="rId32"/>
      <w:footerReference w:type="first" r:id="rId33"/>
      <w:pgSz w:w="11906" w:h="16838"/>
      <w:pgMar w:top="1418" w:right="1134" w:bottom="1418" w:left="1134" w:header="708" w:footer="6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E043E" w14:textId="77777777" w:rsidR="00482CC1" w:rsidRDefault="00482CC1" w:rsidP="00B155FE">
      <w:pPr>
        <w:spacing w:after="0" w:line="240" w:lineRule="auto"/>
      </w:pPr>
      <w:r>
        <w:separator/>
      </w:r>
    </w:p>
  </w:endnote>
  <w:endnote w:type="continuationSeparator" w:id="0">
    <w:p w14:paraId="320DAFF2" w14:textId="77777777" w:rsidR="00482CC1" w:rsidRDefault="00482CC1" w:rsidP="00B155FE">
      <w:pPr>
        <w:spacing w:after="0" w:line="240" w:lineRule="auto"/>
      </w:pPr>
      <w:r>
        <w:continuationSeparator/>
      </w:r>
    </w:p>
  </w:endnote>
  <w:endnote w:type="continuationNotice" w:id="1">
    <w:p w14:paraId="3B696E81" w14:textId="77777777" w:rsidR="00482CC1" w:rsidRDefault="00482C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2D1F" w14:textId="4DE2DC1D" w:rsidR="00473AC1" w:rsidRDefault="00473AC1">
    <w:pPr>
      <w:pStyle w:val="llb"/>
      <w:jc w:val="center"/>
    </w:pPr>
  </w:p>
  <w:p w14:paraId="41773F2F" w14:textId="77777777" w:rsidR="00473AC1" w:rsidRDefault="00473AC1">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154505"/>
      <w:docPartObj>
        <w:docPartGallery w:val="Page Numbers (Bottom of Page)"/>
        <w:docPartUnique/>
      </w:docPartObj>
    </w:sdtPr>
    <w:sdtEndPr>
      <w:rPr>
        <w:rFonts w:ascii="Times New Roman" w:hAnsi="Times New Roman" w:cs="Times New Roman"/>
        <w:sz w:val="24"/>
        <w:szCs w:val="24"/>
      </w:rPr>
    </w:sdtEndPr>
    <w:sdtContent>
      <w:p w14:paraId="52C756D2" w14:textId="68D36A58" w:rsidR="00473AC1" w:rsidRPr="00592E0B" w:rsidRDefault="008D26E2">
        <w:pPr>
          <w:pStyle w:val="llb"/>
          <w:jc w:val="center"/>
          <w:rPr>
            <w:rFonts w:ascii="Times New Roman" w:hAnsi="Times New Roman" w:cs="Times New Roman"/>
            <w:sz w:val="24"/>
            <w:szCs w:val="24"/>
          </w:rPr>
        </w:pPr>
        <w:r w:rsidRPr="00592E0B">
          <w:rPr>
            <w:rFonts w:ascii="Times New Roman" w:hAnsi="Times New Roman" w:cs="Times New Roman"/>
            <w:sz w:val="24"/>
            <w:szCs w:val="24"/>
          </w:rPr>
          <w:t>20</w:t>
        </w:r>
      </w:p>
    </w:sdtContent>
  </w:sdt>
  <w:p w14:paraId="64304736" w14:textId="77777777" w:rsidR="00473AC1" w:rsidRDefault="00473AC1">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558895"/>
      <w:docPartObj>
        <w:docPartGallery w:val="Page Numbers (Bottom of Page)"/>
        <w:docPartUnique/>
      </w:docPartObj>
    </w:sdtPr>
    <w:sdtEndPr>
      <w:rPr>
        <w:rFonts w:ascii="Times New Roman" w:hAnsi="Times New Roman" w:cs="Times New Roman"/>
        <w:sz w:val="24"/>
      </w:rPr>
    </w:sdtEndPr>
    <w:sdtContent>
      <w:p w14:paraId="10FD5F29" w14:textId="7D80A60B" w:rsidR="00473AC1" w:rsidRPr="00470868" w:rsidRDefault="00473AC1">
        <w:pPr>
          <w:pStyle w:val="llb"/>
          <w:jc w:val="center"/>
          <w:rPr>
            <w:rFonts w:ascii="Times New Roman" w:hAnsi="Times New Roman" w:cs="Times New Roman"/>
            <w:sz w:val="24"/>
          </w:rPr>
        </w:pPr>
        <w:r w:rsidRPr="00470868">
          <w:rPr>
            <w:rFonts w:ascii="Times New Roman" w:hAnsi="Times New Roman" w:cs="Times New Roman"/>
            <w:sz w:val="24"/>
          </w:rPr>
          <w:fldChar w:fldCharType="begin"/>
        </w:r>
        <w:r w:rsidRPr="00470868">
          <w:rPr>
            <w:rFonts w:ascii="Times New Roman" w:hAnsi="Times New Roman" w:cs="Times New Roman"/>
            <w:sz w:val="24"/>
          </w:rPr>
          <w:instrText>PAGE   \* MERGEFORMAT</w:instrText>
        </w:r>
        <w:r w:rsidRPr="00470868">
          <w:rPr>
            <w:rFonts w:ascii="Times New Roman" w:hAnsi="Times New Roman" w:cs="Times New Roman"/>
            <w:sz w:val="24"/>
          </w:rPr>
          <w:fldChar w:fldCharType="separate"/>
        </w:r>
        <w:r w:rsidR="007B6DF2">
          <w:rPr>
            <w:rFonts w:ascii="Times New Roman" w:hAnsi="Times New Roman" w:cs="Times New Roman"/>
            <w:noProof/>
            <w:sz w:val="24"/>
          </w:rPr>
          <w:t>19</w:t>
        </w:r>
        <w:r w:rsidRPr="00470868">
          <w:rPr>
            <w:rFonts w:ascii="Times New Roman" w:hAnsi="Times New Roman" w:cs="Times New Roman"/>
            <w:sz w:val="24"/>
          </w:rPr>
          <w:fldChar w:fldCharType="end"/>
        </w:r>
      </w:p>
    </w:sdtContent>
  </w:sdt>
  <w:p w14:paraId="17329691" w14:textId="773A5D5E" w:rsidR="00473AC1" w:rsidRPr="00556984" w:rsidRDefault="00473AC1" w:rsidP="00556984">
    <w:pPr>
      <w:pStyle w:val="ll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18299"/>
      <w:docPartObj>
        <w:docPartGallery w:val="Page Numbers (Bottom of Page)"/>
        <w:docPartUnique/>
      </w:docPartObj>
    </w:sdtPr>
    <w:sdtEndPr>
      <w:rPr>
        <w:rFonts w:ascii="Times New Roman" w:hAnsi="Times New Roman" w:cs="Times New Roman"/>
        <w:sz w:val="24"/>
      </w:rPr>
    </w:sdtEndPr>
    <w:sdtContent>
      <w:p w14:paraId="7ADCE6C8" w14:textId="6E8F8F40" w:rsidR="00473AC1" w:rsidRPr="00D4148C" w:rsidRDefault="00473AC1">
        <w:pPr>
          <w:pStyle w:val="llb"/>
          <w:jc w:val="center"/>
          <w:rPr>
            <w:rFonts w:ascii="Times New Roman" w:hAnsi="Times New Roman" w:cs="Times New Roman"/>
            <w:sz w:val="24"/>
          </w:rPr>
        </w:pPr>
        <w:r>
          <w:rPr>
            <w:rFonts w:ascii="Times New Roman" w:hAnsi="Times New Roman" w:cs="Times New Roman"/>
            <w:sz w:val="24"/>
          </w:rPr>
          <w:t>2</w:t>
        </w:r>
        <w:r w:rsidR="00D252B3">
          <w:rPr>
            <w:rFonts w:ascii="Times New Roman" w:hAnsi="Times New Roman" w:cs="Times New Roman"/>
            <w:sz w:val="24"/>
          </w:rPr>
          <w:t>1</w:t>
        </w:r>
      </w:p>
    </w:sdtContent>
  </w:sdt>
  <w:p w14:paraId="078E8FA1" w14:textId="77777777" w:rsidR="00473AC1" w:rsidRDefault="00473AC1" w:rsidP="00C74E0F">
    <w:pPr>
      <w:pStyle w:val="llb"/>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40D1" w14:textId="0F6B1C39" w:rsidR="00473AC1" w:rsidRDefault="4600C643" w:rsidP="004A3001">
    <w:pPr>
      <w:pStyle w:val="llb"/>
      <w:jc w:val="center"/>
    </w:pPr>
    <w:r w:rsidRPr="4600C643">
      <w:rPr>
        <w:rFonts w:ascii="Times New Roman" w:hAnsi="Times New Roman" w:cs="Times New Roman"/>
        <w:sz w:val="24"/>
        <w:szCs w:val="24"/>
      </w:rPr>
      <w:t>2</w:t>
    </w:r>
    <w:r w:rsidR="008D26E2">
      <w:rPr>
        <w:rFonts w:ascii="Times New Roman" w:hAnsi="Times New Roman" w:cs="Times New Roman"/>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7C081" w14:textId="77777777" w:rsidR="00482CC1" w:rsidRDefault="00482CC1" w:rsidP="00B155FE">
      <w:pPr>
        <w:spacing w:after="0" w:line="240" w:lineRule="auto"/>
      </w:pPr>
      <w:r>
        <w:separator/>
      </w:r>
    </w:p>
  </w:footnote>
  <w:footnote w:type="continuationSeparator" w:id="0">
    <w:p w14:paraId="023B5D0F" w14:textId="77777777" w:rsidR="00482CC1" w:rsidRDefault="00482CC1" w:rsidP="00B155FE">
      <w:pPr>
        <w:spacing w:after="0" w:line="240" w:lineRule="auto"/>
      </w:pPr>
      <w:r>
        <w:continuationSeparator/>
      </w:r>
    </w:p>
  </w:footnote>
  <w:footnote w:type="continuationNotice" w:id="1">
    <w:p w14:paraId="1CDB1B47" w14:textId="77777777" w:rsidR="00482CC1" w:rsidRDefault="00482C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18"/>
      <w:gridCol w:w="3118"/>
      <w:gridCol w:w="3118"/>
    </w:tblGrid>
    <w:tr w:rsidR="00473AC1" w14:paraId="1027336C" w14:textId="77777777" w:rsidTr="75E7E8C2">
      <w:tc>
        <w:tcPr>
          <w:tcW w:w="3118" w:type="dxa"/>
        </w:tcPr>
        <w:p w14:paraId="4C837DDD" w14:textId="79A8EEFC" w:rsidR="00473AC1" w:rsidRDefault="00473AC1" w:rsidP="75E7E8C2">
          <w:pPr>
            <w:pStyle w:val="lfej"/>
            <w:ind w:left="-115"/>
          </w:pPr>
        </w:p>
      </w:tc>
      <w:tc>
        <w:tcPr>
          <w:tcW w:w="3118" w:type="dxa"/>
        </w:tcPr>
        <w:p w14:paraId="215A5B55" w14:textId="4B5EFC16" w:rsidR="00473AC1" w:rsidRDefault="00473AC1" w:rsidP="75E7E8C2">
          <w:pPr>
            <w:pStyle w:val="lfej"/>
            <w:jc w:val="center"/>
          </w:pPr>
        </w:p>
      </w:tc>
      <w:tc>
        <w:tcPr>
          <w:tcW w:w="3118" w:type="dxa"/>
        </w:tcPr>
        <w:p w14:paraId="08CD3A76" w14:textId="283AC16D" w:rsidR="00473AC1" w:rsidRDefault="00473AC1" w:rsidP="75E7E8C2">
          <w:pPr>
            <w:pStyle w:val="lfej"/>
            <w:ind w:right="-115"/>
            <w:jc w:val="right"/>
          </w:pPr>
        </w:p>
      </w:tc>
    </w:tr>
  </w:tbl>
  <w:p w14:paraId="4176297E" w14:textId="7CD13837" w:rsidR="00473AC1" w:rsidRDefault="00473AC1" w:rsidP="75E7E8C2">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47D1" w14:textId="3D0DDD49" w:rsidR="00473AC1" w:rsidRDefault="00473AC1" w:rsidP="75E7E8C2">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8C96" w14:textId="77777777" w:rsidR="00473AC1" w:rsidRPr="00881044" w:rsidRDefault="00473AC1" w:rsidP="00C74E0F">
    <w:pPr>
      <w:pStyle w:val="lfej"/>
      <w:rPr>
        <w:rStyle w:val="Oldalszm"/>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8C97" w14:textId="77777777" w:rsidR="00473AC1" w:rsidRPr="00FE4DD1" w:rsidRDefault="00473AC1" w:rsidP="00C74E0F">
    <w:pPr>
      <w:pStyle w:val="lfej"/>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009518"/>
      <w:docPartObj>
        <w:docPartGallery w:val="Page Numbers (Top of Page)"/>
        <w:docPartUnique/>
      </w:docPartObj>
    </w:sdtPr>
    <w:sdtEndPr>
      <w:rPr>
        <w:noProof/>
      </w:rPr>
    </w:sdtEndPr>
    <w:sdtContent>
      <w:p w14:paraId="2CB15785" w14:textId="77777777" w:rsidR="00473AC1" w:rsidRDefault="00473AC1">
        <w:pPr>
          <w:pStyle w:val="lfej"/>
          <w:jc w:val="center"/>
        </w:pPr>
        <w:r>
          <w:fldChar w:fldCharType="begin"/>
        </w:r>
        <w:r>
          <w:instrText xml:space="preserve"> PAGE   \* MERGEFORMAT </w:instrText>
        </w:r>
        <w:r>
          <w:fldChar w:fldCharType="separate"/>
        </w:r>
        <w:r>
          <w:rPr>
            <w:noProof/>
          </w:rPr>
          <w:t>20</w:t>
        </w:r>
        <w:r>
          <w:rPr>
            <w:noProof/>
          </w:rPr>
          <w:fldChar w:fldCharType="end"/>
        </w:r>
      </w:p>
    </w:sdtContent>
  </w:sdt>
  <w:p w14:paraId="2A775F7D" w14:textId="77777777" w:rsidR="00473AC1" w:rsidRDefault="00473AC1">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298"/>
    <w:multiLevelType w:val="hybridMultilevel"/>
    <w:tmpl w:val="44CCC2AC"/>
    <w:lvl w:ilvl="0" w:tplc="08783BEC">
      <w:start w:val="1"/>
      <w:numFmt w:val="decimal"/>
      <w:lvlText w:val="%1."/>
      <w:lvlJc w:val="left"/>
      <w:pPr>
        <w:ind w:left="720" w:hanging="360"/>
      </w:pPr>
      <w:rPr>
        <w:rFonts w:hint="default"/>
        <w:u w:val="no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6602D43"/>
    <w:multiLevelType w:val="hybridMultilevel"/>
    <w:tmpl w:val="390E53F2"/>
    <w:lvl w:ilvl="0" w:tplc="F872D380">
      <w:start w:val="1"/>
      <w:numFmt w:val="bullet"/>
      <w:lvlText w:val=""/>
      <w:lvlJc w:val="left"/>
      <w:pPr>
        <w:ind w:left="720" w:hanging="360"/>
      </w:pPr>
      <w:rPr>
        <w:rFonts w:ascii="Symbol" w:hAnsi="Symbol" w:hint="default"/>
      </w:rPr>
    </w:lvl>
    <w:lvl w:ilvl="1" w:tplc="86BC4448">
      <w:start w:val="1"/>
      <w:numFmt w:val="bullet"/>
      <w:lvlText w:val="o"/>
      <w:lvlJc w:val="left"/>
      <w:pPr>
        <w:ind w:left="1440" w:hanging="360"/>
      </w:pPr>
      <w:rPr>
        <w:rFonts w:ascii="Courier New" w:hAnsi="Courier New" w:hint="default"/>
      </w:rPr>
    </w:lvl>
    <w:lvl w:ilvl="2" w:tplc="F05C9352">
      <w:start w:val="1"/>
      <w:numFmt w:val="bullet"/>
      <w:lvlText w:val=""/>
      <w:lvlJc w:val="left"/>
      <w:pPr>
        <w:ind w:left="2160" w:hanging="360"/>
      </w:pPr>
      <w:rPr>
        <w:rFonts w:ascii="Wingdings" w:hAnsi="Wingdings" w:hint="default"/>
      </w:rPr>
    </w:lvl>
    <w:lvl w:ilvl="3" w:tplc="232EF98C">
      <w:start w:val="1"/>
      <w:numFmt w:val="bullet"/>
      <w:lvlText w:val=""/>
      <w:lvlJc w:val="left"/>
      <w:pPr>
        <w:ind w:left="2880" w:hanging="360"/>
      </w:pPr>
      <w:rPr>
        <w:rFonts w:ascii="Symbol" w:hAnsi="Symbol" w:hint="default"/>
      </w:rPr>
    </w:lvl>
    <w:lvl w:ilvl="4" w:tplc="03066B72">
      <w:start w:val="1"/>
      <w:numFmt w:val="bullet"/>
      <w:lvlText w:val="o"/>
      <w:lvlJc w:val="left"/>
      <w:pPr>
        <w:ind w:left="3600" w:hanging="360"/>
      </w:pPr>
      <w:rPr>
        <w:rFonts w:ascii="Courier New" w:hAnsi="Courier New" w:hint="default"/>
      </w:rPr>
    </w:lvl>
    <w:lvl w:ilvl="5" w:tplc="7A906010">
      <w:start w:val="1"/>
      <w:numFmt w:val="bullet"/>
      <w:lvlText w:val=""/>
      <w:lvlJc w:val="left"/>
      <w:pPr>
        <w:ind w:left="4320" w:hanging="360"/>
      </w:pPr>
      <w:rPr>
        <w:rFonts w:ascii="Wingdings" w:hAnsi="Wingdings" w:hint="default"/>
      </w:rPr>
    </w:lvl>
    <w:lvl w:ilvl="6" w:tplc="9F6A3F04">
      <w:start w:val="1"/>
      <w:numFmt w:val="bullet"/>
      <w:lvlText w:val=""/>
      <w:lvlJc w:val="left"/>
      <w:pPr>
        <w:ind w:left="5040" w:hanging="360"/>
      </w:pPr>
      <w:rPr>
        <w:rFonts w:ascii="Symbol" w:hAnsi="Symbol" w:hint="default"/>
      </w:rPr>
    </w:lvl>
    <w:lvl w:ilvl="7" w:tplc="D5603E42">
      <w:start w:val="1"/>
      <w:numFmt w:val="bullet"/>
      <w:lvlText w:val="o"/>
      <w:lvlJc w:val="left"/>
      <w:pPr>
        <w:ind w:left="5760" w:hanging="360"/>
      </w:pPr>
      <w:rPr>
        <w:rFonts w:ascii="Courier New" w:hAnsi="Courier New" w:hint="default"/>
      </w:rPr>
    </w:lvl>
    <w:lvl w:ilvl="8" w:tplc="F1D4D0F8">
      <w:start w:val="1"/>
      <w:numFmt w:val="bullet"/>
      <w:lvlText w:val=""/>
      <w:lvlJc w:val="left"/>
      <w:pPr>
        <w:ind w:left="6480" w:hanging="360"/>
      </w:pPr>
      <w:rPr>
        <w:rFonts w:ascii="Wingdings" w:hAnsi="Wingdings" w:hint="default"/>
      </w:rPr>
    </w:lvl>
  </w:abstractNum>
  <w:abstractNum w:abstractNumId="2" w15:restartNumberingAfterBreak="0">
    <w:nsid w:val="3CC7670D"/>
    <w:multiLevelType w:val="hybridMultilevel"/>
    <w:tmpl w:val="FDDC7674"/>
    <w:lvl w:ilvl="0" w:tplc="9120DF1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1033469"/>
    <w:multiLevelType w:val="hybridMultilevel"/>
    <w:tmpl w:val="D612FE54"/>
    <w:lvl w:ilvl="0" w:tplc="85BCE940">
      <w:start w:val="1"/>
      <w:numFmt w:val="bullet"/>
      <w:lvlText w:val=""/>
      <w:lvlJc w:val="left"/>
      <w:pPr>
        <w:ind w:left="720" w:hanging="360"/>
      </w:pPr>
      <w:rPr>
        <w:rFonts w:ascii="Symbol" w:hAnsi="Symbol" w:hint="default"/>
      </w:rPr>
    </w:lvl>
    <w:lvl w:ilvl="1" w:tplc="EDE89D4A">
      <w:start w:val="1"/>
      <w:numFmt w:val="bullet"/>
      <w:lvlText w:val="o"/>
      <w:lvlJc w:val="left"/>
      <w:pPr>
        <w:ind w:left="1440" w:hanging="360"/>
      </w:pPr>
      <w:rPr>
        <w:rFonts w:ascii="Courier New" w:hAnsi="Courier New" w:hint="default"/>
      </w:rPr>
    </w:lvl>
    <w:lvl w:ilvl="2" w:tplc="91061732">
      <w:start w:val="1"/>
      <w:numFmt w:val="bullet"/>
      <w:lvlText w:val=""/>
      <w:lvlJc w:val="left"/>
      <w:pPr>
        <w:ind w:left="2160" w:hanging="360"/>
      </w:pPr>
      <w:rPr>
        <w:rFonts w:ascii="Wingdings" w:hAnsi="Wingdings" w:hint="default"/>
      </w:rPr>
    </w:lvl>
    <w:lvl w:ilvl="3" w:tplc="5D04C974">
      <w:start w:val="1"/>
      <w:numFmt w:val="bullet"/>
      <w:lvlText w:val=""/>
      <w:lvlJc w:val="left"/>
      <w:pPr>
        <w:ind w:left="2880" w:hanging="360"/>
      </w:pPr>
      <w:rPr>
        <w:rFonts w:ascii="Symbol" w:hAnsi="Symbol" w:hint="default"/>
      </w:rPr>
    </w:lvl>
    <w:lvl w:ilvl="4" w:tplc="1C648E36">
      <w:start w:val="1"/>
      <w:numFmt w:val="bullet"/>
      <w:lvlText w:val="o"/>
      <w:lvlJc w:val="left"/>
      <w:pPr>
        <w:ind w:left="3600" w:hanging="360"/>
      </w:pPr>
      <w:rPr>
        <w:rFonts w:ascii="Courier New" w:hAnsi="Courier New" w:hint="default"/>
      </w:rPr>
    </w:lvl>
    <w:lvl w:ilvl="5" w:tplc="2DB00CB0">
      <w:start w:val="1"/>
      <w:numFmt w:val="bullet"/>
      <w:lvlText w:val=""/>
      <w:lvlJc w:val="left"/>
      <w:pPr>
        <w:ind w:left="4320" w:hanging="360"/>
      </w:pPr>
      <w:rPr>
        <w:rFonts w:ascii="Wingdings" w:hAnsi="Wingdings" w:hint="default"/>
      </w:rPr>
    </w:lvl>
    <w:lvl w:ilvl="6" w:tplc="3C9E0854">
      <w:start w:val="1"/>
      <w:numFmt w:val="bullet"/>
      <w:lvlText w:val=""/>
      <w:lvlJc w:val="left"/>
      <w:pPr>
        <w:ind w:left="5040" w:hanging="360"/>
      </w:pPr>
      <w:rPr>
        <w:rFonts w:ascii="Symbol" w:hAnsi="Symbol" w:hint="default"/>
      </w:rPr>
    </w:lvl>
    <w:lvl w:ilvl="7" w:tplc="EF2AE296">
      <w:start w:val="1"/>
      <w:numFmt w:val="bullet"/>
      <w:lvlText w:val="o"/>
      <w:lvlJc w:val="left"/>
      <w:pPr>
        <w:ind w:left="5760" w:hanging="360"/>
      </w:pPr>
      <w:rPr>
        <w:rFonts w:ascii="Courier New" w:hAnsi="Courier New" w:hint="default"/>
      </w:rPr>
    </w:lvl>
    <w:lvl w:ilvl="8" w:tplc="1B7CE0FC">
      <w:start w:val="1"/>
      <w:numFmt w:val="bullet"/>
      <w:lvlText w:val=""/>
      <w:lvlJc w:val="left"/>
      <w:pPr>
        <w:ind w:left="6480" w:hanging="360"/>
      </w:pPr>
      <w:rPr>
        <w:rFonts w:ascii="Wingdings" w:hAnsi="Wingdings" w:hint="default"/>
      </w:rPr>
    </w:lvl>
  </w:abstractNum>
  <w:abstractNum w:abstractNumId="4" w15:restartNumberingAfterBreak="0">
    <w:nsid w:val="5573523A"/>
    <w:multiLevelType w:val="hybridMultilevel"/>
    <w:tmpl w:val="92D45DA0"/>
    <w:lvl w:ilvl="0" w:tplc="5E42905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670F720B"/>
    <w:multiLevelType w:val="hybridMultilevel"/>
    <w:tmpl w:val="9D34690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47603289">
    <w:abstractNumId w:val="3"/>
  </w:num>
  <w:num w:numId="2" w16cid:durableId="1171026080">
    <w:abstractNumId w:val="4"/>
  </w:num>
  <w:num w:numId="3" w16cid:durableId="1245341741">
    <w:abstractNumId w:val="0"/>
  </w:num>
  <w:num w:numId="4" w16cid:durableId="1549414595">
    <w:abstractNumId w:val="5"/>
  </w:num>
  <w:num w:numId="5" w16cid:durableId="993993450">
    <w:abstractNumId w:val="2"/>
  </w:num>
  <w:num w:numId="6" w16cid:durableId="895353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5FE"/>
    <w:rsid w:val="00000517"/>
    <w:rsid w:val="0000169C"/>
    <w:rsid w:val="000017BD"/>
    <w:rsid w:val="00001DDD"/>
    <w:rsid w:val="00001F08"/>
    <w:rsid w:val="000044C3"/>
    <w:rsid w:val="00007D4A"/>
    <w:rsid w:val="00007DB5"/>
    <w:rsid w:val="000103E9"/>
    <w:rsid w:val="000118DE"/>
    <w:rsid w:val="000131DE"/>
    <w:rsid w:val="00015558"/>
    <w:rsid w:val="00015945"/>
    <w:rsid w:val="0001644C"/>
    <w:rsid w:val="00020D17"/>
    <w:rsid w:val="0002105A"/>
    <w:rsid w:val="00022205"/>
    <w:rsid w:val="00022974"/>
    <w:rsid w:val="000237EA"/>
    <w:rsid w:val="00024158"/>
    <w:rsid w:val="0002586B"/>
    <w:rsid w:val="00025889"/>
    <w:rsid w:val="00026266"/>
    <w:rsid w:val="0002674A"/>
    <w:rsid w:val="000302F3"/>
    <w:rsid w:val="00031896"/>
    <w:rsid w:val="00031C82"/>
    <w:rsid w:val="00031C9D"/>
    <w:rsid w:val="00034760"/>
    <w:rsid w:val="000365DC"/>
    <w:rsid w:val="0003668B"/>
    <w:rsid w:val="0003701E"/>
    <w:rsid w:val="000401EE"/>
    <w:rsid w:val="0004032B"/>
    <w:rsid w:val="000407DB"/>
    <w:rsid w:val="00042512"/>
    <w:rsid w:val="00042C38"/>
    <w:rsid w:val="00043E49"/>
    <w:rsid w:val="00044042"/>
    <w:rsid w:val="000458BD"/>
    <w:rsid w:val="00045DF7"/>
    <w:rsid w:val="00046A69"/>
    <w:rsid w:val="000471E4"/>
    <w:rsid w:val="000512BB"/>
    <w:rsid w:val="00051E9B"/>
    <w:rsid w:val="0005236D"/>
    <w:rsid w:val="00052502"/>
    <w:rsid w:val="0005250F"/>
    <w:rsid w:val="00052554"/>
    <w:rsid w:val="00052E4F"/>
    <w:rsid w:val="00054358"/>
    <w:rsid w:val="00054CDA"/>
    <w:rsid w:val="00055632"/>
    <w:rsid w:val="00057916"/>
    <w:rsid w:val="000611EC"/>
    <w:rsid w:val="000617B7"/>
    <w:rsid w:val="00064521"/>
    <w:rsid w:val="0006496D"/>
    <w:rsid w:val="00064D6A"/>
    <w:rsid w:val="00064E2A"/>
    <w:rsid w:val="00065E19"/>
    <w:rsid w:val="00067A57"/>
    <w:rsid w:val="00070EAC"/>
    <w:rsid w:val="00071FA3"/>
    <w:rsid w:val="00072A58"/>
    <w:rsid w:val="0007336F"/>
    <w:rsid w:val="0007525D"/>
    <w:rsid w:val="000770F3"/>
    <w:rsid w:val="00077440"/>
    <w:rsid w:val="0008062F"/>
    <w:rsid w:val="000809B3"/>
    <w:rsid w:val="00081A0C"/>
    <w:rsid w:val="00081A16"/>
    <w:rsid w:val="00081FF0"/>
    <w:rsid w:val="00082ADE"/>
    <w:rsid w:val="000846A7"/>
    <w:rsid w:val="00085B09"/>
    <w:rsid w:val="00085C37"/>
    <w:rsid w:val="00085DCC"/>
    <w:rsid w:val="000867D1"/>
    <w:rsid w:val="000874F4"/>
    <w:rsid w:val="00087C75"/>
    <w:rsid w:val="00090829"/>
    <w:rsid w:val="00090E70"/>
    <w:rsid w:val="00091B18"/>
    <w:rsid w:val="00091F16"/>
    <w:rsid w:val="00093C26"/>
    <w:rsid w:val="0009484D"/>
    <w:rsid w:val="00095983"/>
    <w:rsid w:val="00095C95"/>
    <w:rsid w:val="00096300"/>
    <w:rsid w:val="000A0A88"/>
    <w:rsid w:val="000A0C4E"/>
    <w:rsid w:val="000A18F9"/>
    <w:rsid w:val="000A19F4"/>
    <w:rsid w:val="000A1F24"/>
    <w:rsid w:val="000A2818"/>
    <w:rsid w:val="000A296F"/>
    <w:rsid w:val="000A2EAB"/>
    <w:rsid w:val="000A3AC0"/>
    <w:rsid w:val="000A4669"/>
    <w:rsid w:val="000A4732"/>
    <w:rsid w:val="000A4839"/>
    <w:rsid w:val="000A531B"/>
    <w:rsid w:val="000A7964"/>
    <w:rsid w:val="000A7B53"/>
    <w:rsid w:val="000B1235"/>
    <w:rsid w:val="000B2569"/>
    <w:rsid w:val="000B49AE"/>
    <w:rsid w:val="000B58F0"/>
    <w:rsid w:val="000B6723"/>
    <w:rsid w:val="000B6BE0"/>
    <w:rsid w:val="000B7018"/>
    <w:rsid w:val="000C1105"/>
    <w:rsid w:val="000C13F2"/>
    <w:rsid w:val="000C1781"/>
    <w:rsid w:val="000C1B6F"/>
    <w:rsid w:val="000C20F7"/>
    <w:rsid w:val="000C2BFE"/>
    <w:rsid w:val="000C31E5"/>
    <w:rsid w:val="000C3D4C"/>
    <w:rsid w:val="000C46F3"/>
    <w:rsid w:val="000C6AA1"/>
    <w:rsid w:val="000C7CC7"/>
    <w:rsid w:val="000D074C"/>
    <w:rsid w:val="000D1BA8"/>
    <w:rsid w:val="000D39EE"/>
    <w:rsid w:val="000D4A41"/>
    <w:rsid w:val="000D4E21"/>
    <w:rsid w:val="000D59E2"/>
    <w:rsid w:val="000D5A5C"/>
    <w:rsid w:val="000D6C88"/>
    <w:rsid w:val="000D76F4"/>
    <w:rsid w:val="000D7836"/>
    <w:rsid w:val="000D7C83"/>
    <w:rsid w:val="000D7EFD"/>
    <w:rsid w:val="000E08FE"/>
    <w:rsid w:val="000E3639"/>
    <w:rsid w:val="000E4202"/>
    <w:rsid w:val="000E4745"/>
    <w:rsid w:val="000E488F"/>
    <w:rsid w:val="000E4A68"/>
    <w:rsid w:val="000E4B01"/>
    <w:rsid w:val="000E4BA6"/>
    <w:rsid w:val="000E4F73"/>
    <w:rsid w:val="000E5868"/>
    <w:rsid w:val="000E5AA8"/>
    <w:rsid w:val="000E690A"/>
    <w:rsid w:val="000E78FE"/>
    <w:rsid w:val="000F046E"/>
    <w:rsid w:val="000F13BA"/>
    <w:rsid w:val="000F63B6"/>
    <w:rsid w:val="000F6EA5"/>
    <w:rsid w:val="000F765C"/>
    <w:rsid w:val="000F76C4"/>
    <w:rsid w:val="0010108E"/>
    <w:rsid w:val="00101618"/>
    <w:rsid w:val="001023AC"/>
    <w:rsid w:val="00103723"/>
    <w:rsid w:val="00103FE9"/>
    <w:rsid w:val="00104A6A"/>
    <w:rsid w:val="001074A1"/>
    <w:rsid w:val="0010753C"/>
    <w:rsid w:val="00110C6D"/>
    <w:rsid w:val="00113105"/>
    <w:rsid w:val="001135FA"/>
    <w:rsid w:val="001138B8"/>
    <w:rsid w:val="0011423A"/>
    <w:rsid w:val="00115834"/>
    <w:rsid w:val="00115AF5"/>
    <w:rsid w:val="00115B71"/>
    <w:rsid w:val="00117E64"/>
    <w:rsid w:val="001209E7"/>
    <w:rsid w:val="00120B53"/>
    <w:rsid w:val="001215DC"/>
    <w:rsid w:val="001229C6"/>
    <w:rsid w:val="0012490F"/>
    <w:rsid w:val="00125040"/>
    <w:rsid w:val="0012611D"/>
    <w:rsid w:val="001266D5"/>
    <w:rsid w:val="00126926"/>
    <w:rsid w:val="00126D53"/>
    <w:rsid w:val="00127579"/>
    <w:rsid w:val="00130472"/>
    <w:rsid w:val="00131103"/>
    <w:rsid w:val="00133EE6"/>
    <w:rsid w:val="0013421A"/>
    <w:rsid w:val="0013434A"/>
    <w:rsid w:val="00134BE6"/>
    <w:rsid w:val="00134EEA"/>
    <w:rsid w:val="001357E1"/>
    <w:rsid w:val="0013596C"/>
    <w:rsid w:val="00135EA3"/>
    <w:rsid w:val="00136087"/>
    <w:rsid w:val="001366F9"/>
    <w:rsid w:val="001378AC"/>
    <w:rsid w:val="00142F01"/>
    <w:rsid w:val="001436B9"/>
    <w:rsid w:val="00146517"/>
    <w:rsid w:val="00147C0E"/>
    <w:rsid w:val="00150CCD"/>
    <w:rsid w:val="0015200F"/>
    <w:rsid w:val="0015256A"/>
    <w:rsid w:val="00153722"/>
    <w:rsid w:val="0015385C"/>
    <w:rsid w:val="00153C19"/>
    <w:rsid w:val="00155283"/>
    <w:rsid w:val="001552F0"/>
    <w:rsid w:val="00155301"/>
    <w:rsid w:val="00155BD4"/>
    <w:rsid w:val="00156079"/>
    <w:rsid w:val="001615DE"/>
    <w:rsid w:val="00161C4F"/>
    <w:rsid w:val="00162178"/>
    <w:rsid w:val="00163233"/>
    <w:rsid w:val="00167874"/>
    <w:rsid w:val="00170E23"/>
    <w:rsid w:val="001722D8"/>
    <w:rsid w:val="00174A9A"/>
    <w:rsid w:val="001765F3"/>
    <w:rsid w:val="00180316"/>
    <w:rsid w:val="00180337"/>
    <w:rsid w:val="00180C20"/>
    <w:rsid w:val="00182D6E"/>
    <w:rsid w:val="00182EA1"/>
    <w:rsid w:val="00183D4C"/>
    <w:rsid w:val="001849A2"/>
    <w:rsid w:val="00184AA7"/>
    <w:rsid w:val="00185268"/>
    <w:rsid w:val="001855C0"/>
    <w:rsid w:val="0018560D"/>
    <w:rsid w:val="00186B09"/>
    <w:rsid w:val="0019060B"/>
    <w:rsid w:val="00190E21"/>
    <w:rsid w:val="0019257A"/>
    <w:rsid w:val="00193514"/>
    <w:rsid w:val="001936BE"/>
    <w:rsid w:val="00193DF7"/>
    <w:rsid w:val="00194065"/>
    <w:rsid w:val="001941D1"/>
    <w:rsid w:val="00194CD1"/>
    <w:rsid w:val="00194E8F"/>
    <w:rsid w:val="00194EEE"/>
    <w:rsid w:val="001962B3"/>
    <w:rsid w:val="001967FC"/>
    <w:rsid w:val="001970FB"/>
    <w:rsid w:val="00197516"/>
    <w:rsid w:val="001A025E"/>
    <w:rsid w:val="001A0C94"/>
    <w:rsid w:val="001A2835"/>
    <w:rsid w:val="001A36F0"/>
    <w:rsid w:val="001A4175"/>
    <w:rsid w:val="001A4E5E"/>
    <w:rsid w:val="001A57FD"/>
    <w:rsid w:val="001A5B43"/>
    <w:rsid w:val="001A5BE2"/>
    <w:rsid w:val="001A6222"/>
    <w:rsid w:val="001A7E0B"/>
    <w:rsid w:val="001B0DB1"/>
    <w:rsid w:val="001B1B58"/>
    <w:rsid w:val="001B307C"/>
    <w:rsid w:val="001B389C"/>
    <w:rsid w:val="001B3F56"/>
    <w:rsid w:val="001B4158"/>
    <w:rsid w:val="001B416B"/>
    <w:rsid w:val="001B4DF1"/>
    <w:rsid w:val="001B50D2"/>
    <w:rsid w:val="001B6F61"/>
    <w:rsid w:val="001C0209"/>
    <w:rsid w:val="001C0E26"/>
    <w:rsid w:val="001C1935"/>
    <w:rsid w:val="001C21CA"/>
    <w:rsid w:val="001C456C"/>
    <w:rsid w:val="001C7BF2"/>
    <w:rsid w:val="001D04A8"/>
    <w:rsid w:val="001D04FF"/>
    <w:rsid w:val="001D17F4"/>
    <w:rsid w:val="001D1FEA"/>
    <w:rsid w:val="001D22D6"/>
    <w:rsid w:val="001D42E6"/>
    <w:rsid w:val="001D4975"/>
    <w:rsid w:val="001D49AD"/>
    <w:rsid w:val="001D6BA0"/>
    <w:rsid w:val="001D701F"/>
    <w:rsid w:val="001D709B"/>
    <w:rsid w:val="001D7FB5"/>
    <w:rsid w:val="001E0CF6"/>
    <w:rsid w:val="001E2D1E"/>
    <w:rsid w:val="001E3BA9"/>
    <w:rsid w:val="001E4B4D"/>
    <w:rsid w:val="001E4C57"/>
    <w:rsid w:val="001E6717"/>
    <w:rsid w:val="001E6750"/>
    <w:rsid w:val="001E689B"/>
    <w:rsid w:val="001E7243"/>
    <w:rsid w:val="001E7C1C"/>
    <w:rsid w:val="001F0233"/>
    <w:rsid w:val="001F10C2"/>
    <w:rsid w:val="001F14EB"/>
    <w:rsid w:val="001F4D95"/>
    <w:rsid w:val="001F7400"/>
    <w:rsid w:val="001F7BB0"/>
    <w:rsid w:val="001F7CA7"/>
    <w:rsid w:val="00201050"/>
    <w:rsid w:val="00201886"/>
    <w:rsid w:val="00201D91"/>
    <w:rsid w:val="00202A40"/>
    <w:rsid w:val="00203266"/>
    <w:rsid w:val="0020367E"/>
    <w:rsid w:val="0020471C"/>
    <w:rsid w:val="00204D0A"/>
    <w:rsid w:val="00204EA6"/>
    <w:rsid w:val="0020759E"/>
    <w:rsid w:val="00210593"/>
    <w:rsid w:val="002107FF"/>
    <w:rsid w:val="00210B1E"/>
    <w:rsid w:val="00212111"/>
    <w:rsid w:val="00213E49"/>
    <w:rsid w:val="002147CD"/>
    <w:rsid w:val="00215B35"/>
    <w:rsid w:val="00215F73"/>
    <w:rsid w:val="00216DC3"/>
    <w:rsid w:val="00217D8B"/>
    <w:rsid w:val="0022104D"/>
    <w:rsid w:val="00221916"/>
    <w:rsid w:val="0022196A"/>
    <w:rsid w:val="00221A06"/>
    <w:rsid w:val="002223AF"/>
    <w:rsid w:val="00224466"/>
    <w:rsid w:val="0022447A"/>
    <w:rsid w:val="00224692"/>
    <w:rsid w:val="00224714"/>
    <w:rsid w:val="002247AD"/>
    <w:rsid w:val="00224E67"/>
    <w:rsid w:val="002260BF"/>
    <w:rsid w:val="002267D0"/>
    <w:rsid w:val="00226A85"/>
    <w:rsid w:val="002276A7"/>
    <w:rsid w:val="0022DF0C"/>
    <w:rsid w:val="00230666"/>
    <w:rsid w:val="002310C9"/>
    <w:rsid w:val="00232288"/>
    <w:rsid w:val="00232FCD"/>
    <w:rsid w:val="00235F55"/>
    <w:rsid w:val="0023693F"/>
    <w:rsid w:val="00236BF8"/>
    <w:rsid w:val="0024009D"/>
    <w:rsid w:val="002400E5"/>
    <w:rsid w:val="002409BB"/>
    <w:rsid w:val="00240D0F"/>
    <w:rsid w:val="00241A82"/>
    <w:rsid w:val="00241E69"/>
    <w:rsid w:val="0024232D"/>
    <w:rsid w:val="0024454E"/>
    <w:rsid w:val="0024586E"/>
    <w:rsid w:val="0025038B"/>
    <w:rsid w:val="00250E1F"/>
    <w:rsid w:val="0025229C"/>
    <w:rsid w:val="00252EE5"/>
    <w:rsid w:val="00255506"/>
    <w:rsid w:val="002564C4"/>
    <w:rsid w:val="00256C78"/>
    <w:rsid w:val="00257190"/>
    <w:rsid w:val="00261221"/>
    <w:rsid w:val="00261256"/>
    <w:rsid w:val="0026130A"/>
    <w:rsid w:val="00261F15"/>
    <w:rsid w:val="00262041"/>
    <w:rsid w:val="0026208D"/>
    <w:rsid w:val="002655BB"/>
    <w:rsid w:val="00265E51"/>
    <w:rsid w:val="00266768"/>
    <w:rsid w:val="002678FB"/>
    <w:rsid w:val="00271066"/>
    <w:rsid w:val="002725E9"/>
    <w:rsid w:val="00272765"/>
    <w:rsid w:val="00272CF0"/>
    <w:rsid w:val="002734B7"/>
    <w:rsid w:val="002736E9"/>
    <w:rsid w:val="0027381C"/>
    <w:rsid w:val="00274E1F"/>
    <w:rsid w:val="002756E3"/>
    <w:rsid w:val="00275CF5"/>
    <w:rsid w:val="002763AE"/>
    <w:rsid w:val="00280225"/>
    <w:rsid w:val="00280C09"/>
    <w:rsid w:val="00280E99"/>
    <w:rsid w:val="00281CE8"/>
    <w:rsid w:val="0028274C"/>
    <w:rsid w:val="002827DF"/>
    <w:rsid w:val="00282A85"/>
    <w:rsid w:val="00284631"/>
    <w:rsid w:val="00285866"/>
    <w:rsid w:val="00286170"/>
    <w:rsid w:val="0028671F"/>
    <w:rsid w:val="00290289"/>
    <w:rsid w:val="002910F0"/>
    <w:rsid w:val="0029176A"/>
    <w:rsid w:val="002921A1"/>
    <w:rsid w:val="0029251A"/>
    <w:rsid w:val="0029365F"/>
    <w:rsid w:val="00293965"/>
    <w:rsid w:val="00293BB0"/>
    <w:rsid w:val="00295391"/>
    <w:rsid w:val="002954AA"/>
    <w:rsid w:val="00295EBB"/>
    <w:rsid w:val="002975B9"/>
    <w:rsid w:val="002A11AD"/>
    <w:rsid w:val="002A1BCD"/>
    <w:rsid w:val="002A34E6"/>
    <w:rsid w:val="002A41A8"/>
    <w:rsid w:val="002A4B97"/>
    <w:rsid w:val="002A4F7A"/>
    <w:rsid w:val="002A6144"/>
    <w:rsid w:val="002B0545"/>
    <w:rsid w:val="002B09F4"/>
    <w:rsid w:val="002B1FE2"/>
    <w:rsid w:val="002B2B83"/>
    <w:rsid w:val="002B39F8"/>
    <w:rsid w:val="002B3F6F"/>
    <w:rsid w:val="002B492B"/>
    <w:rsid w:val="002B4E58"/>
    <w:rsid w:val="002B5961"/>
    <w:rsid w:val="002B7BB9"/>
    <w:rsid w:val="002B7C36"/>
    <w:rsid w:val="002C11E9"/>
    <w:rsid w:val="002C1531"/>
    <w:rsid w:val="002C25D3"/>
    <w:rsid w:val="002C32FF"/>
    <w:rsid w:val="002C34B8"/>
    <w:rsid w:val="002C4EE9"/>
    <w:rsid w:val="002C5F14"/>
    <w:rsid w:val="002C6300"/>
    <w:rsid w:val="002C688F"/>
    <w:rsid w:val="002C6917"/>
    <w:rsid w:val="002C6B74"/>
    <w:rsid w:val="002C6F14"/>
    <w:rsid w:val="002D04D3"/>
    <w:rsid w:val="002D0677"/>
    <w:rsid w:val="002D1B11"/>
    <w:rsid w:val="002D20E7"/>
    <w:rsid w:val="002D387C"/>
    <w:rsid w:val="002D4984"/>
    <w:rsid w:val="002D4BD2"/>
    <w:rsid w:val="002D56EC"/>
    <w:rsid w:val="002D6497"/>
    <w:rsid w:val="002D6802"/>
    <w:rsid w:val="002D7478"/>
    <w:rsid w:val="002D7CCE"/>
    <w:rsid w:val="002D7D55"/>
    <w:rsid w:val="002E08A7"/>
    <w:rsid w:val="002E1C57"/>
    <w:rsid w:val="002E2022"/>
    <w:rsid w:val="002E23EC"/>
    <w:rsid w:val="002E2D79"/>
    <w:rsid w:val="002E31EF"/>
    <w:rsid w:val="002E401D"/>
    <w:rsid w:val="002E4CE9"/>
    <w:rsid w:val="002E4E83"/>
    <w:rsid w:val="002E502E"/>
    <w:rsid w:val="002E589F"/>
    <w:rsid w:val="002E5FBF"/>
    <w:rsid w:val="002E70D5"/>
    <w:rsid w:val="002E75A7"/>
    <w:rsid w:val="002E7744"/>
    <w:rsid w:val="002E7EAD"/>
    <w:rsid w:val="002F0795"/>
    <w:rsid w:val="002F0E70"/>
    <w:rsid w:val="002F150D"/>
    <w:rsid w:val="002F2521"/>
    <w:rsid w:val="002F25C3"/>
    <w:rsid w:val="002F3D61"/>
    <w:rsid w:val="002F4854"/>
    <w:rsid w:val="002F4E3B"/>
    <w:rsid w:val="002F5E69"/>
    <w:rsid w:val="002F6126"/>
    <w:rsid w:val="002F6DDD"/>
    <w:rsid w:val="002F7F1A"/>
    <w:rsid w:val="00300C27"/>
    <w:rsid w:val="0030136A"/>
    <w:rsid w:val="003016AA"/>
    <w:rsid w:val="003018B0"/>
    <w:rsid w:val="00303306"/>
    <w:rsid w:val="003050ED"/>
    <w:rsid w:val="00306C97"/>
    <w:rsid w:val="00306EFA"/>
    <w:rsid w:val="00307C4F"/>
    <w:rsid w:val="003100A2"/>
    <w:rsid w:val="003112A9"/>
    <w:rsid w:val="0031139E"/>
    <w:rsid w:val="00311E85"/>
    <w:rsid w:val="003138FC"/>
    <w:rsid w:val="00313E8A"/>
    <w:rsid w:val="00314245"/>
    <w:rsid w:val="0031468F"/>
    <w:rsid w:val="0031479F"/>
    <w:rsid w:val="00315E40"/>
    <w:rsid w:val="00316788"/>
    <w:rsid w:val="00316DCC"/>
    <w:rsid w:val="003208C8"/>
    <w:rsid w:val="00322101"/>
    <w:rsid w:val="0032261D"/>
    <w:rsid w:val="00323B30"/>
    <w:rsid w:val="00324B1E"/>
    <w:rsid w:val="0032514C"/>
    <w:rsid w:val="00326644"/>
    <w:rsid w:val="00327378"/>
    <w:rsid w:val="00327D30"/>
    <w:rsid w:val="003310E3"/>
    <w:rsid w:val="00331938"/>
    <w:rsid w:val="00331B23"/>
    <w:rsid w:val="00331DCD"/>
    <w:rsid w:val="00333A2D"/>
    <w:rsid w:val="00334321"/>
    <w:rsid w:val="0033462C"/>
    <w:rsid w:val="00334D9F"/>
    <w:rsid w:val="00334DE1"/>
    <w:rsid w:val="00336B23"/>
    <w:rsid w:val="00336E30"/>
    <w:rsid w:val="0034134A"/>
    <w:rsid w:val="003415FE"/>
    <w:rsid w:val="0034232F"/>
    <w:rsid w:val="003434B6"/>
    <w:rsid w:val="00343A3D"/>
    <w:rsid w:val="00343F69"/>
    <w:rsid w:val="00345686"/>
    <w:rsid w:val="00346073"/>
    <w:rsid w:val="00346908"/>
    <w:rsid w:val="0034721A"/>
    <w:rsid w:val="00347F4F"/>
    <w:rsid w:val="00350210"/>
    <w:rsid w:val="00350F76"/>
    <w:rsid w:val="00351743"/>
    <w:rsid w:val="003517A3"/>
    <w:rsid w:val="00351831"/>
    <w:rsid w:val="00351B39"/>
    <w:rsid w:val="00351D59"/>
    <w:rsid w:val="003524B0"/>
    <w:rsid w:val="003526BB"/>
    <w:rsid w:val="003550F2"/>
    <w:rsid w:val="003558B8"/>
    <w:rsid w:val="003559D3"/>
    <w:rsid w:val="00356959"/>
    <w:rsid w:val="0035701C"/>
    <w:rsid w:val="00360024"/>
    <w:rsid w:val="00362276"/>
    <w:rsid w:val="003632EE"/>
    <w:rsid w:val="00364745"/>
    <w:rsid w:val="0036497A"/>
    <w:rsid w:val="00366359"/>
    <w:rsid w:val="003676D3"/>
    <w:rsid w:val="00370B57"/>
    <w:rsid w:val="00370CD6"/>
    <w:rsid w:val="00371825"/>
    <w:rsid w:val="0037227B"/>
    <w:rsid w:val="00373612"/>
    <w:rsid w:val="0037378C"/>
    <w:rsid w:val="00374988"/>
    <w:rsid w:val="003754BF"/>
    <w:rsid w:val="00375C19"/>
    <w:rsid w:val="0037705D"/>
    <w:rsid w:val="003772C6"/>
    <w:rsid w:val="00377D59"/>
    <w:rsid w:val="003804A3"/>
    <w:rsid w:val="00380D8A"/>
    <w:rsid w:val="00381A54"/>
    <w:rsid w:val="003824FA"/>
    <w:rsid w:val="00382EE1"/>
    <w:rsid w:val="003847D8"/>
    <w:rsid w:val="00384AA3"/>
    <w:rsid w:val="00385EC8"/>
    <w:rsid w:val="003865FB"/>
    <w:rsid w:val="00387FF8"/>
    <w:rsid w:val="00390A19"/>
    <w:rsid w:val="00390D71"/>
    <w:rsid w:val="0039133A"/>
    <w:rsid w:val="00391ACC"/>
    <w:rsid w:val="003942C9"/>
    <w:rsid w:val="003943D5"/>
    <w:rsid w:val="003953C4"/>
    <w:rsid w:val="00395832"/>
    <w:rsid w:val="003979AE"/>
    <w:rsid w:val="00397C7F"/>
    <w:rsid w:val="003A0943"/>
    <w:rsid w:val="003A0BA1"/>
    <w:rsid w:val="003A2419"/>
    <w:rsid w:val="003A4B83"/>
    <w:rsid w:val="003A4D97"/>
    <w:rsid w:val="003A5C78"/>
    <w:rsid w:val="003A6B84"/>
    <w:rsid w:val="003A7E2F"/>
    <w:rsid w:val="003A7F3F"/>
    <w:rsid w:val="003B04CA"/>
    <w:rsid w:val="003B2E1F"/>
    <w:rsid w:val="003B356C"/>
    <w:rsid w:val="003B53B6"/>
    <w:rsid w:val="003B55AB"/>
    <w:rsid w:val="003B56F5"/>
    <w:rsid w:val="003B5A9A"/>
    <w:rsid w:val="003C09EA"/>
    <w:rsid w:val="003C1306"/>
    <w:rsid w:val="003C13C6"/>
    <w:rsid w:val="003C1F7C"/>
    <w:rsid w:val="003C20B2"/>
    <w:rsid w:val="003C2D6B"/>
    <w:rsid w:val="003C391B"/>
    <w:rsid w:val="003C501E"/>
    <w:rsid w:val="003C5470"/>
    <w:rsid w:val="003C57BB"/>
    <w:rsid w:val="003C6F64"/>
    <w:rsid w:val="003D0602"/>
    <w:rsid w:val="003D16B4"/>
    <w:rsid w:val="003D21B5"/>
    <w:rsid w:val="003D27F6"/>
    <w:rsid w:val="003D4300"/>
    <w:rsid w:val="003D5132"/>
    <w:rsid w:val="003D61A8"/>
    <w:rsid w:val="003D6AD3"/>
    <w:rsid w:val="003E05FC"/>
    <w:rsid w:val="003E2A67"/>
    <w:rsid w:val="003E3693"/>
    <w:rsid w:val="003E46ED"/>
    <w:rsid w:val="003E4A11"/>
    <w:rsid w:val="003E4A41"/>
    <w:rsid w:val="003E508C"/>
    <w:rsid w:val="003E5FD0"/>
    <w:rsid w:val="003E622C"/>
    <w:rsid w:val="003E634A"/>
    <w:rsid w:val="003E7547"/>
    <w:rsid w:val="003F1571"/>
    <w:rsid w:val="003F15D4"/>
    <w:rsid w:val="003F18A4"/>
    <w:rsid w:val="003F267F"/>
    <w:rsid w:val="003F3149"/>
    <w:rsid w:val="003F3151"/>
    <w:rsid w:val="003F354B"/>
    <w:rsid w:val="003F417E"/>
    <w:rsid w:val="003F4F73"/>
    <w:rsid w:val="003F65BF"/>
    <w:rsid w:val="00400149"/>
    <w:rsid w:val="004003D1"/>
    <w:rsid w:val="00401009"/>
    <w:rsid w:val="00401229"/>
    <w:rsid w:val="004012A0"/>
    <w:rsid w:val="00401B4D"/>
    <w:rsid w:val="00402B47"/>
    <w:rsid w:val="00403D7E"/>
    <w:rsid w:val="00404793"/>
    <w:rsid w:val="0040704D"/>
    <w:rsid w:val="00411AC0"/>
    <w:rsid w:val="00411BDD"/>
    <w:rsid w:val="00414CDD"/>
    <w:rsid w:val="004163D7"/>
    <w:rsid w:val="004206D8"/>
    <w:rsid w:val="00421775"/>
    <w:rsid w:val="004220DE"/>
    <w:rsid w:val="00422213"/>
    <w:rsid w:val="00422A0B"/>
    <w:rsid w:val="0042380D"/>
    <w:rsid w:val="004269CF"/>
    <w:rsid w:val="00427EF9"/>
    <w:rsid w:val="00427F34"/>
    <w:rsid w:val="00427FBF"/>
    <w:rsid w:val="0043012E"/>
    <w:rsid w:val="00430812"/>
    <w:rsid w:val="00430D26"/>
    <w:rsid w:val="00433316"/>
    <w:rsid w:val="00433577"/>
    <w:rsid w:val="0043393D"/>
    <w:rsid w:val="00436C3A"/>
    <w:rsid w:val="004412D5"/>
    <w:rsid w:val="0044233D"/>
    <w:rsid w:val="00442993"/>
    <w:rsid w:val="0044396F"/>
    <w:rsid w:val="00444303"/>
    <w:rsid w:val="00444554"/>
    <w:rsid w:val="00444BD9"/>
    <w:rsid w:val="0044587B"/>
    <w:rsid w:val="00446026"/>
    <w:rsid w:val="004478CA"/>
    <w:rsid w:val="00451306"/>
    <w:rsid w:val="004523FE"/>
    <w:rsid w:val="00452639"/>
    <w:rsid w:val="00453786"/>
    <w:rsid w:val="00455A9C"/>
    <w:rsid w:val="004561EE"/>
    <w:rsid w:val="0045694E"/>
    <w:rsid w:val="00456EAE"/>
    <w:rsid w:val="00457124"/>
    <w:rsid w:val="00457711"/>
    <w:rsid w:val="00457918"/>
    <w:rsid w:val="00457950"/>
    <w:rsid w:val="004603AD"/>
    <w:rsid w:val="004605F2"/>
    <w:rsid w:val="00461216"/>
    <w:rsid w:val="00462EDD"/>
    <w:rsid w:val="00463BF1"/>
    <w:rsid w:val="00464ADF"/>
    <w:rsid w:val="00464B6D"/>
    <w:rsid w:val="00464D42"/>
    <w:rsid w:val="00465074"/>
    <w:rsid w:val="00465E07"/>
    <w:rsid w:val="00466164"/>
    <w:rsid w:val="00466390"/>
    <w:rsid w:val="00466A47"/>
    <w:rsid w:val="00466C80"/>
    <w:rsid w:val="00467A58"/>
    <w:rsid w:val="00467BD6"/>
    <w:rsid w:val="00470868"/>
    <w:rsid w:val="004726B3"/>
    <w:rsid w:val="004727C2"/>
    <w:rsid w:val="004730BE"/>
    <w:rsid w:val="00473AC1"/>
    <w:rsid w:val="00474AC8"/>
    <w:rsid w:val="00477B37"/>
    <w:rsid w:val="004816C1"/>
    <w:rsid w:val="00482908"/>
    <w:rsid w:val="00482CC1"/>
    <w:rsid w:val="0048361E"/>
    <w:rsid w:val="004837DC"/>
    <w:rsid w:val="00484365"/>
    <w:rsid w:val="0048484D"/>
    <w:rsid w:val="00485019"/>
    <w:rsid w:val="004854D3"/>
    <w:rsid w:val="00485E1E"/>
    <w:rsid w:val="004879B8"/>
    <w:rsid w:val="00490330"/>
    <w:rsid w:val="0049287F"/>
    <w:rsid w:val="00492CAB"/>
    <w:rsid w:val="00494B89"/>
    <w:rsid w:val="00494D4B"/>
    <w:rsid w:val="004951E8"/>
    <w:rsid w:val="004966FE"/>
    <w:rsid w:val="00496C75"/>
    <w:rsid w:val="00496EAA"/>
    <w:rsid w:val="004971F1"/>
    <w:rsid w:val="004A0A15"/>
    <w:rsid w:val="004A2974"/>
    <w:rsid w:val="004A3001"/>
    <w:rsid w:val="004A3258"/>
    <w:rsid w:val="004A6A8F"/>
    <w:rsid w:val="004A6DD1"/>
    <w:rsid w:val="004A6F31"/>
    <w:rsid w:val="004B03C5"/>
    <w:rsid w:val="004B0F31"/>
    <w:rsid w:val="004B1132"/>
    <w:rsid w:val="004B1AF1"/>
    <w:rsid w:val="004B2192"/>
    <w:rsid w:val="004B2CAC"/>
    <w:rsid w:val="004B2DC3"/>
    <w:rsid w:val="004B30A3"/>
    <w:rsid w:val="004B3295"/>
    <w:rsid w:val="004B33EA"/>
    <w:rsid w:val="004B3704"/>
    <w:rsid w:val="004B391E"/>
    <w:rsid w:val="004B60A5"/>
    <w:rsid w:val="004B7931"/>
    <w:rsid w:val="004B7DC9"/>
    <w:rsid w:val="004C0575"/>
    <w:rsid w:val="004C0F47"/>
    <w:rsid w:val="004C1AE7"/>
    <w:rsid w:val="004C1B57"/>
    <w:rsid w:val="004C2BB5"/>
    <w:rsid w:val="004C31EB"/>
    <w:rsid w:val="004C3A05"/>
    <w:rsid w:val="004C3E54"/>
    <w:rsid w:val="004C5206"/>
    <w:rsid w:val="004C5E84"/>
    <w:rsid w:val="004C64E7"/>
    <w:rsid w:val="004C6BF5"/>
    <w:rsid w:val="004C73AF"/>
    <w:rsid w:val="004C74F8"/>
    <w:rsid w:val="004D06BA"/>
    <w:rsid w:val="004D0EEC"/>
    <w:rsid w:val="004D1711"/>
    <w:rsid w:val="004D32C3"/>
    <w:rsid w:val="004D3C6E"/>
    <w:rsid w:val="004D50F6"/>
    <w:rsid w:val="004D5146"/>
    <w:rsid w:val="004D549E"/>
    <w:rsid w:val="004D72BB"/>
    <w:rsid w:val="004D7623"/>
    <w:rsid w:val="004E069E"/>
    <w:rsid w:val="004E12D4"/>
    <w:rsid w:val="004E13F6"/>
    <w:rsid w:val="004E141D"/>
    <w:rsid w:val="004E1DC8"/>
    <w:rsid w:val="004E1FF6"/>
    <w:rsid w:val="004E23DD"/>
    <w:rsid w:val="004E259E"/>
    <w:rsid w:val="004E504E"/>
    <w:rsid w:val="004E5F60"/>
    <w:rsid w:val="004E6B81"/>
    <w:rsid w:val="004E6FA2"/>
    <w:rsid w:val="004E7487"/>
    <w:rsid w:val="004F2496"/>
    <w:rsid w:val="004F25F4"/>
    <w:rsid w:val="004F277F"/>
    <w:rsid w:val="004F3641"/>
    <w:rsid w:val="004F3AFD"/>
    <w:rsid w:val="004F3B57"/>
    <w:rsid w:val="004F3F73"/>
    <w:rsid w:val="004F41FE"/>
    <w:rsid w:val="004F4571"/>
    <w:rsid w:val="004F6040"/>
    <w:rsid w:val="004F63CD"/>
    <w:rsid w:val="005019C9"/>
    <w:rsid w:val="00502998"/>
    <w:rsid w:val="00504A64"/>
    <w:rsid w:val="00504F0B"/>
    <w:rsid w:val="0050611B"/>
    <w:rsid w:val="0050640B"/>
    <w:rsid w:val="00507BC3"/>
    <w:rsid w:val="0051029C"/>
    <w:rsid w:val="00510390"/>
    <w:rsid w:val="00510655"/>
    <w:rsid w:val="005106CA"/>
    <w:rsid w:val="00512E06"/>
    <w:rsid w:val="00512F67"/>
    <w:rsid w:val="00515112"/>
    <w:rsid w:val="005171E0"/>
    <w:rsid w:val="005173AB"/>
    <w:rsid w:val="00520DE7"/>
    <w:rsid w:val="00521BEE"/>
    <w:rsid w:val="00522350"/>
    <w:rsid w:val="00523670"/>
    <w:rsid w:val="00523772"/>
    <w:rsid w:val="00523C26"/>
    <w:rsid w:val="005246B0"/>
    <w:rsid w:val="00525D74"/>
    <w:rsid w:val="00526D67"/>
    <w:rsid w:val="005271DC"/>
    <w:rsid w:val="005278BA"/>
    <w:rsid w:val="00527BF5"/>
    <w:rsid w:val="0053032B"/>
    <w:rsid w:val="00530561"/>
    <w:rsid w:val="00530DB0"/>
    <w:rsid w:val="0053190B"/>
    <w:rsid w:val="00531A41"/>
    <w:rsid w:val="00531E11"/>
    <w:rsid w:val="00533CAF"/>
    <w:rsid w:val="005349A5"/>
    <w:rsid w:val="00540FF8"/>
    <w:rsid w:val="00541866"/>
    <w:rsid w:val="00541988"/>
    <w:rsid w:val="00541D66"/>
    <w:rsid w:val="00543F6A"/>
    <w:rsid w:val="00545562"/>
    <w:rsid w:val="00545BAB"/>
    <w:rsid w:val="0054669C"/>
    <w:rsid w:val="00546DC0"/>
    <w:rsid w:val="00547A9D"/>
    <w:rsid w:val="00547E18"/>
    <w:rsid w:val="0055132B"/>
    <w:rsid w:val="005518E4"/>
    <w:rsid w:val="005521BE"/>
    <w:rsid w:val="00553319"/>
    <w:rsid w:val="005535B5"/>
    <w:rsid w:val="00556984"/>
    <w:rsid w:val="00556EC4"/>
    <w:rsid w:val="0055711F"/>
    <w:rsid w:val="00557FA3"/>
    <w:rsid w:val="0056020F"/>
    <w:rsid w:val="00560E0A"/>
    <w:rsid w:val="0056202F"/>
    <w:rsid w:val="005635A9"/>
    <w:rsid w:val="005652EE"/>
    <w:rsid w:val="00565662"/>
    <w:rsid w:val="00567CCD"/>
    <w:rsid w:val="00570628"/>
    <w:rsid w:val="005710F5"/>
    <w:rsid w:val="00572182"/>
    <w:rsid w:val="00577309"/>
    <w:rsid w:val="0057753A"/>
    <w:rsid w:val="00577BC5"/>
    <w:rsid w:val="00581259"/>
    <w:rsid w:val="005824F1"/>
    <w:rsid w:val="00584382"/>
    <w:rsid w:val="00584DFC"/>
    <w:rsid w:val="005854D3"/>
    <w:rsid w:val="00585F22"/>
    <w:rsid w:val="005861AE"/>
    <w:rsid w:val="005865EE"/>
    <w:rsid w:val="00587EF6"/>
    <w:rsid w:val="00590630"/>
    <w:rsid w:val="00590E73"/>
    <w:rsid w:val="005916AF"/>
    <w:rsid w:val="00591D8B"/>
    <w:rsid w:val="00591E27"/>
    <w:rsid w:val="005920CB"/>
    <w:rsid w:val="0059272E"/>
    <w:rsid w:val="00592E0B"/>
    <w:rsid w:val="005933D0"/>
    <w:rsid w:val="00595277"/>
    <w:rsid w:val="005961B9"/>
    <w:rsid w:val="00597117"/>
    <w:rsid w:val="005971AF"/>
    <w:rsid w:val="00597EA7"/>
    <w:rsid w:val="005A0706"/>
    <w:rsid w:val="005A0AFC"/>
    <w:rsid w:val="005A1631"/>
    <w:rsid w:val="005A1E0F"/>
    <w:rsid w:val="005A246F"/>
    <w:rsid w:val="005A29CC"/>
    <w:rsid w:val="005A2C54"/>
    <w:rsid w:val="005A2FAA"/>
    <w:rsid w:val="005A34A7"/>
    <w:rsid w:val="005A405E"/>
    <w:rsid w:val="005A684D"/>
    <w:rsid w:val="005A799B"/>
    <w:rsid w:val="005B053D"/>
    <w:rsid w:val="005B0833"/>
    <w:rsid w:val="005B0D1F"/>
    <w:rsid w:val="005B1180"/>
    <w:rsid w:val="005B2320"/>
    <w:rsid w:val="005B2606"/>
    <w:rsid w:val="005B269A"/>
    <w:rsid w:val="005B326D"/>
    <w:rsid w:val="005B3CDC"/>
    <w:rsid w:val="005B3D58"/>
    <w:rsid w:val="005B4611"/>
    <w:rsid w:val="005B5A7D"/>
    <w:rsid w:val="005C0096"/>
    <w:rsid w:val="005C08A1"/>
    <w:rsid w:val="005C15F7"/>
    <w:rsid w:val="005C1AC5"/>
    <w:rsid w:val="005C32F3"/>
    <w:rsid w:val="005C34CA"/>
    <w:rsid w:val="005C3CF0"/>
    <w:rsid w:val="005C3E1F"/>
    <w:rsid w:val="005C3ECD"/>
    <w:rsid w:val="005C4E5A"/>
    <w:rsid w:val="005C78B3"/>
    <w:rsid w:val="005D02FC"/>
    <w:rsid w:val="005D119B"/>
    <w:rsid w:val="005D2900"/>
    <w:rsid w:val="005D3512"/>
    <w:rsid w:val="005D3B78"/>
    <w:rsid w:val="005D3E59"/>
    <w:rsid w:val="005D42A9"/>
    <w:rsid w:val="005D513C"/>
    <w:rsid w:val="005D5304"/>
    <w:rsid w:val="005D666F"/>
    <w:rsid w:val="005D6FA1"/>
    <w:rsid w:val="005E0C48"/>
    <w:rsid w:val="005E1651"/>
    <w:rsid w:val="005E1A83"/>
    <w:rsid w:val="005E31AC"/>
    <w:rsid w:val="005E34FD"/>
    <w:rsid w:val="005E45B0"/>
    <w:rsid w:val="005E5043"/>
    <w:rsid w:val="005E58C2"/>
    <w:rsid w:val="005E6443"/>
    <w:rsid w:val="005E6647"/>
    <w:rsid w:val="005F0581"/>
    <w:rsid w:val="005F1EEB"/>
    <w:rsid w:val="005F252F"/>
    <w:rsid w:val="005F5EDA"/>
    <w:rsid w:val="005F608E"/>
    <w:rsid w:val="005F7B25"/>
    <w:rsid w:val="005F7D0D"/>
    <w:rsid w:val="006013D2"/>
    <w:rsid w:val="00601C5A"/>
    <w:rsid w:val="00602E3C"/>
    <w:rsid w:val="00603461"/>
    <w:rsid w:val="006068B4"/>
    <w:rsid w:val="006079B4"/>
    <w:rsid w:val="00607B0F"/>
    <w:rsid w:val="00607C87"/>
    <w:rsid w:val="006106CD"/>
    <w:rsid w:val="006116FE"/>
    <w:rsid w:val="00611B90"/>
    <w:rsid w:val="00614293"/>
    <w:rsid w:val="00614FF0"/>
    <w:rsid w:val="00616AB4"/>
    <w:rsid w:val="00617877"/>
    <w:rsid w:val="00617ED1"/>
    <w:rsid w:val="006200F6"/>
    <w:rsid w:val="00620CC0"/>
    <w:rsid w:val="00621840"/>
    <w:rsid w:val="006222FA"/>
    <w:rsid w:val="006224FC"/>
    <w:rsid w:val="006246EB"/>
    <w:rsid w:val="006254A4"/>
    <w:rsid w:val="00625A7C"/>
    <w:rsid w:val="006260BC"/>
    <w:rsid w:val="00626339"/>
    <w:rsid w:val="00626577"/>
    <w:rsid w:val="0063002E"/>
    <w:rsid w:val="006314BC"/>
    <w:rsid w:val="00631F76"/>
    <w:rsid w:val="006320E9"/>
    <w:rsid w:val="00632B6F"/>
    <w:rsid w:val="006330AD"/>
    <w:rsid w:val="00635CE2"/>
    <w:rsid w:val="00637245"/>
    <w:rsid w:val="0063782C"/>
    <w:rsid w:val="00637F9C"/>
    <w:rsid w:val="00640595"/>
    <w:rsid w:val="00641968"/>
    <w:rsid w:val="00644395"/>
    <w:rsid w:val="006449C9"/>
    <w:rsid w:val="006461FB"/>
    <w:rsid w:val="00646A42"/>
    <w:rsid w:val="006507F3"/>
    <w:rsid w:val="00650D65"/>
    <w:rsid w:val="00650D9E"/>
    <w:rsid w:val="00656077"/>
    <w:rsid w:val="006569D7"/>
    <w:rsid w:val="00656DFE"/>
    <w:rsid w:val="00656E38"/>
    <w:rsid w:val="00657D8D"/>
    <w:rsid w:val="00660576"/>
    <w:rsid w:val="0066185B"/>
    <w:rsid w:val="0066786F"/>
    <w:rsid w:val="00667FF1"/>
    <w:rsid w:val="00670A50"/>
    <w:rsid w:val="0067190E"/>
    <w:rsid w:val="00671F24"/>
    <w:rsid w:val="006737F6"/>
    <w:rsid w:val="00673E4A"/>
    <w:rsid w:val="006750CB"/>
    <w:rsid w:val="00675784"/>
    <w:rsid w:val="006757CD"/>
    <w:rsid w:val="00675EDE"/>
    <w:rsid w:val="00676F5C"/>
    <w:rsid w:val="0067747F"/>
    <w:rsid w:val="00677483"/>
    <w:rsid w:val="006777EF"/>
    <w:rsid w:val="006817A6"/>
    <w:rsid w:val="006818BE"/>
    <w:rsid w:val="0068195E"/>
    <w:rsid w:val="00681D20"/>
    <w:rsid w:val="00681D46"/>
    <w:rsid w:val="00681D62"/>
    <w:rsid w:val="00681ED2"/>
    <w:rsid w:val="006821C2"/>
    <w:rsid w:val="006829CF"/>
    <w:rsid w:val="00684395"/>
    <w:rsid w:val="006843D1"/>
    <w:rsid w:val="00684D06"/>
    <w:rsid w:val="0068535B"/>
    <w:rsid w:val="00685DCD"/>
    <w:rsid w:val="00686075"/>
    <w:rsid w:val="00686E44"/>
    <w:rsid w:val="0068706A"/>
    <w:rsid w:val="00687159"/>
    <w:rsid w:val="006879C8"/>
    <w:rsid w:val="0068D30D"/>
    <w:rsid w:val="006909E9"/>
    <w:rsid w:val="0069214F"/>
    <w:rsid w:val="006921DD"/>
    <w:rsid w:val="00692C42"/>
    <w:rsid w:val="00693693"/>
    <w:rsid w:val="0069385B"/>
    <w:rsid w:val="006949BB"/>
    <w:rsid w:val="00695394"/>
    <w:rsid w:val="00695B1B"/>
    <w:rsid w:val="0069615E"/>
    <w:rsid w:val="00696F46"/>
    <w:rsid w:val="006A0D78"/>
    <w:rsid w:val="006A18B3"/>
    <w:rsid w:val="006A36E4"/>
    <w:rsid w:val="006A38AE"/>
    <w:rsid w:val="006A486D"/>
    <w:rsid w:val="006A4AFD"/>
    <w:rsid w:val="006A624D"/>
    <w:rsid w:val="006A6F7F"/>
    <w:rsid w:val="006B0D06"/>
    <w:rsid w:val="006B0E36"/>
    <w:rsid w:val="006B0F2B"/>
    <w:rsid w:val="006B1170"/>
    <w:rsid w:val="006B2682"/>
    <w:rsid w:val="006B3F67"/>
    <w:rsid w:val="006B5076"/>
    <w:rsid w:val="006B50D4"/>
    <w:rsid w:val="006B6725"/>
    <w:rsid w:val="006B6C1C"/>
    <w:rsid w:val="006B710C"/>
    <w:rsid w:val="006B7816"/>
    <w:rsid w:val="006C1AFA"/>
    <w:rsid w:val="006C240C"/>
    <w:rsid w:val="006C2769"/>
    <w:rsid w:val="006C2DF5"/>
    <w:rsid w:val="006C3879"/>
    <w:rsid w:val="006C5291"/>
    <w:rsid w:val="006C5426"/>
    <w:rsid w:val="006C7878"/>
    <w:rsid w:val="006C7960"/>
    <w:rsid w:val="006C7B4D"/>
    <w:rsid w:val="006D0DB6"/>
    <w:rsid w:val="006D25BB"/>
    <w:rsid w:val="006D304F"/>
    <w:rsid w:val="006D363A"/>
    <w:rsid w:val="006D3BF5"/>
    <w:rsid w:val="006D5492"/>
    <w:rsid w:val="006D57FF"/>
    <w:rsid w:val="006D626D"/>
    <w:rsid w:val="006D67B9"/>
    <w:rsid w:val="006D7645"/>
    <w:rsid w:val="006D7D00"/>
    <w:rsid w:val="006E045D"/>
    <w:rsid w:val="006E12D4"/>
    <w:rsid w:val="006E1380"/>
    <w:rsid w:val="006E1E70"/>
    <w:rsid w:val="006E311E"/>
    <w:rsid w:val="006E3762"/>
    <w:rsid w:val="006E3821"/>
    <w:rsid w:val="006E4416"/>
    <w:rsid w:val="006E5181"/>
    <w:rsid w:val="006E690D"/>
    <w:rsid w:val="006E789B"/>
    <w:rsid w:val="006E7C4E"/>
    <w:rsid w:val="006F0156"/>
    <w:rsid w:val="006F0DD1"/>
    <w:rsid w:val="006F1C22"/>
    <w:rsid w:val="006F1CEC"/>
    <w:rsid w:val="006F2528"/>
    <w:rsid w:val="006F263E"/>
    <w:rsid w:val="006F2787"/>
    <w:rsid w:val="006F2D56"/>
    <w:rsid w:val="006F326F"/>
    <w:rsid w:val="006F4A04"/>
    <w:rsid w:val="006F6237"/>
    <w:rsid w:val="006F6524"/>
    <w:rsid w:val="006F7D2B"/>
    <w:rsid w:val="0070016B"/>
    <w:rsid w:val="007007A3"/>
    <w:rsid w:val="00700FD8"/>
    <w:rsid w:val="007031B7"/>
    <w:rsid w:val="007046C5"/>
    <w:rsid w:val="0070715D"/>
    <w:rsid w:val="00710A26"/>
    <w:rsid w:val="00711674"/>
    <w:rsid w:val="00711792"/>
    <w:rsid w:val="00712607"/>
    <w:rsid w:val="00712EB6"/>
    <w:rsid w:val="00713E95"/>
    <w:rsid w:val="00714BC4"/>
    <w:rsid w:val="00715220"/>
    <w:rsid w:val="00715222"/>
    <w:rsid w:val="0071549A"/>
    <w:rsid w:val="00716A54"/>
    <w:rsid w:val="007173BC"/>
    <w:rsid w:val="007176FE"/>
    <w:rsid w:val="0072076F"/>
    <w:rsid w:val="007211BE"/>
    <w:rsid w:val="00721D27"/>
    <w:rsid w:val="007224D4"/>
    <w:rsid w:val="007225C9"/>
    <w:rsid w:val="007229B6"/>
    <w:rsid w:val="00723659"/>
    <w:rsid w:val="007247B7"/>
    <w:rsid w:val="00725531"/>
    <w:rsid w:val="00726F02"/>
    <w:rsid w:val="0072720E"/>
    <w:rsid w:val="00727AFB"/>
    <w:rsid w:val="00727F10"/>
    <w:rsid w:val="00727FE7"/>
    <w:rsid w:val="007308FE"/>
    <w:rsid w:val="007310D9"/>
    <w:rsid w:val="007316D3"/>
    <w:rsid w:val="00731A13"/>
    <w:rsid w:val="007342E3"/>
    <w:rsid w:val="00734D72"/>
    <w:rsid w:val="00735480"/>
    <w:rsid w:val="007359C7"/>
    <w:rsid w:val="00736977"/>
    <w:rsid w:val="0073772C"/>
    <w:rsid w:val="007411B8"/>
    <w:rsid w:val="00741A5C"/>
    <w:rsid w:val="00742B4A"/>
    <w:rsid w:val="007449BF"/>
    <w:rsid w:val="00745FE6"/>
    <w:rsid w:val="0074788C"/>
    <w:rsid w:val="00751A9D"/>
    <w:rsid w:val="00752242"/>
    <w:rsid w:val="007535E7"/>
    <w:rsid w:val="00753A39"/>
    <w:rsid w:val="00755595"/>
    <w:rsid w:val="007557AF"/>
    <w:rsid w:val="00756037"/>
    <w:rsid w:val="00757FD8"/>
    <w:rsid w:val="007600C9"/>
    <w:rsid w:val="00760670"/>
    <w:rsid w:val="00761C71"/>
    <w:rsid w:val="007627B9"/>
    <w:rsid w:val="00762DDE"/>
    <w:rsid w:val="00763ED2"/>
    <w:rsid w:val="00763F5B"/>
    <w:rsid w:val="00766F20"/>
    <w:rsid w:val="00767112"/>
    <w:rsid w:val="00767472"/>
    <w:rsid w:val="00767A63"/>
    <w:rsid w:val="00767D38"/>
    <w:rsid w:val="00770976"/>
    <w:rsid w:val="00772B2E"/>
    <w:rsid w:val="007741C9"/>
    <w:rsid w:val="00775995"/>
    <w:rsid w:val="00776277"/>
    <w:rsid w:val="0077698F"/>
    <w:rsid w:val="007770BD"/>
    <w:rsid w:val="007804BF"/>
    <w:rsid w:val="00780E0D"/>
    <w:rsid w:val="0078168D"/>
    <w:rsid w:val="00781776"/>
    <w:rsid w:val="00783764"/>
    <w:rsid w:val="00783E66"/>
    <w:rsid w:val="007847A7"/>
    <w:rsid w:val="00785089"/>
    <w:rsid w:val="0078542D"/>
    <w:rsid w:val="00785DD9"/>
    <w:rsid w:val="007870CF"/>
    <w:rsid w:val="0078755A"/>
    <w:rsid w:val="00787E89"/>
    <w:rsid w:val="00791AF3"/>
    <w:rsid w:val="00793C75"/>
    <w:rsid w:val="007946EA"/>
    <w:rsid w:val="00794A5E"/>
    <w:rsid w:val="0079570B"/>
    <w:rsid w:val="00796589"/>
    <w:rsid w:val="00796D93"/>
    <w:rsid w:val="00797CE0"/>
    <w:rsid w:val="007A3FE5"/>
    <w:rsid w:val="007A45B7"/>
    <w:rsid w:val="007A4DC5"/>
    <w:rsid w:val="007A5167"/>
    <w:rsid w:val="007A649A"/>
    <w:rsid w:val="007A6AE5"/>
    <w:rsid w:val="007A6D89"/>
    <w:rsid w:val="007B0346"/>
    <w:rsid w:val="007B0B76"/>
    <w:rsid w:val="007B18F1"/>
    <w:rsid w:val="007B2A80"/>
    <w:rsid w:val="007B2B9E"/>
    <w:rsid w:val="007B2E0D"/>
    <w:rsid w:val="007B3143"/>
    <w:rsid w:val="007B3563"/>
    <w:rsid w:val="007B6DF2"/>
    <w:rsid w:val="007B6E5B"/>
    <w:rsid w:val="007C2B68"/>
    <w:rsid w:val="007C3544"/>
    <w:rsid w:val="007C4EF2"/>
    <w:rsid w:val="007C6787"/>
    <w:rsid w:val="007C7FEB"/>
    <w:rsid w:val="007D0565"/>
    <w:rsid w:val="007D310A"/>
    <w:rsid w:val="007D3F8F"/>
    <w:rsid w:val="007D418C"/>
    <w:rsid w:val="007D43AE"/>
    <w:rsid w:val="007D6F7D"/>
    <w:rsid w:val="007D7E03"/>
    <w:rsid w:val="007E1135"/>
    <w:rsid w:val="007E123A"/>
    <w:rsid w:val="007E13DB"/>
    <w:rsid w:val="007E22F7"/>
    <w:rsid w:val="007E2E82"/>
    <w:rsid w:val="007E4009"/>
    <w:rsid w:val="007E43EC"/>
    <w:rsid w:val="007E6FFE"/>
    <w:rsid w:val="007F0495"/>
    <w:rsid w:val="007F08CB"/>
    <w:rsid w:val="007F0DE2"/>
    <w:rsid w:val="007F11EA"/>
    <w:rsid w:val="007F131A"/>
    <w:rsid w:val="007F13C6"/>
    <w:rsid w:val="007F13D1"/>
    <w:rsid w:val="007F1E17"/>
    <w:rsid w:val="007F2661"/>
    <w:rsid w:val="007F3642"/>
    <w:rsid w:val="007F3648"/>
    <w:rsid w:val="007F3717"/>
    <w:rsid w:val="007F3D0C"/>
    <w:rsid w:val="007F418D"/>
    <w:rsid w:val="007F45B4"/>
    <w:rsid w:val="007F5DD2"/>
    <w:rsid w:val="007F6469"/>
    <w:rsid w:val="007F76C4"/>
    <w:rsid w:val="007F778F"/>
    <w:rsid w:val="00800328"/>
    <w:rsid w:val="0080136A"/>
    <w:rsid w:val="00801AAF"/>
    <w:rsid w:val="00801B64"/>
    <w:rsid w:val="0080295F"/>
    <w:rsid w:val="00802964"/>
    <w:rsid w:val="00802AA9"/>
    <w:rsid w:val="00803666"/>
    <w:rsid w:val="0080387B"/>
    <w:rsid w:val="00803A01"/>
    <w:rsid w:val="00804029"/>
    <w:rsid w:val="0080426C"/>
    <w:rsid w:val="008042C5"/>
    <w:rsid w:val="0080528F"/>
    <w:rsid w:val="00805D52"/>
    <w:rsid w:val="0080731D"/>
    <w:rsid w:val="00807A87"/>
    <w:rsid w:val="00812402"/>
    <w:rsid w:val="00812D11"/>
    <w:rsid w:val="00815AAA"/>
    <w:rsid w:val="00815E8F"/>
    <w:rsid w:val="008206F1"/>
    <w:rsid w:val="0082381D"/>
    <w:rsid w:val="008275C6"/>
    <w:rsid w:val="00827CAD"/>
    <w:rsid w:val="00827E74"/>
    <w:rsid w:val="008303AC"/>
    <w:rsid w:val="008307B1"/>
    <w:rsid w:val="008317C5"/>
    <w:rsid w:val="00831975"/>
    <w:rsid w:val="00832955"/>
    <w:rsid w:val="008343F0"/>
    <w:rsid w:val="00834482"/>
    <w:rsid w:val="00835E74"/>
    <w:rsid w:val="00836208"/>
    <w:rsid w:val="0083681E"/>
    <w:rsid w:val="00837F7C"/>
    <w:rsid w:val="008408B4"/>
    <w:rsid w:val="00841ABD"/>
    <w:rsid w:val="0084253B"/>
    <w:rsid w:val="0084330A"/>
    <w:rsid w:val="00843640"/>
    <w:rsid w:val="00844879"/>
    <w:rsid w:val="008467BD"/>
    <w:rsid w:val="00847DD0"/>
    <w:rsid w:val="00852731"/>
    <w:rsid w:val="00856A6C"/>
    <w:rsid w:val="00856DEE"/>
    <w:rsid w:val="0086123B"/>
    <w:rsid w:val="00861563"/>
    <w:rsid w:val="008618F5"/>
    <w:rsid w:val="00863CDD"/>
    <w:rsid w:val="008642C6"/>
    <w:rsid w:val="008647C5"/>
    <w:rsid w:val="00865224"/>
    <w:rsid w:val="008655FB"/>
    <w:rsid w:val="00865CA2"/>
    <w:rsid w:val="00867A22"/>
    <w:rsid w:val="00872377"/>
    <w:rsid w:val="008728FD"/>
    <w:rsid w:val="008735A6"/>
    <w:rsid w:val="00873644"/>
    <w:rsid w:val="00873BD8"/>
    <w:rsid w:val="00873F9F"/>
    <w:rsid w:val="00875487"/>
    <w:rsid w:val="00877E09"/>
    <w:rsid w:val="00880C11"/>
    <w:rsid w:val="00880D1C"/>
    <w:rsid w:val="00884EDC"/>
    <w:rsid w:val="00885FCD"/>
    <w:rsid w:val="008877C7"/>
    <w:rsid w:val="00890030"/>
    <w:rsid w:val="00890B2A"/>
    <w:rsid w:val="00890C69"/>
    <w:rsid w:val="008916DB"/>
    <w:rsid w:val="00892166"/>
    <w:rsid w:val="0089371E"/>
    <w:rsid w:val="00893728"/>
    <w:rsid w:val="008961C9"/>
    <w:rsid w:val="00897EAF"/>
    <w:rsid w:val="008A20E7"/>
    <w:rsid w:val="008A223C"/>
    <w:rsid w:val="008A2877"/>
    <w:rsid w:val="008A3B0D"/>
    <w:rsid w:val="008A3B2A"/>
    <w:rsid w:val="008A3C12"/>
    <w:rsid w:val="008A4DB8"/>
    <w:rsid w:val="008A524B"/>
    <w:rsid w:val="008A5892"/>
    <w:rsid w:val="008A66DB"/>
    <w:rsid w:val="008A6C91"/>
    <w:rsid w:val="008A7027"/>
    <w:rsid w:val="008A7D1D"/>
    <w:rsid w:val="008A7E51"/>
    <w:rsid w:val="008B047F"/>
    <w:rsid w:val="008B0614"/>
    <w:rsid w:val="008B0BBD"/>
    <w:rsid w:val="008B14E9"/>
    <w:rsid w:val="008B2A36"/>
    <w:rsid w:val="008B2C27"/>
    <w:rsid w:val="008B2CFE"/>
    <w:rsid w:val="008B4734"/>
    <w:rsid w:val="008B5D03"/>
    <w:rsid w:val="008B6304"/>
    <w:rsid w:val="008B685D"/>
    <w:rsid w:val="008B75B5"/>
    <w:rsid w:val="008C06B6"/>
    <w:rsid w:val="008C1B69"/>
    <w:rsid w:val="008C22A1"/>
    <w:rsid w:val="008C2CFF"/>
    <w:rsid w:val="008C3359"/>
    <w:rsid w:val="008C355E"/>
    <w:rsid w:val="008C384A"/>
    <w:rsid w:val="008C3E79"/>
    <w:rsid w:val="008C6211"/>
    <w:rsid w:val="008C74F0"/>
    <w:rsid w:val="008D01C3"/>
    <w:rsid w:val="008D0B8A"/>
    <w:rsid w:val="008D1089"/>
    <w:rsid w:val="008D17C3"/>
    <w:rsid w:val="008D1D54"/>
    <w:rsid w:val="008D1FFF"/>
    <w:rsid w:val="008D26E2"/>
    <w:rsid w:val="008D26F8"/>
    <w:rsid w:val="008D2842"/>
    <w:rsid w:val="008D2C21"/>
    <w:rsid w:val="008D3E76"/>
    <w:rsid w:val="008D41C5"/>
    <w:rsid w:val="008D6609"/>
    <w:rsid w:val="008D7836"/>
    <w:rsid w:val="008E0260"/>
    <w:rsid w:val="008E0435"/>
    <w:rsid w:val="008E1BBA"/>
    <w:rsid w:val="008E232B"/>
    <w:rsid w:val="008E2BC7"/>
    <w:rsid w:val="008E322E"/>
    <w:rsid w:val="008E34AF"/>
    <w:rsid w:val="008E5197"/>
    <w:rsid w:val="008E5513"/>
    <w:rsid w:val="008E5FE2"/>
    <w:rsid w:val="008E647E"/>
    <w:rsid w:val="008E6833"/>
    <w:rsid w:val="008E6A94"/>
    <w:rsid w:val="008E6DF0"/>
    <w:rsid w:val="008E727C"/>
    <w:rsid w:val="008F0603"/>
    <w:rsid w:val="008F1384"/>
    <w:rsid w:val="008F18AC"/>
    <w:rsid w:val="008F2C57"/>
    <w:rsid w:val="008F3016"/>
    <w:rsid w:val="008F4B41"/>
    <w:rsid w:val="008F506C"/>
    <w:rsid w:val="008F511B"/>
    <w:rsid w:val="008F7D2C"/>
    <w:rsid w:val="009009EC"/>
    <w:rsid w:val="00901531"/>
    <w:rsid w:val="00901E7D"/>
    <w:rsid w:val="00902688"/>
    <w:rsid w:val="009033C0"/>
    <w:rsid w:val="00903806"/>
    <w:rsid w:val="00904BD8"/>
    <w:rsid w:val="00906285"/>
    <w:rsid w:val="0090692A"/>
    <w:rsid w:val="0090700E"/>
    <w:rsid w:val="00907735"/>
    <w:rsid w:val="00907C31"/>
    <w:rsid w:val="00911ADC"/>
    <w:rsid w:val="00911D45"/>
    <w:rsid w:val="009120C5"/>
    <w:rsid w:val="00916791"/>
    <w:rsid w:val="00917632"/>
    <w:rsid w:val="00920A43"/>
    <w:rsid w:val="00920B37"/>
    <w:rsid w:val="00920F4D"/>
    <w:rsid w:val="009221A4"/>
    <w:rsid w:val="00922213"/>
    <w:rsid w:val="00924572"/>
    <w:rsid w:val="0092636F"/>
    <w:rsid w:val="009267C3"/>
    <w:rsid w:val="009278F9"/>
    <w:rsid w:val="00927CAB"/>
    <w:rsid w:val="00930092"/>
    <w:rsid w:val="0093390F"/>
    <w:rsid w:val="00933DA0"/>
    <w:rsid w:val="0093422D"/>
    <w:rsid w:val="00935118"/>
    <w:rsid w:val="009353CC"/>
    <w:rsid w:val="00935683"/>
    <w:rsid w:val="00936F84"/>
    <w:rsid w:val="009371F3"/>
    <w:rsid w:val="009422F9"/>
    <w:rsid w:val="009430F8"/>
    <w:rsid w:val="00943165"/>
    <w:rsid w:val="009440B1"/>
    <w:rsid w:val="00944F06"/>
    <w:rsid w:val="00945147"/>
    <w:rsid w:val="009454E1"/>
    <w:rsid w:val="00945CE5"/>
    <w:rsid w:val="00945E04"/>
    <w:rsid w:val="00946E3A"/>
    <w:rsid w:val="00947C6B"/>
    <w:rsid w:val="00947DAB"/>
    <w:rsid w:val="0095149A"/>
    <w:rsid w:val="009521B4"/>
    <w:rsid w:val="0095373F"/>
    <w:rsid w:val="0095423E"/>
    <w:rsid w:val="00955BAE"/>
    <w:rsid w:val="00956B15"/>
    <w:rsid w:val="00960E81"/>
    <w:rsid w:val="009621AE"/>
    <w:rsid w:val="00964981"/>
    <w:rsid w:val="00964AB3"/>
    <w:rsid w:val="00964C0D"/>
    <w:rsid w:val="00964F0D"/>
    <w:rsid w:val="009657EE"/>
    <w:rsid w:val="00966B20"/>
    <w:rsid w:val="00970181"/>
    <w:rsid w:val="009704FA"/>
    <w:rsid w:val="00970EE4"/>
    <w:rsid w:val="00971B20"/>
    <w:rsid w:val="0097271E"/>
    <w:rsid w:val="0097327C"/>
    <w:rsid w:val="0097329F"/>
    <w:rsid w:val="0097449A"/>
    <w:rsid w:val="00974B63"/>
    <w:rsid w:val="009756D7"/>
    <w:rsid w:val="00975C2C"/>
    <w:rsid w:val="00976E1E"/>
    <w:rsid w:val="009778E0"/>
    <w:rsid w:val="00980084"/>
    <w:rsid w:val="00980E46"/>
    <w:rsid w:val="00980E56"/>
    <w:rsid w:val="0098157F"/>
    <w:rsid w:val="00984C17"/>
    <w:rsid w:val="009866E5"/>
    <w:rsid w:val="0098678C"/>
    <w:rsid w:val="00987B39"/>
    <w:rsid w:val="00990B2B"/>
    <w:rsid w:val="00990DE5"/>
    <w:rsid w:val="00990E48"/>
    <w:rsid w:val="00990E75"/>
    <w:rsid w:val="00991169"/>
    <w:rsid w:val="00991946"/>
    <w:rsid w:val="009926FC"/>
    <w:rsid w:val="00993321"/>
    <w:rsid w:val="00993967"/>
    <w:rsid w:val="009946F7"/>
    <w:rsid w:val="00994856"/>
    <w:rsid w:val="00995845"/>
    <w:rsid w:val="00996332"/>
    <w:rsid w:val="009969A9"/>
    <w:rsid w:val="00996A51"/>
    <w:rsid w:val="00996BA2"/>
    <w:rsid w:val="009A0101"/>
    <w:rsid w:val="009A069E"/>
    <w:rsid w:val="009A0B96"/>
    <w:rsid w:val="009A1018"/>
    <w:rsid w:val="009A1DD5"/>
    <w:rsid w:val="009A20F3"/>
    <w:rsid w:val="009A3D4A"/>
    <w:rsid w:val="009A65D0"/>
    <w:rsid w:val="009A7DCA"/>
    <w:rsid w:val="009A7F54"/>
    <w:rsid w:val="009B1108"/>
    <w:rsid w:val="009B115A"/>
    <w:rsid w:val="009B15B4"/>
    <w:rsid w:val="009B2CCB"/>
    <w:rsid w:val="009B5E5D"/>
    <w:rsid w:val="009B5E74"/>
    <w:rsid w:val="009B7BB9"/>
    <w:rsid w:val="009C33A4"/>
    <w:rsid w:val="009C40EA"/>
    <w:rsid w:val="009C49CC"/>
    <w:rsid w:val="009C4C6C"/>
    <w:rsid w:val="009C73F5"/>
    <w:rsid w:val="009C7BDF"/>
    <w:rsid w:val="009D0583"/>
    <w:rsid w:val="009D0F61"/>
    <w:rsid w:val="009D353C"/>
    <w:rsid w:val="009D533D"/>
    <w:rsid w:val="009D55B4"/>
    <w:rsid w:val="009D64CC"/>
    <w:rsid w:val="009D6E6F"/>
    <w:rsid w:val="009D7D92"/>
    <w:rsid w:val="009E34AE"/>
    <w:rsid w:val="009E3E8D"/>
    <w:rsid w:val="009E4399"/>
    <w:rsid w:val="009E48A8"/>
    <w:rsid w:val="009E49CA"/>
    <w:rsid w:val="009E4A66"/>
    <w:rsid w:val="009E60E7"/>
    <w:rsid w:val="009E65F5"/>
    <w:rsid w:val="009E6FFE"/>
    <w:rsid w:val="009F019D"/>
    <w:rsid w:val="009F0426"/>
    <w:rsid w:val="009F4052"/>
    <w:rsid w:val="009F534A"/>
    <w:rsid w:val="009F5DC5"/>
    <w:rsid w:val="009F5EE4"/>
    <w:rsid w:val="009F665B"/>
    <w:rsid w:val="009F66DB"/>
    <w:rsid w:val="009F7C5E"/>
    <w:rsid w:val="00A01580"/>
    <w:rsid w:val="00A01BFF"/>
    <w:rsid w:val="00A01D51"/>
    <w:rsid w:val="00A023F8"/>
    <w:rsid w:val="00A0268E"/>
    <w:rsid w:val="00A02DDD"/>
    <w:rsid w:val="00A035BA"/>
    <w:rsid w:val="00A0423B"/>
    <w:rsid w:val="00A0698F"/>
    <w:rsid w:val="00A069FE"/>
    <w:rsid w:val="00A07653"/>
    <w:rsid w:val="00A10571"/>
    <w:rsid w:val="00A1161C"/>
    <w:rsid w:val="00A12022"/>
    <w:rsid w:val="00A13316"/>
    <w:rsid w:val="00A136DD"/>
    <w:rsid w:val="00A14C8C"/>
    <w:rsid w:val="00A161A8"/>
    <w:rsid w:val="00A20692"/>
    <w:rsid w:val="00A23458"/>
    <w:rsid w:val="00A24316"/>
    <w:rsid w:val="00A24B83"/>
    <w:rsid w:val="00A25365"/>
    <w:rsid w:val="00A254CF"/>
    <w:rsid w:val="00A26E31"/>
    <w:rsid w:val="00A3167F"/>
    <w:rsid w:val="00A31F84"/>
    <w:rsid w:val="00A3350E"/>
    <w:rsid w:val="00A349BC"/>
    <w:rsid w:val="00A34FE1"/>
    <w:rsid w:val="00A3501B"/>
    <w:rsid w:val="00A358EC"/>
    <w:rsid w:val="00A36579"/>
    <w:rsid w:val="00A36AD4"/>
    <w:rsid w:val="00A36ED5"/>
    <w:rsid w:val="00A37B00"/>
    <w:rsid w:val="00A37FE5"/>
    <w:rsid w:val="00A40C03"/>
    <w:rsid w:val="00A40F40"/>
    <w:rsid w:val="00A41272"/>
    <w:rsid w:val="00A42B5B"/>
    <w:rsid w:val="00A43A0F"/>
    <w:rsid w:val="00A47DF6"/>
    <w:rsid w:val="00A5012D"/>
    <w:rsid w:val="00A50271"/>
    <w:rsid w:val="00A5085A"/>
    <w:rsid w:val="00A50F8A"/>
    <w:rsid w:val="00A521C7"/>
    <w:rsid w:val="00A54466"/>
    <w:rsid w:val="00A54ACF"/>
    <w:rsid w:val="00A55AA0"/>
    <w:rsid w:val="00A601F9"/>
    <w:rsid w:val="00A60BB8"/>
    <w:rsid w:val="00A60C9D"/>
    <w:rsid w:val="00A61551"/>
    <w:rsid w:val="00A61775"/>
    <w:rsid w:val="00A61DE1"/>
    <w:rsid w:val="00A62128"/>
    <w:rsid w:val="00A623E0"/>
    <w:rsid w:val="00A62991"/>
    <w:rsid w:val="00A62B93"/>
    <w:rsid w:val="00A6446F"/>
    <w:rsid w:val="00A64CED"/>
    <w:rsid w:val="00A650E2"/>
    <w:rsid w:val="00A658A3"/>
    <w:rsid w:val="00A66196"/>
    <w:rsid w:val="00A66651"/>
    <w:rsid w:val="00A673CC"/>
    <w:rsid w:val="00A67AF0"/>
    <w:rsid w:val="00A67F78"/>
    <w:rsid w:val="00A70976"/>
    <w:rsid w:val="00A71CD2"/>
    <w:rsid w:val="00A7235E"/>
    <w:rsid w:val="00A724B2"/>
    <w:rsid w:val="00A734E7"/>
    <w:rsid w:val="00A76FE3"/>
    <w:rsid w:val="00A77FE7"/>
    <w:rsid w:val="00A80FCF"/>
    <w:rsid w:val="00A813D3"/>
    <w:rsid w:val="00A82B69"/>
    <w:rsid w:val="00A82F6B"/>
    <w:rsid w:val="00A8723E"/>
    <w:rsid w:val="00A8797E"/>
    <w:rsid w:val="00A90161"/>
    <w:rsid w:val="00A90970"/>
    <w:rsid w:val="00A928FF"/>
    <w:rsid w:val="00A94005"/>
    <w:rsid w:val="00A9433D"/>
    <w:rsid w:val="00A94EFE"/>
    <w:rsid w:val="00A95CB6"/>
    <w:rsid w:val="00A95D1D"/>
    <w:rsid w:val="00A966B1"/>
    <w:rsid w:val="00A96796"/>
    <w:rsid w:val="00A9789C"/>
    <w:rsid w:val="00AA038F"/>
    <w:rsid w:val="00AA137D"/>
    <w:rsid w:val="00AA1864"/>
    <w:rsid w:val="00AA21D3"/>
    <w:rsid w:val="00AA21F5"/>
    <w:rsid w:val="00AA22CB"/>
    <w:rsid w:val="00AA2D82"/>
    <w:rsid w:val="00AA3374"/>
    <w:rsid w:val="00AA3A5B"/>
    <w:rsid w:val="00AA5008"/>
    <w:rsid w:val="00AA5A9A"/>
    <w:rsid w:val="00AA7C1B"/>
    <w:rsid w:val="00AB083F"/>
    <w:rsid w:val="00AB129C"/>
    <w:rsid w:val="00AB17FF"/>
    <w:rsid w:val="00AB3613"/>
    <w:rsid w:val="00AB3A4C"/>
    <w:rsid w:val="00AB56DC"/>
    <w:rsid w:val="00AB7A63"/>
    <w:rsid w:val="00AC0CBB"/>
    <w:rsid w:val="00AC2A80"/>
    <w:rsid w:val="00AC34DA"/>
    <w:rsid w:val="00AC5231"/>
    <w:rsid w:val="00AC5A5F"/>
    <w:rsid w:val="00AC5E67"/>
    <w:rsid w:val="00AC64A0"/>
    <w:rsid w:val="00AD034A"/>
    <w:rsid w:val="00AD1243"/>
    <w:rsid w:val="00AD14B4"/>
    <w:rsid w:val="00AD169C"/>
    <w:rsid w:val="00AD2450"/>
    <w:rsid w:val="00AD2E40"/>
    <w:rsid w:val="00AD5904"/>
    <w:rsid w:val="00AD65BE"/>
    <w:rsid w:val="00AD6A38"/>
    <w:rsid w:val="00AD72B4"/>
    <w:rsid w:val="00AD7AA1"/>
    <w:rsid w:val="00AE3104"/>
    <w:rsid w:val="00AE43AD"/>
    <w:rsid w:val="00AE43BB"/>
    <w:rsid w:val="00AE4815"/>
    <w:rsid w:val="00AE53A6"/>
    <w:rsid w:val="00AE6B64"/>
    <w:rsid w:val="00AE6BB5"/>
    <w:rsid w:val="00AE73DC"/>
    <w:rsid w:val="00AE7710"/>
    <w:rsid w:val="00AF189B"/>
    <w:rsid w:val="00AF2CE8"/>
    <w:rsid w:val="00AF2F5F"/>
    <w:rsid w:val="00AF5B4E"/>
    <w:rsid w:val="00AF704D"/>
    <w:rsid w:val="00AF70F9"/>
    <w:rsid w:val="00AF7CEE"/>
    <w:rsid w:val="00AF7E69"/>
    <w:rsid w:val="00AF7F6F"/>
    <w:rsid w:val="00B00CC3"/>
    <w:rsid w:val="00B0265A"/>
    <w:rsid w:val="00B04A14"/>
    <w:rsid w:val="00B05053"/>
    <w:rsid w:val="00B056CC"/>
    <w:rsid w:val="00B058B6"/>
    <w:rsid w:val="00B075D7"/>
    <w:rsid w:val="00B13AB1"/>
    <w:rsid w:val="00B14AB5"/>
    <w:rsid w:val="00B14D9C"/>
    <w:rsid w:val="00B155FE"/>
    <w:rsid w:val="00B15A4C"/>
    <w:rsid w:val="00B15CA6"/>
    <w:rsid w:val="00B15F8D"/>
    <w:rsid w:val="00B17819"/>
    <w:rsid w:val="00B206C1"/>
    <w:rsid w:val="00B2202B"/>
    <w:rsid w:val="00B221B5"/>
    <w:rsid w:val="00B22BD9"/>
    <w:rsid w:val="00B2454C"/>
    <w:rsid w:val="00B247F2"/>
    <w:rsid w:val="00B2544B"/>
    <w:rsid w:val="00B26FCB"/>
    <w:rsid w:val="00B2734A"/>
    <w:rsid w:val="00B3244C"/>
    <w:rsid w:val="00B325C4"/>
    <w:rsid w:val="00B32682"/>
    <w:rsid w:val="00B33638"/>
    <w:rsid w:val="00B33C05"/>
    <w:rsid w:val="00B3469B"/>
    <w:rsid w:val="00B34A94"/>
    <w:rsid w:val="00B35B95"/>
    <w:rsid w:val="00B36150"/>
    <w:rsid w:val="00B37A83"/>
    <w:rsid w:val="00B40D0E"/>
    <w:rsid w:val="00B41B58"/>
    <w:rsid w:val="00B43A9F"/>
    <w:rsid w:val="00B44127"/>
    <w:rsid w:val="00B44CBF"/>
    <w:rsid w:val="00B44EBE"/>
    <w:rsid w:val="00B461A6"/>
    <w:rsid w:val="00B46352"/>
    <w:rsid w:val="00B46811"/>
    <w:rsid w:val="00B50B25"/>
    <w:rsid w:val="00B51261"/>
    <w:rsid w:val="00B54171"/>
    <w:rsid w:val="00B5600F"/>
    <w:rsid w:val="00B56CB1"/>
    <w:rsid w:val="00B60534"/>
    <w:rsid w:val="00B60C2E"/>
    <w:rsid w:val="00B6124E"/>
    <w:rsid w:val="00B622E5"/>
    <w:rsid w:val="00B62D08"/>
    <w:rsid w:val="00B63DA3"/>
    <w:rsid w:val="00B63EBC"/>
    <w:rsid w:val="00B64063"/>
    <w:rsid w:val="00B6763B"/>
    <w:rsid w:val="00B705F2"/>
    <w:rsid w:val="00B70AB8"/>
    <w:rsid w:val="00B70FE4"/>
    <w:rsid w:val="00B72569"/>
    <w:rsid w:val="00B728C5"/>
    <w:rsid w:val="00B72FDD"/>
    <w:rsid w:val="00B7456C"/>
    <w:rsid w:val="00B7458D"/>
    <w:rsid w:val="00B745F4"/>
    <w:rsid w:val="00B74F8E"/>
    <w:rsid w:val="00B75545"/>
    <w:rsid w:val="00B762E2"/>
    <w:rsid w:val="00B76645"/>
    <w:rsid w:val="00B771CD"/>
    <w:rsid w:val="00B81AB0"/>
    <w:rsid w:val="00B81C0A"/>
    <w:rsid w:val="00B8241D"/>
    <w:rsid w:val="00B83F74"/>
    <w:rsid w:val="00B843B9"/>
    <w:rsid w:val="00B8447F"/>
    <w:rsid w:val="00B844B7"/>
    <w:rsid w:val="00B84AD1"/>
    <w:rsid w:val="00B850B8"/>
    <w:rsid w:val="00B85AD1"/>
    <w:rsid w:val="00B91104"/>
    <w:rsid w:val="00B91ABD"/>
    <w:rsid w:val="00B92DCF"/>
    <w:rsid w:val="00B94CCA"/>
    <w:rsid w:val="00B95AD8"/>
    <w:rsid w:val="00B9640C"/>
    <w:rsid w:val="00B965D7"/>
    <w:rsid w:val="00B9670A"/>
    <w:rsid w:val="00B9709B"/>
    <w:rsid w:val="00B9738E"/>
    <w:rsid w:val="00B97A62"/>
    <w:rsid w:val="00BA016E"/>
    <w:rsid w:val="00BA04EA"/>
    <w:rsid w:val="00BA246F"/>
    <w:rsid w:val="00BA35CC"/>
    <w:rsid w:val="00BA38F7"/>
    <w:rsid w:val="00BA3B98"/>
    <w:rsid w:val="00BA415E"/>
    <w:rsid w:val="00BA5D1C"/>
    <w:rsid w:val="00BA6020"/>
    <w:rsid w:val="00BA60BB"/>
    <w:rsid w:val="00BA6169"/>
    <w:rsid w:val="00BA62C3"/>
    <w:rsid w:val="00BA6D82"/>
    <w:rsid w:val="00BB0472"/>
    <w:rsid w:val="00BB10E1"/>
    <w:rsid w:val="00BB12FE"/>
    <w:rsid w:val="00BB1BA6"/>
    <w:rsid w:val="00BB259D"/>
    <w:rsid w:val="00BB2A34"/>
    <w:rsid w:val="00BB3002"/>
    <w:rsid w:val="00BB4D90"/>
    <w:rsid w:val="00BB5D94"/>
    <w:rsid w:val="00BB5DF6"/>
    <w:rsid w:val="00BB75BE"/>
    <w:rsid w:val="00BB79F6"/>
    <w:rsid w:val="00BC03B1"/>
    <w:rsid w:val="00BC19CC"/>
    <w:rsid w:val="00BC2001"/>
    <w:rsid w:val="00BC24BF"/>
    <w:rsid w:val="00BC33ED"/>
    <w:rsid w:val="00BC4B9F"/>
    <w:rsid w:val="00BC6D2B"/>
    <w:rsid w:val="00BC74C4"/>
    <w:rsid w:val="00BD0DD5"/>
    <w:rsid w:val="00BD1758"/>
    <w:rsid w:val="00BD2A9C"/>
    <w:rsid w:val="00BD2D3C"/>
    <w:rsid w:val="00BD2E25"/>
    <w:rsid w:val="00BD37C8"/>
    <w:rsid w:val="00BD3CEA"/>
    <w:rsid w:val="00BD4776"/>
    <w:rsid w:val="00BD63FF"/>
    <w:rsid w:val="00BD6602"/>
    <w:rsid w:val="00BD6AF3"/>
    <w:rsid w:val="00BD70ED"/>
    <w:rsid w:val="00BD7229"/>
    <w:rsid w:val="00BD7C49"/>
    <w:rsid w:val="00BD7F31"/>
    <w:rsid w:val="00BE00CC"/>
    <w:rsid w:val="00BE055D"/>
    <w:rsid w:val="00BE0A4E"/>
    <w:rsid w:val="00BE0DA4"/>
    <w:rsid w:val="00BE0F9D"/>
    <w:rsid w:val="00BE2602"/>
    <w:rsid w:val="00BE3243"/>
    <w:rsid w:val="00BE354F"/>
    <w:rsid w:val="00BE3FC6"/>
    <w:rsid w:val="00BE4BAC"/>
    <w:rsid w:val="00BE530F"/>
    <w:rsid w:val="00BE5712"/>
    <w:rsid w:val="00BE7750"/>
    <w:rsid w:val="00BE7819"/>
    <w:rsid w:val="00BE7A65"/>
    <w:rsid w:val="00BF007B"/>
    <w:rsid w:val="00BF099A"/>
    <w:rsid w:val="00BF0B23"/>
    <w:rsid w:val="00BF4035"/>
    <w:rsid w:val="00BF48C3"/>
    <w:rsid w:val="00BF54DD"/>
    <w:rsid w:val="00BF550F"/>
    <w:rsid w:val="00BF5E09"/>
    <w:rsid w:val="00BF6A95"/>
    <w:rsid w:val="00BF7707"/>
    <w:rsid w:val="00C00710"/>
    <w:rsid w:val="00C012D1"/>
    <w:rsid w:val="00C01545"/>
    <w:rsid w:val="00C0256F"/>
    <w:rsid w:val="00C02661"/>
    <w:rsid w:val="00C02772"/>
    <w:rsid w:val="00C02F55"/>
    <w:rsid w:val="00C03376"/>
    <w:rsid w:val="00C03BE7"/>
    <w:rsid w:val="00C05249"/>
    <w:rsid w:val="00C063C3"/>
    <w:rsid w:val="00C07E8E"/>
    <w:rsid w:val="00C10ED3"/>
    <w:rsid w:val="00C1122D"/>
    <w:rsid w:val="00C1143E"/>
    <w:rsid w:val="00C11612"/>
    <w:rsid w:val="00C11940"/>
    <w:rsid w:val="00C127DE"/>
    <w:rsid w:val="00C12BFF"/>
    <w:rsid w:val="00C13291"/>
    <w:rsid w:val="00C13FAE"/>
    <w:rsid w:val="00C157A7"/>
    <w:rsid w:val="00C1582A"/>
    <w:rsid w:val="00C16149"/>
    <w:rsid w:val="00C178E3"/>
    <w:rsid w:val="00C21016"/>
    <w:rsid w:val="00C21761"/>
    <w:rsid w:val="00C2238F"/>
    <w:rsid w:val="00C224F5"/>
    <w:rsid w:val="00C24948"/>
    <w:rsid w:val="00C26184"/>
    <w:rsid w:val="00C261DC"/>
    <w:rsid w:val="00C268BB"/>
    <w:rsid w:val="00C268F4"/>
    <w:rsid w:val="00C27041"/>
    <w:rsid w:val="00C27BFB"/>
    <w:rsid w:val="00C27DF5"/>
    <w:rsid w:val="00C302BC"/>
    <w:rsid w:val="00C326EB"/>
    <w:rsid w:val="00C32924"/>
    <w:rsid w:val="00C32D53"/>
    <w:rsid w:val="00C33C0A"/>
    <w:rsid w:val="00C35CE2"/>
    <w:rsid w:val="00C35E13"/>
    <w:rsid w:val="00C36894"/>
    <w:rsid w:val="00C36A62"/>
    <w:rsid w:val="00C435AC"/>
    <w:rsid w:val="00C45E7A"/>
    <w:rsid w:val="00C46F63"/>
    <w:rsid w:val="00C4762E"/>
    <w:rsid w:val="00C50404"/>
    <w:rsid w:val="00C5054A"/>
    <w:rsid w:val="00C50EDF"/>
    <w:rsid w:val="00C52FED"/>
    <w:rsid w:val="00C5351F"/>
    <w:rsid w:val="00C53734"/>
    <w:rsid w:val="00C539FB"/>
    <w:rsid w:val="00C53C2A"/>
    <w:rsid w:val="00C54B21"/>
    <w:rsid w:val="00C561BC"/>
    <w:rsid w:val="00C566FB"/>
    <w:rsid w:val="00C56FEF"/>
    <w:rsid w:val="00C56FF4"/>
    <w:rsid w:val="00C61227"/>
    <w:rsid w:val="00C6157D"/>
    <w:rsid w:val="00C61D07"/>
    <w:rsid w:val="00C62668"/>
    <w:rsid w:val="00C63C88"/>
    <w:rsid w:val="00C63F26"/>
    <w:rsid w:val="00C64C54"/>
    <w:rsid w:val="00C65238"/>
    <w:rsid w:val="00C70F04"/>
    <w:rsid w:val="00C72068"/>
    <w:rsid w:val="00C74131"/>
    <w:rsid w:val="00C74E0F"/>
    <w:rsid w:val="00C75D5A"/>
    <w:rsid w:val="00C75E27"/>
    <w:rsid w:val="00C75EE6"/>
    <w:rsid w:val="00C75F9B"/>
    <w:rsid w:val="00C7666C"/>
    <w:rsid w:val="00C768D3"/>
    <w:rsid w:val="00C770F2"/>
    <w:rsid w:val="00C7762C"/>
    <w:rsid w:val="00C776A0"/>
    <w:rsid w:val="00C8266F"/>
    <w:rsid w:val="00C83323"/>
    <w:rsid w:val="00C83548"/>
    <w:rsid w:val="00C859BE"/>
    <w:rsid w:val="00C86437"/>
    <w:rsid w:val="00C86618"/>
    <w:rsid w:val="00C86EA4"/>
    <w:rsid w:val="00C87225"/>
    <w:rsid w:val="00C872F4"/>
    <w:rsid w:val="00C87909"/>
    <w:rsid w:val="00C91648"/>
    <w:rsid w:val="00C9408B"/>
    <w:rsid w:val="00C948F5"/>
    <w:rsid w:val="00C94EDE"/>
    <w:rsid w:val="00C950DD"/>
    <w:rsid w:val="00C95900"/>
    <w:rsid w:val="00C9659F"/>
    <w:rsid w:val="00C97255"/>
    <w:rsid w:val="00C97321"/>
    <w:rsid w:val="00CA0692"/>
    <w:rsid w:val="00CA0CD3"/>
    <w:rsid w:val="00CA0CEB"/>
    <w:rsid w:val="00CA1438"/>
    <w:rsid w:val="00CA1C2C"/>
    <w:rsid w:val="00CA3468"/>
    <w:rsid w:val="00CA5425"/>
    <w:rsid w:val="00CA629D"/>
    <w:rsid w:val="00CA6D70"/>
    <w:rsid w:val="00CA7B88"/>
    <w:rsid w:val="00CB01DA"/>
    <w:rsid w:val="00CB07DE"/>
    <w:rsid w:val="00CB09E7"/>
    <w:rsid w:val="00CB1A82"/>
    <w:rsid w:val="00CB1AB8"/>
    <w:rsid w:val="00CB3696"/>
    <w:rsid w:val="00CB4082"/>
    <w:rsid w:val="00CB459B"/>
    <w:rsid w:val="00CB571B"/>
    <w:rsid w:val="00CB5AB3"/>
    <w:rsid w:val="00CB6C6E"/>
    <w:rsid w:val="00CB6F27"/>
    <w:rsid w:val="00CB7E48"/>
    <w:rsid w:val="00CB7FE1"/>
    <w:rsid w:val="00CC075B"/>
    <w:rsid w:val="00CC0866"/>
    <w:rsid w:val="00CC0CAD"/>
    <w:rsid w:val="00CC0F4E"/>
    <w:rsid w:val="00CC11BD"/>
    <w:rsid w:val="00CC18D6"/>
    <w:rsid w:val="00CC24D0"/>
    <w:rsid w:val="00CC4689"/>
    <w:rsid w:val="00CC5289"/>
    <w:rsid w:val="00CC54EB"/>
    <w:rsid w:val="00CC703F"/>
    <w:rsid w:val="00CC706B"/>
    <w:rsid w:val="00CC73DD"/>
    <w:rsid w:val="00CC7777"/>
    <w:rsid w:val="00CD0671"/>
    <w:rsid w:val="00CD06BE"/>
    <w:rsid w:val="00CD0F03"/>
    <w:rsid w:val="00CD1AC2"/>
    <w:rsid w:val="00CD1AD4"/>
    <w:rsid w:val="00CD1BD7"/>
    <w:rsid w:val="00CD1DE1"/>
    <w:rsid w:val="00CD2095"/>
    <w:rsid w:val="00CD426F"/>
    <w:rsid w:val="00CD45B0"/>
    <w:rsid w:val="00CE01FC"/>
    <w:rsid w:val="00CE0C34"/>
    <w:rsid w:val="00CE0CA4"/>
    <w:rsid w:val="00CE0F40"/>
    <w:rsid w:val="00CE12F5"/>
    <w:rsid w:val="00CE1608"/>
    <w:rsid w:val="00CE17C9"/>
    <w:rsid w:val="00CE1DF7"/>
    <w:rsid w:val="00CE28E8"/>
    <w:rsid w:val="00CE4482"/>
    <w:rsid w:val="00CE4893"/>
    <w:rsid w:val="00CE4C8C"/>
    <w:rsid w:val="00CE5744"/>
    <w:rsid w:val="00CE7F07"/>
    <w:rsid w:val="00CF07A5"/>
    <w:rsid w:val="00CF0DB6"/>
    <w:rsid w:val="00CF15E7"/>
    <w:rsid w:val="00CF171E"/>
    <w:rsid w:val="00CF1732"/>
    <w:rsid w:val="00CF533D"/>
    <w:rsid w:val="00CF551C"/>
    <w:rsid w:val="00CF5F2A"/>
    <w:rsid w:val="00CF667E"/>
    <w:rsid w:val="00CF75FB"/>
    <w:rsid w:val="00CF7986"/>
    <w:rsid w:val="00D008E3"/>
    <w:rsid w:val="00D00FFE"/>
    <w:rsid w:val="00D05101"/>
    <w:rsid w:val="00D0533C"/>
    <w:rsid w:val="00D06976"/>
    <w:rsid w:val="00D07BD8"/>
    <w:rsid w:val="00D07EA5"/>
    <w:rsid w:val="00D10EA2"/>
    <w:rsid w:val="00D11009"/>
    <w:rsid w:val="00D119C2"/>
    <w:rsid w:val="00D12DA6"/>
    <w:rsid w:val="00D14F38"/>
    <w:rsid w:val="00D1616F"/>
    <w:rsid w:val="00D161C0"/>
    <w:rsid w:val="00D16D89"/>
    <w:rsid w:val="00D21BAC"/>
    <w:rsid w:val="00D21C70"/>
    <w:rsid w:val="00D226F1"/>
    <w:rsid w:val="00D22ED2"/>
    <w:rsid w:val="00D23D8F"/>
    <w:rsid w:val="00D23FEB"/>
    <w:rsid w:val="00D23FED"/>
    <w:rsid w:val="00D252B3"/>
    <w:rsid w:val="00D258D9"/>
    <w:rsid w:val="00D25B6E"/>
    <w:rsid w:val="00D3076A"/>
    <w:rsid w:val="00D30DEE"/>
    <w:rsid w:val="00D31737"/>
    <w:rsid w:val="00D32B0C"/>
    <w:rsid w:val="00D33705"/>
    <w:rsid w:val="00D33920"/>
    <w:rsid w:val="00D33A8A"/>
    <w:rsid w:val="00D33B8F"/>
    <w:rsid w:val="00D34CD7"/>
    <w:rsid w:val="00D35813"/>
    <w:rsid w:val="00D36123"/>
    <w:rsid w:val="00D3672D"/>
    <w:rsid w:val="00D36A8C"/>
    <w:rsid w:val="00D371DA"/>
    <w:rsid w:val="00D40DD1"/>
    <w:rsid w:val="00D4148C"/>
    <w:rsid w:val="00D41A00"/>
    <w:rsid w:val="00D424B8"/>
    <w:rsid w:val="00D436B8"/>
    <w:rsid w:val="00D4434A"/>
    <w:rsid w:val="00D44A68"/>
    <w:rsid w:val="00D45ADC"/>
    <w:rsid w:val="00D479D4"/>
    <w:rsid w:val="00D503EA"/>
    <w:rsid w:val="00D5055E"/>
    <w:rsid w:val="00D50A39"/>
    <w:rsid w:val="00D50A45"/>
    <w:rsid w:val="00D511E9"/>
    <w:rsid w:val="00D51456"/>
    <w:rsid w:val="00D515C5"/>
    <w:rsid w:val="00D545F7"/>
    <w:rsid w:val="00D557C7"/>
    <w:rsid w:val="00D5594E"/>
    <w:rsid w:val="00D55A78"/>
    <w:rsid w:val="00D5677F"/>
    <w:rsid w:val="00D569CA"/>
    <w:rsid w:val="00D57B63"/>
    <w:rsid w:val="00D6008D"/>
    <w:rsid w:val="00D615EC"/>
    <w:rsid w:val="00D6274C"/>
    <w:rsid w:val="00D62835"/>
    <w:rsid w:val="00D63897"/>
    <w:rsid w:val="00D63A8A"/>
    <w:rsid w:val="00D6549E"/>
    <w:rsid w:val="00D65C55"/>
    <w:rsid w:val="00D661F0"/>
    <w:rsid w:val="00D6691A"/>
    <w:rsid w:val="00D67277"/>
    <w:rsid w:val="00D67AF4"/>
    <w:rsid w:val="00D7202A"/>
    <w:rsid w:val="00D72777"/>
    <w:rsid w:val="00D7299C"/>
    <w:rsid w:val="00D73002"/>
    <w:rsid w:val="00D7302C"/>
    <w:rsid w:val="00D754E0"/>
    <w:rsid w:val="00D76BD4"/>
    <w:rsid w:val="00D77DDB"/>
    <w:rsid w:val="00D80FC9"/>
    <w:rsid w:val="00D81D3D"/>
    <w:rsid w:val="00D81D97"/>
    <w:rsid w:val="00D8222A"/>
    <w:rsid w:val="00D843D9"/>
    <w:rsid w:val="00D84846"/>
    <w:rsid w:val="00D86367"/>
    <w:rsid w:val="00D86A94"/>
    <w:rsid w:val="00D870CF"/>
    <w:rsid w:val="00D877E7"/>
    <w:rsid w:val="00D87F61"/>
    <w:rsid w:val="00D90B5A"/>
    <w:rsid w:val="00D916FA"/>
    <w:rsid w:val="00D91A99"/>
    <w:rsid w:val="00D92214"/>
    <w:rsid w:val="00D92384"/>
    <w:rsid w:val="00D925F7"/>
    <w:rsid w:val="00D9414C"/>
    <w:rsid w:val="00D96195"/>
    <w:rsid w:val="00D968BE"/>
    <w:rsid w:val="00DA143F"/>
    <w:rsid w:val="00DA15B5"/>
    <w:rsid w:val="00DA1682"/>
    <w:rsid w:val="00DA1C11"/>
    <w:rsid w:val="00DA2C78"/>
    <w:rsid w:val="00DA30F4"/>
    <w:rsid w:val="00DA363F"/>
    <w:rsid w:val="00DA4434"/>
    <w:rsid w:val="00DA488F"/>
    <w:rsid w:val="00DA4FBC"/>
    <w:rsid w:val="00DA541C"/>
    <w:rsid w:val="00DA547D"/>
    <w:rsid w:val="00DA6CEE"/>
    <w:rsid w:val="00DA72D2"/>
    <w:rsid w:val="00DA7965"/>
    <w:rsid w:val="00DB02A9"/>
    <w:rsid w:val="00DB07FB"/>
    <w:rsid w:val="00DB12ED"/>
    <w:rsid w:val="00DB1326"/>
    <w:rsid w:val="00DB2547"/>
    <w:rsid w:val="00DB3DD8"/>
    <w:rsid w:val="00DB465D"/>
    <w:rsid w:val="00DB4F77"/>
    <w:rsid w:val="00DB6953"/>
    <w:rsid w:val="00DB7DE0"/>
    <w:rsid w:val="00DC0B89"/>
    <w:rsid w:val="00DC15E6"/>
    <w:rsid w:val="00DC1F02"/>
    <w:rsid w:val="00DC22D9"/>
    <w:rsid w:val="00DC31DE"/>
    <w:rsid w:val="00DC46C9"/>
    <w:rsid w:val="00DC4E7F"/>
    <w:rsid w:val="00DC5639"/>
    <w:rsid w:val="00DC67AB"/>
    <w:rsid w:val="00DD0EAE"/>
    <w:rsid w:val="00DD1BB1"/>
    <w:rsid w:val="00DD1EE7"/>
    <w:rsid w:val="00DD25C1"/>
    <w:rsid w:val="00DD30E6"/>
    <w:rsid w:val="00DD3916"/>
    <w:rsid w:val="00DD6B24"/>
    <w:rsid w:val="00DD7C34"/>
    <w:rsid w:val="00DD7FD1"/>
    <w:rsid w:val="00DE084E"/>
    <w:rsid w:val="00DE1B2C"/>
    <w:rsid w:val="00DE4C96"/>
    <w:rsid w:val="00DE7A5C"/>
    <w:rsid w:val="00DE7C03"/>
    <w:rsid w:val="00DF0A34"/>
    <w:rsid w:val="00DF1268"/>
    <w:rsid w:val="00DF1E55"/>
    <w:rsid w:val="00DF5152"/>
    <w:rsid w:val="00DF5E25"/>
    <w:rsid w:val="00DF63FB"/>
    <w:rsid w:val="00DF745B"/>
    <w:rsid w:val="00DF7F4C"/>
    <w:rsid w:val="00E012DF"/>
    <w:rsid w:val="00E022A9"/>
    <w:rsid w:val="00E02497"/>
    <w:rsid w:val="00E02EEE"/>
    <w:rsid w:val="00E0335A"/>
    <w:rsid w:val="00E03905"/>
    <w:rsid w:val="00E039B7"/>
    <w:rsid w:val="00E03AA3"/>
    <w:rsid w:val="00E03D9E"/>
    <w:rsid w:val="00E049D4"/>
    <w:rsid w:val="00E04BAA"/>
    <w:rsid w:val="00E055C2"/>
    <w:rsid w:val="00E07128"/>
    <w:rsid w:val="00E12802"/>
    <w:rsid w:val="00E12F87"/>
    <w:rsid w:val="00E13207"/>
    <w:rsid w:val="00E14619"/>
    <w:rsid w:val="00E1511E"/>
    <w:rsid w:val="00E1527D"/>
    <w:rsid w:val="00E16566"/>
    <w:rsid w:val="00E166FB"/>
    <w:rsid w:val="00E167FF"/>
    <w:rsid w:val="00E17156"/>
    <w:rsid w:val="00E17A94"/>
    <w:rsid w:val="00E20C14"/>
    <w:rsid w:val="00E2147C"/>
    <w:rsid w:val="00E21AA5"/>
    <w:rsid w:val="00E23C29"/>
    <w:rsid w:val="00E23EA4"/>
    <w:rsid w:val="00E23FFC"/>
    <w:rsid w:val="00E26F1E"/>
    <w:rsid w:val="00E27C2A"/>
    <w:rsid w:val="00E27C42"/>
    <w:rsid w:val="00E301CF"/>
    <w:rsid w:val="00E31F7A"/>
    <w:rsid w:val="00E3367D"/>
    <w:rsid w:val="00E36984"/>
    <w:rsid w:val="00E373AC"/>
    <w:rsid w:val="00E37BB5"/>
    <w:rsid w:val="00E37F8C"/>
    <w:rsid w:val="00E4062F"/>
    <w:rsid w:val="00E4131E"/>
    <w:rsid w:val="00E41BFB"/>
    <w:rsid w:val="00E42061"/>
    <w:rsid w:val="00E424F3"/>
    <w:rsid w:val="00E4406D"/>
    <w:rsid w:val="00E440AB"/>
    <w:rsid w:val="00E449FD"/>
    <w:rsid w:val="00E45B6C"/>
    <w:rsid w:val="00E46055"/>
    <w:rsid w:val="00E46CB1"/>
    <w:rsid w:val="00E501C9"/>
    <w:rsid w:val="00E519BA"/>
    <w:rsid w:val="00E53B23"/>
    <w:rsid w:val="00E5484A"/>
    <w:rsid w:val="00E55CD7"/>
    <w:rsid w:val="00E561AD"/>
    <w:rsid w:val="00E56767"/>
    <w:rsid w:val="00E56F21"/>
    <w:rsid w:val="00E601EF"/>
    <w:rsid w:val="00E60670"/>
    <w:rsid w:val="00E60EB9"/>
    <w:rsid w:val="00E61389"/>
    <w:rsid w:val="00E632CB"/>
    <w:rsid w:val="00E63B72"/>
    <w:rsid w:val="00E63B79"/>
    <w:rsid w:val="00E668D9"/>
    <w:rsid w:val="00E66F43"/>
    <w:rsid w:val="00E67620"/>
    <w:rsid w:val="00E702C2"/>
    <w:rsid w:val="00E71F61"/>
    <w:rsid w:val="00E72811"/>
    <w:rsid w:val="00E72CB2"/>
    <w:rsid w:val="00E73AD4"/>
    <w:rsid w:val="00E80093"/>
    <w:rsid w:val="00E81967"/>
    <w:rsid w:val="00E82306"/>
    <w:rsid w:val="00E82327"/>
    <w:rsid w:val="00E823A7"/>
    <w:rsid w:val="00E83065"/>
    <w:rsid w:val="00E832D7"/>
    <w:rsid w:val="00E838BF"/>
    <w:rsid w:val="00E83D72"/>
    <w:rsid w:val="00E8589D"/>
    <w:rsid w:val="00E86C99"/>
    <w:rsid w:val="00E86D49"/>
    <w:rsid w:val="00E8721F"/>
    <w:rsid w:val="00E87537"/>
    <w:rsid w:val="00E9154C"/>
    <w:rsid w:val="00E92BE7"/>
    <w:rsid w:val="00E942CF"/>
    <w:rsid w:val="00E943EC"/>
    <w:rsid w:val="00E94D1D"/>
    <w:rsid w:val="00E95EB8"/>
    <w:rsid w:val="00E96D02"/>
    <w:rsid w:val="00E97147"/>
    <w:rsid w:val="00E97430"/>
    <w:rsid w:val="00E978B6"/>
    <w:rsid w:val="00E97B76"/>
    <w:rsid w:val="00EA0D4A"/>
    <w:rsid w:val="00EA0EF7"/>
    <w:rsid w:val="00EA1037"/>
    <w:rsid w:val="00EA1F58"/>
    <w:rsid w:val="00EA29C4"/>
    <w:rsid w:val="00EA2D3A"/>
    <w:rsid w:val="00EA2DF8"/>
    <w:rsid w:val="00EA3422"/>
    <w:rsid w:val="00EA375F"/>
    <w:rsid w:val="00EA3C09"/>
    <w:rsid w:val="00EA3C9E"/>
    <w:rsid w:val="00EA435E"/>
    <w:rsid w:val="00EA5289"/>
    <w:rsid w:val="00EA52A9"/>
    <w:rsid w:val="00EA5C30"/>
    <w:rsid w:val="00EA626E"/>
    <w:rsid w:val="00EA7832"/>
    <w:rsid w:val="00EB1269"/>
    <w:rsid w:val="00EB1850"/>
    <w:rsid w:val="00EB26A0"/>
    <w:rsid w:val="00EB382B"/>
    <w:rsid w:val="00EB5F9F"/>
    <w:rsid w:val="00EB62E4"/>
    <w:rsid w:val="00EB7ACF"/>
    <w:rsid w:val="00EC00A2"/>
    <w:rsid w:val="00EC0376"/>
    <w:rsid w:val="00EC0C4A"/>
    <w:rsid w:val="00EC2203"/>
    <w:rsid w:val="00EC3394"/>
    <w:rsid w:val="00EC3951"/>
    <w:rsid w:val="00EC3CCC"/>
    <w:rsid w:val="00EC421A"/>
    <w:rsid w:val="00EC589B"/>
    <w:rsid w:val="00EC69BA"/>
    <w:rsid w:val="00ED0EA7"/>
    <w:rsid w:val="00ED1137"/>
    <w:rsid w:val="00ED17C4"/>
    <w:rsid w:val="00ED1AEF"/>
    <w:rsid w:val="00ED219E"/>
    <w:rsid w:val="00ED2D97"/>
    <w:rsid w:val="00ED40C7"/>
    <w:rsid w:val="00ED4A6F"/>
    <w:rsid w:val="00ED57BA"/>
    <w:rsid w:val="00ED6136"/>
    <w:rsid w:val="00ED79CF"/>
    <w:rsid w:val="00EE0057"/>
    <w:rsid w:val="00EE1DAE"/>
    <w:rsid w:val="00EE1E12"/>
    <w:rsid w:val="00EE2213"/>
    <w:rsid w:val="00EE2890"/>
    <w:rsid w:val="00EE3119"/>
    <w:rsid w:val="00EE34BB"/>
    <w:rsid w:val="00EE3EB9"/>
    <w:rsid w:val="00EE444B"/>
    <w:rsid w:val="00EE5EA4"/>
    <w:rsid w:val="00EF002E"/>
    <w:rsid w:val="00EF11DF"/>
    <w:rsid w:val="00EF14BD"/>
    <w:rsid w:val="00EF1F5B"/>
    <w:rsid w:val="00EF22AA"/>
    <w:rsid w:val="00EF31E7"/>
    <w:rsid w:val="00EF497F"/>
    <w:rsid w:val="00EF4EF8"/>
    <w:rsid w:val="00EF5F48"/>
    <w:rsid w:val="00EF6267"/>
    <w:rsid w:val="00EF6820"/>
    <w:rsid w:val="00EF717B"/>
    <w:rsid w:val="00F01437"/>
    <w:rsid w:val="00F01A63"/>
    <w:rsid w:val="00F01C3C"/>
    <w:rsid w:val="00F030E1"/>
    <w:rsid w:val="00F03965"/>
    <w:rsid w:val="00F05220"/>
    <w:rsid w:val="00F05815"/>
    <w:rsid w:val="00F06549"/>
    <w:rsid w:val="00F07044"/>
    <w:rsid w:val="00F07986"/>
    <w:rsid w:val="00F1118B"/>
    <w:rsid w:val="00F11762"/>
    <w:rsid w:val="00F153EF"/>
    <w:rsid w:val="00F15E03"/>
    <w:rsid w:val="00F208E4"/>
    <w:rsid w:val="00F22077"/>
    <w:rsid w:val="00F224A0"/>
    <w:rsid w:val="00F22614"/>
    <w:rsid w:val="00F23B75"/>
    <w:rsid w:val="00F249DA"/>
    <w:rsid w:val="00F251BE"/>
    <w:rsid w:val="00F26244"/>
    <w:rsid w:val="00F26645"/>
    <w:rsid w:val="00F27EFB"/>
    <w:rsid w:val="00F30362"/>
    <w:rsid w:val="00F314E1"/>
    <w:rsid w:val="00F33AE7"/>
    <w:rsid w:val="00F34521"/>
    <w:rsid w:val="00F3505B"/>
    <w:rsid w:val="00F35767"/>
    <w:rsid w:val="00F357B2"/>
    <w:rsid w:val="00F3632E"/>
    <w:rsid w:val="00F36C3F"/>
    <w:rsid w:val="00F36DA2"/>
    <w:rsid w:val="00F37865"/>
    <w:rsid w:val="00F37E95"/>
    <w:rsid w:val="00F40920"/>
    <w:rsid w:val="00F40BBC"/>
    <w:rsid w:val="00F410C0"/>
    <w:rsid w:val="00F41577"/>
    <w:rsid w:val="00F4169D"/>
    <w:rsid w:val="00F43D33"/>
    <w:rsid w:val="00F46F72"/>
    <w:rsid w:val="00F46F83"/>
    <w:rsid w:val="00F47184"/>
    <w:rsid w:val="00F50CFA"/>
    <w:rsid w:val="00F514AA"/>
    <w:rsid w:val="00F51BBF"/>
    <w:rsid w:val="00F53DB5"/>
    <w:rsid w:val="00F5521A"/>
    <w:rsid w:val="00F56068"/>
    <w:rsid w:val="00F57CC6"/>
    <w:rsid w:val="00F6044E"/>
    <w:rsid w:val="00F6258B"/>
    <w:rsid w:val="00F62EC5"/>
    <w:rsid w:val="00F632DF"/>
    <w:rsid w:val="00F63F2A"/>
    <w:rsid w:val="00F6478D"/>
    <w:rsid w:val="00F67501"/>
    <w:rsid w:val="00F708B2"/>
    <w:rsid w:val="00F71CAC"/>
    <w:rsid w:val="00F71FDE"/>
    <w:rsid w:val="00F72867"/>
    <w:rsid w:val="00F73CB9"/>
    <w:rsid w:val="00F748ED"/>
    <w:rsid w:val="00F7556A"/>
    <w:rsid w:val="00F75868"/>
    <w:rsid w:val="00F76EE9"/>
    <w:rsid w:val="00F805AE"/>
    <w:rsid w:val="00F80AB9"/>
    <w:rsid w:val="00F8132B"/>
    <w:rsid w:val="00F840EB"/>
    <w:rsid w:val="00F8490D"/>
    <w:rsid w:val="00F859E0"/>
    <w:rsid w:val="00F90893"/>
    <w:rsid w:val="00F92C4C"/>
    <w:rsid w:val="00F93A93"/>
    <w:rsid w:val="00F9424C"/>
    <w:rsid w:val="00F946AB"/>
    <w:rsid w:val="00F95FB2"/>
    <w:rsid w:val="00F97910"/>
    <w:rsid w:val="00F97A64"/>
    <w:rsid w:val="00FA054E"/>
    <w:rsid w:val="00FA0C97"/>
    <w:rsid w:val="00FA16EC"/>
    <w:rsid w:val="00FA31A9"/>
    <w:rsid w:val="00FA3BFF"/>
    <w:rsid w:val="00FA4634"/>
    <w:rsid w:val="00FA4EE4"/>
    <w:rsid w:val="00FA5AA9"/>
    <w:rsid w:val="00FA5E77"/>
    <w:rsid w:val="00FA6A81"/>
    <w:rsid w:val="00FA7FDB"/>
    <w:rsid w:val="00FB114C"/>
    <w:rsid w:val="00FB1921"/>
    <w:rsid w:val="00FB23DF"/>
    <w:rsid w:val="00FB287A"/>
    <w:rsid w:val="00FB28BD"/>
    <w:rsid w:val="00FB35A4"/>
    <w:rsid w:val="00FB4A1D"/>
    <w:rsid w:val="00FB59DC"/>
    <w:rsid w:val="00FB7355"/>
    <w:rsid w:val="00FC0D58"/>
    <w:rsid w:val="00FC114E"/>
    <w:rsid w:val="00FC2081"/>
    <w:rsid w:val="00FC4076"/>
    <w:rsid w:val="00FC49F4"/>
    <w:rsid w:val="00FC4ADF"/>
    <w:rsid w:val="00FC4CD2"/>
    <w:rsid w:val="00FC4CF0"/>
    <w:rsid w:val="00FC4EDF"/>
    <w:rsid w:val="00FC4F7E"/>
    <w:rsid w:val="00FC6530"/>
    <w:rsid w:val="00FC73A6"/>
    <w:rsid w:val="00FC7D15"/>
    <w:rsid w:val="00FC7DF0"/>
    <w:rsid w:val="00FD0226"/>
    <w:rsid w:val="00FD0BA2"/>
    <w:rsid w:val="00FD1735"/>
    <w:rsid w:val="00FD2910"/>
    <w:rsid w:val="00FD3C21"/>
    <w:rsid w:val="00FD3F05"/>
    <w:rsid w:val="00FD426A"/>
    <w:rsid w:val="00FD465B"/>
    <w:rsid w:val="00FD46EE"/>
    <w:rsid w:val="00FD65B4"/>
    <w:rsid w:val="00FD7247"/>
    <w:rsid w:val="00FD77E6"/>
    <w:rsid w:val="00FE0ACB"/>
    <w:rsid w:val="00FE0CFB"/>
    <w:rsid w:val="00FE12D5"/>
    <w:rsid w:val="00FE2CD2"/>
    <w:rsid w:val="00FE30F2"/>
    <w:rsid w:val="00FE32C3"/>
    <w:rsid w:val="00FE3E03"/>
    <w:rsid w:val="00FE5F63"/>
    <w:rsid w:val="00FE6B69"/>
    <w:rsid w:val="00FE6C0F"/>
    <w:rsid w:val="00FE7686"/>
    <w:rsid w:val="00FE7FA2"/>
    <w:rsid w:val="00FF0720"/>
    <w:rsid w:val="00FF13AD"/>
    <w:rsid w:val="00FF17E5"/>
    <w:rsid w:val="00FF1C7F"/>
    <w:rsid w:val="00FF1D39"/>
    <w:rsid w:val="00FF30FF"/>
    <w:rsid w:val="00FF3A69"/>
    <w:rsid w:val="00FF50AB"/>
    <w:rsid w:val="00FF5AD9"/>
    <w:rsid w:val="00FF603C"/>
    <w:rsid w:val="00FF6CB2"/>
    <w:rsid w:val="00FF7D48"/>
    <w:rsid w:val="010C1112"/>
    <w:rsid w:val="021DF365"/>
    <w:rsid w:val="029C2633"/>
    <w:rsid w:val="03532116"/>
    <w:rsid w:val="03B1F703"/>
    <w:rsid w:val="03E3A3E9"/>
    <w:rsid w:val="03F51677"/>
    <w:rsid w:val="03F69F1A"/>
    <w:rsid w:val="0510334F"/>
    <w:rsid w:val="051ACFCD"/>
    <w:rsid w:val="05919A2D"/>
    <w:rsid w:val="05E9152B"/>
    <w:rsid w:val="06379433"/>
    <w:rsid w:val="063D6843"/>
    <w:rsid w:val="066432AC"/>
    <w:rsid w:val="069B7ADC"/>
    <w:rsid w:val="069D33D9"/>
    <w:rsid w:val="06BE6BE2"/>
    <w:rsid w:val="06FE8B66"/>
    <w:rsid w:val="070AFB42"/>
    <w:rsid w:val="0739E6C6"/>
    <w:rsid w:val="0763136A"/>
    <w:rsid w:val="07A6191C"/>
    <w:rsid w:val="07ABBEBB"/>
    <w:rsid w:val="07BA705A"/>
    <w:rsid w:val="081F19BD"/>
    <w:rsid w:val="084EBC2A"/>
    <w:rsid w:val="0907052C"/>
    <w:rsid w:val="098051AA"/>
    <w:rsid w:val="0A24B9C4"/>
    <w:rsid w:val="0A613950"/>
    <w:rsid w:val="0A700B55"/>
    <w:rsid w:val="0ABA56C6"/>
    <w:rsid w:val="0B0022D9"/>
    <w:rsid w:val="0B48D58A"/>
    <w:rsid w:val="0B7151BD"/>
    <w:rsid w:val="0C5E71B7"/>
    <w:rsid w:val="0C689E27"/>
    <w:rsid w:val="0C6C4946"/>
    <w:rsid w:val="0C85BE5D"/>
    <w:rsid w:val="0C9FAC85"/>
    <w:rsid w:val="0CB1253A"/>
    <w:rsid w:val="0DCFF88F"/>
    <w:rsid w:val="0DE04A9F"/>
    <w:rsid w:val="0E3D3F74"/>
    <w:rsid w:val="0E6BB81D"/>
    <w:rsid w:val="0E967858"/>
    <w:rsid w:val="0F03D9E1"/>
    <w:rsid w:val="0F3B75E8"/>
    <w:rsid w:val="0F95990C"/>
    <w:rsid w:val="0FD4C9D7"/>
    <w:rsid w:val="102F500D"/>
    <w:rsid w:val="10A4A11E"/>
    <w:rsid w:val="10FB2C97"/>
    <w:rsid w:val="1112F309"/>
    <w:rsid w:val="1114BA4E"/>
    <w:rsid w:val="112C6B7A"/>
    <w:rsid w:val="1198BEFD"/>
    <w:rsid w:val="11DD2B83"/>
    <w:rsid w:val="12008149"/>
    <w:rsid w:val="123EFD2F"/>
    <w:rsid w:val="12F4B78A"/>
    <w:rsid w:val="1323E382"/>
    <w:rsid w:val="13A3A09E"/>
    <w:rsid w:val="13A79940"/>
    <w:rsid w:val="13E847AC"/>
    <w:rsid w:val="13F426FA"/>
    <w:rsid w:val="142D8494"/>
    <w:rsid w:val="1486A01F"/>
    <w:rsid w:val="15270E72"/>
    <w:rsid w:val="154090C5"/>
    <w:rsid w:val="1561100D"/>
    <w:rsid w:val="15A58401"/>
    <w:rsid w:val="15BE4434"/>
    <w:rsid w:val="16287004"/>
    <w:rsid w:val="166F4922"/>
    <w:rsid w:val="17131A31"/>
    <w:rsid w:val="17C27382"/>
    <w:rsid w:val="17DC55AF"/>
    <w:rsid w:val="17FEF9E5"/>
    <w:rsid w:val="185526A6"/>
    <w:rsid w:val="18B57E3D"/>
    <w:rsid w:val="18CE3240"/>
    <w:rsid w:val="19667954"/>
    <w:rsid w:val="198A79AC"/>
    <w:rsid w:val="19DEEE96"/>
    <w:rsid w:val="19E6C14B"/>
    <w:rsid w:val="1A4348F7"/>
    <w:rsid w:val="1A7FDCA6"/>
    <w:rsid w:val="1A8B3D1C"/>
    <w:rsid w:val="1A9A6D24"/>
    <w:rsid w:val="1AC17C3A"/>
    <w:rsid w:val="1ADA31FC"/>
    <w:rsid w:val="1B284C5D"/>
    <w:rsid w:val="1B597A7E"/>
    <w:rsid w:val="1BB71A66"/>
    <w:rsid w:val="1BD611AD"/>
    <w:rsid w:val="1CAE500B"/>
    <w:rsid w:val="1CE469A7"/>
    <w:rsid w:val="1D3ABBAA"/>
    <w:rsid w:val="1D481232"/>
    <w:rsid w:val="1DD9EF3C"/>
    <w:rsid w:val="1DF69EC9"/>
    <w:rsid w:val="1E25FE9E"/>
    <w:rsid w:val="1EAC8E60"/>
    <w:rsid w:val="1EBF714E"/>
    <w:rsid w:val="1EE22F19"/>
    <w:rsid w:val="1F152BF5"/>
    <w:rsid w:val="1F6DAFD8"/>
    <w:rsid w:val="1F84CC11"/>
    <w:rsid w:val="1FFBA893"/>
    <w:rsid w:val="20BD1B28"/>
    <w:rsid w:val="2170C7F6"/>
    <w:rsid w:val="218F7423"/>
    <w:rsid w:val="21A055E4"/>
    <w:rsid w:val="21CD325D"/>
    <w:rsid w:val="21E1F21E"/>
    <w:rsid w:val="21F176C3"/>
    <w:rsid w:val="2252F5EA"/>
    <w:rsid w:val="22B2E273"/>
    <w:rsid w:val="235944A0"/>
    <w:rsid w:val="239528D4"/>
    <w:rsid w:val="241BF6F5"/>
    <w:rsid w:val="242A3B97"/>
    <w:rsid w:val="244B8BA3"/>
    <w:rsid w:val="247593E9"/>
    <w:rsid w:val="2482AB30"/>
    <w:rsid w:val="24866881"/>
    <w:rsid w:val="248FB11B"/>
    <w:rsid w:val="24CA6B4B"/>
    <w:rsid w:val="25167A99"/>
    <w:rsid w:val="251DAD54"/>
    <w:rsid w:val="256E7D1F"/>
    <w:rsid w:val="263C3F53"/>
    <w:rsid w:val="265D5CEA"/>
    <w:rsid w:val="266D0E36"/>
    <w:rsid w:val="267B3E42"/>
    <w:rsid w:val="2705F438"/>
    <w:rsid w:val="2803C688"/>
    <w:rsid w:val="286F61AF"/>
    <w:rsid w:val="29171280"/>
    <w:rsid w:val="291EB04C"/>
    <w:rsid w:val="29AF17E1"/>
    <w:rsid w:val="29E24B52"/>
    <w:rsid w:val="2AB2F450"/>
    <w:rsid w:val="2AB70C23"/>
    <w:rsid w:val="2AEB4A54"/>
    <w:rsid w:val="2B04FDB1"/>
    <w:rsid w:val="2B1AC7DC"/>
    <w:rsid w:val="2BEF2B23"/>
    <w:rsid w:val="2BF1899A"/>
    <w:rsid w:val="2C3D54C4"/>
    <w:rsid w:val="2CC507A0"/>
    <w:rsid w:val="2CE0FEC2"/>
    <w:rsid w:val="2CF1AE67"/>
    <w:rsid w:val="2D12A1D9"/>
    <w:rsid w:val="2D9251E6"/>
    <w:rsid w:val="2D99E544"/>
    <w:rsid w:val="2DEB2C8A"/>
    <w:rsid w:val="2E2AB90F"/>
    <w:rsid w:val="2E3CCF42"/>
    <w:rsid w:val="2E8E4643"/>
    <w:rsid w:val="2E8E7D31"/>
    <w:rsid w:val="2EE8C294"/>
    <w:rsid w:val="2F7661F3"/>
    <w:rsid w:val="2FA6F2C0"/>
    <w:rsid w:val="30317774"/>
    <w:rsid w:val="30B89212"/>
    <w:rsid w:val="30EDBFC2"/>
    <w:rsid w:val="30F97C62"/>
    <w:rsid w:val="30FC3356"/>
    <w:rsid w:val="3192DD79"/>
    <w:rsid w:val="3205A40E"/>
    <w:rsid w:val="320BC70F"/>
    <w:rsid w:val="32158470"/>
    <w:rsid w:val="3268830B"/>
    <w:rsid w:val="32C1C859"/>
    <w:rsid w:val="32F6F98A"/>
    <w:rsid w:val="33059570"/>
    <w:rsid w:val="3385A405"/>
    <w:rsid w:val="33985B12"/>
    <w:rsid w:val="33E5B4FB"/>
    <w:rsid w:val="34DFCB06"/>
    <w:rsid w:val="34E998B1"/>
    <w:rsid w:val="34F06E92"/>
    <w:rsid w:val="3518770D"/>
    <w:rsid w:val="351F2960"/>
    <w:rsid w:val="3569ECBC"/>
    <w:rsid w:val="35821FBB"/>
    <w:rsid w:val="358BCD3F"/>
    <w:rsid w:val="35A59737"/>
    <w:rsid w:val="3630E3D9"/>
    <w:rsid w:val="36C1AD60"/>
    <w:rsid w:val="36E718BD"/>
    <w:rsid w:val="372DFBD6"/>
    <w:rsid w:val="374972E4"/>
    <w:rsid w:val="375E6B6B"/>
    <w:rsid w:val="3782F5BA"/>
    <w:rsid w:val="381054FE"/>
    <w:rsid w:val="382BB0E4"/>
    <w:rsid w:val="38303276"/>
    <w:rsid w:val="38D94B9A"/>
    <w:rsid w:val="39728167"/>
    <w:rsid w:val="397FF86C"/>
    <w:rsid w:val="399D4214"/>
    <w:rsid w:val="39F787EA"/>
    <w:rsid w:val="3A1863B5"/>
    <w:rsid w:val="3A252E23"/>
    <w:rsid w:val="3A5CA141"/>
    <w:rsid w:val="3AC975C0"/>
    <w:rsid w:val="3AE1C658"/>
    <w:rsid w:val="3AE87F4D"/>
    <w:rsid w:val="3B3759A5"/>
    <w:rsid w:val="3B799BCC"/>
    <w:rsid w:val="3B983095"/>
    <w:rsid w:val="3BBDEFDF"/>
    <w:rsid w:val="3C09902F"/>
    <w:rsid w:val="3C205190"/>
    <w:rsid w:val="3C415B41"/>
    <w:rsid w:val="3C637521"/>
    <w:rsid w:val="3C87A00B"/>
    <w:rsid w:val="3D1B7E88"/>
    <w:rsid w:val="3D23032C"/>
    <w:rsid w:val="3DF4D5B1"/>
    <w:rsid w:val="3E0BD2A6"/>
    <w:rsid w:val="3E587F8E"/>
    <w:rsid w:val="3E75DAF6"/>
    <w:rsid w:val="3EEBE81C"/>
    <w:rsid w:val="3F7A82CE"/>
    <w:rsid w:val="3F8285E0"/>
    <w:rsid w:val="3FC738EB"/>
    <w:rsid w:val="3FF7CE88"/>
    <w:rsid w:val="40310710"/>
    <w:rsid w:val="404A42F7"/>
    <w:rsid w:val="405C61C0"/>
    <w:rsid w:val="40CDF8D1"/>
    <w:rsid w:val="4131F494"/>
    <w:rsid w:val="41531929"/>
    <w:rsid w:val="41B4A28C"/>
    <w:rsid w:val="4254DCC1"/>
    <w:rsid w:val="42EDEF6D"/>
    <w:rsid w:val="43768F17"/>
    <w:rsid w:val="451C38B0"/>
    <w:rsid w:val="457E80E2"/>
    <w:rsid w:val="45866D16"/>
    <w:rsid w:val="4600C643"/>
    <w:rsid w:val="46186346"/>
    <w:rsid w:val="464F45A7"/>
    <w:rsid w:val="4660B91A"/>
    <w:rsid w:val="46D68B46"/>
    <w:rsid w:val="4734A752"/>
    <w:rsid w:val="475F3A1A"/>
    <w:rsid w:val="47C26FF6"/>
    <w:rsid w:val="47CA3E1F"/>
    <w:rsid w:val="4816A654"/>
    <w:rsid w:val="481A0B18"/>
    <w:rsid w:val="48375772"/>
    <w:rsid w:val="487623C5"/>
    <w:rsid w:val="4909FF02"/>
    <w:rsid w:val="4936E5BF"/>
    <w:rsid w:val="4959E051"/>
    <w:rsid w:val="4A1DDAEB"/>
    <w:rsid w:val="4A4DD050"/>
    <w:rsid w:val="4AA1AE5E"/>
    <w:rsid w:val="4B71E956"/>
    <w:rsid w:val="4C05280B"/>
    <w:rsid w:val="4C2A1218"/>
    <w:rsid w:val="4C8918ED"/>
    <w:rsid w:val="4D05D725"/>
    <w:rsid w:val="4D0967CF"/>
    <w:rsid w:val="4D65BC3A"/>
    <w:rsid w:val="4D8EC441"/>
    <w:rsid w:val="4DBA415A"/>
    <w:rsid w:val="4DDA30CA"/>
    <w:rsid w:val="4DE0175B"/>
    <w:rsid w:val="4E12A658"/>
    <w:rsid w:val="4E2B0E51"/>
    <w:rsid w:val="4EDF1A41"/>
    <w:rsid w:val="4EF92727"/>
    <w:rsid w:val="4EFA7888"/>
    <w:rsid w:val="4F35BA93"/>
    <w:rsid w:val="4F76BD83"/>
    <w:rsid w:val="4F9EA472"/>
    <w:rsid w:val="4FCC0AD1"/>
    <w:rsid w:val="5018C294"/>
    <w:rsid w:val="510D766F"/>
    <w:rsid w:val="51115786"/>
    <w:rsid w:val="5170D769"/>
    <w:rsid w:val="526362D6"/>
    <w:rsid w:val="527DC273"/>
    <w:rsid w:val="52CC3B59"/>
    <w:rsid w:val="5369F3F4"/>
    <w:rsid w:val="537A5530"/>
    <w:rsid w:val="537B7A8F"/>
    <w:rsid w:val="547A2D94"/>
    <w:rsid w:val="547CDDA0"/>
    <w:rsid w:val="54ACA371"/>
    <w:rsid w:val="550BC2F9"/>
    <w:rsid w:val="558BDF90"/>
    <w:rsid w:val="559D80A3"/>
    <w:rsid w:val="55D58669"/>
    <w:rsid w:val="560FAF85"/>
    <w:rsid w:val="565C7792"/>
    <w:rsid w:val="56F1BA1B"/>
    <w:rsid w:val="57821025"/>
    <w:rsid w:val="57CD894D"/>
    <w:rsid w:val="58532BE8"/>
    <w:rsid w:val="587E035A"/>
    <w:rsid w:val="588CC089"/>
    <w:rsid w:val="58A84EEA"/>
    <w:rsid w:val="58E96E3A"/>
    <w:rsid w:val="593AC637"/>
    <w:rsid w:val="593E5738"/>
    <w:rsid w:val="594C7A0B"/>
    <w:rsid w:val="59C112C8"/>
    <w:rsid w:val="5A4CF6CC"/>
    <w:rsid w:val="5AF03726"/>
    <w:rsid w:val="5B545F6C"/>
    <w:rsid w:val="5B67C7D7"/>
    <w:rsid w:val="5C24D288"/>
    <w:rsid w:val="5C6F8BC2"/>
    <w:rsid w:val="5CE41D62"/>
    <w:rsid w:val="5CEFEC53"/>
    <w:rsid w:val="5DC4A04A"/>
    <w:rsid w:val="5DD4D7CF"/>
    <w:rsid w:val="5E4023AB"/>
    <w:rsid w:val="5E7D70E4"/>
    <w:rsid w:val="5E97B0CB"/>
    <w:rsid w:val="5F62B1B6"/>
    <w:rsid w:val="5FAE97D8"/>
    <w:rsid w:val="5FB23B27"/>
    <w:rsid w:val="5FD35E9D"/>
    <w:rsid w:val="600DB829"/>
    <w:rsid w:val="6079877E"/>
    <w:rsid w:val="612F3305"/>
    <w:rsid w:val="61EE564A"/>
    <w:rsid w:val="61FAE98A"/>
    <w:rsid w:val="62456E77"/>
    <w:rsid w:val="62BE2085"/>
    <w:rsid w:val="62C9B2EA"/>
    <w:rsid w:val="631FEBCA"/>
    <w:rsid w:val="639E9B9B"/>
    <w:rsid w:val="63BDFF0D"/>
    <w:rsid w:val="63BEA325"/>
    <w:rsid w:val="64200735"/>
    <w:rsid w:val="6462B5A6"/>
    <w:rsid w:val="649087DC"/>
    <w:rsid w:val="649395FB"/>
    <w:rsid w:val="64A4B944"/>
    <w:rsid w:val="64D5FF92"/>
    <w:rsid w:val="64F692D4"/>
    <w:rsid w:val="656A1E2D"/>
    <w:rsid w:val="65772A6C"/>
    <w:rsid w:val="65A72BA2"/>
    <w:rsid w:val="6654291A"/>
    <w:rsid w:val="66BD4B63"/>
    <w:rsid w:val="671C4404"/>
    <w:rsid w:val="67205E4B"/>
    <w:rsid w:val="67630FE3"/>
    <w:rsid w:val="678818CA"/>
    <w:rsid w:val="67929FA3"/>
    <w:rsid w:val="67997BEE"/>
    <w:rsid w:val="67E5EF71"/>
    <w:rsid w:val="688EC8D6"/>
    <w:rsid w:val="68A23DD0"/>
    <w:rsid w:val="68C2C5D5"/>
    <w:rsid w:val="68DB40FC"/>
    <w:rsid w:val="691A06BB"/>
    <w:rsid w:val="691A7037"/>
    <w:rsid w:val="6924D4D1"/>
    <w:rsid w:val="6987D822"/>
    <w:rsid w:val="6A0510BF"/>
    <w:rsid w:val="6A5BA9CD"/>
    <w:rsid w:val="6A66705C"/>
    <w:rsid w:val="6AB03904"/>
    <w:rsid w:val="6ABC4D12"/>
    <w:rsid w:val="6AC31E23"/>
    <w:rsid w:val="6B3C2582"/>
    <w:rsid w:val="6B5B80CE"/>
    <w:rsid w:val="6BF9886D"/>
    <w:rsid w:val="6C7E551B"/>
    <w:rsid w:val="6D17EF1F"/>
    <w:rsid w:val="6D488CFE"/>
    <w:rsid w:val="6D5E2B53"/>
    <w:rsid w:val="6D92290A"/>
    <w:rsid w:val="6DC8581C"/>
    <w:rsid w:val="6DE954D4"/>
    <w:rsid w:val="6DEE8A84"/>
    <w:rsid w:val="6E235B12"/>
    <w:rsid w:val="6FEFD563"/>
    <w:rsid w:val="702EE3C2"/>
    <w:rsid w:val="70481CF2"/>
    <w:rsid w:val="70631177"/>
    <w:rsid w:val="70A625F7"/>
    <w:rsid w:val="70C006E6"/>
    <w:rsid w:val="713AB4F6"/>
    <w:rsid w:val="716D41F4"/>
    <w:rsid w:val="7193A06A"/>
    <w:rsid w:val="71C31FE3"/>
    <w:rsid w:val="71E6426E"/>
    <w:rsid w:val="71F51864"/>
    <w:rsid w:val="720D7029"/>
    <w:rsid w:val="724E9FAD"/>
    <w:rsid w:val="727A167A"/>
    <w:rsid w:val="72AFD5C4"/>
    <w:rsid w:val="72D168A5"/>
    <w:rsid w:val="72F6ECCE"/>
    <w:rsid w:val="730FCCFB"/>
    <w:rsid w:val="73BF3F6F"/>
    <w:rsid w:val="73C5D9BC"/>
    <w:rsid w:val="73F401F8"/>
    <w:rsid w:val="74B9DF17"/>
    <w:rsid w:val="74CD2655"/>
    <w:rsid w:val="75207B8F"/>
    <w:rsid w:val="753F003B"/>
    <w:rsid w:val="755D8C82"/>
    <w:rsid w:val="75809766"/>
    <w:rsid w:val="75BE7B32"/>
    <w:rsid w:val="75E00F09"/>
    <w:rsid w:val="75E7E8C2"/>
    <w:rsid w:val="7669ACD6"/>
    <w:rsid w:val="766E7AF6"/>
    <w:rsid w:val="76825172"/>
    <w:rsid w:val="76B67B90"/>
    <w:rsid w:val="77316144"/>
    <w:rsid w:val="77359BF2"/>
    <w:rsid w:val="77446A4A"/>
    <w:rsid w:val="777ECC86"/>
    <w:rsid w:val="77D2CA7A"/>
    <w:rsid w:val="78206F1E"/>
    <w:rsid w:val="784B72B7"/>
    <w:rsid w:val="785BA168"/>
    <w:rsid w:val="7929D98B"/>
    <w:rsid w:val="79B17F01"/>
    <w:rsid w:val="79BEC7F1"/>
    <w:rsid w:val="79CB34D5"/>
    <w:rsid w:val="7A1FFE35"/>
    <w:rsid w:val="7A6AF975"/>
    <w:rsid w:val="7A75D9C9"/>
    <w:rsid w:val="7A91341A"/>
    <w:rsid w:val="7B254AC1"/>
    <w:rsid w:val="7B51F349"/>
    <w:rsid w:val="7BAD7C19"/>
    <w:rsid w:val="7BEE4526"/>
    <w:rsid w:val="7BF38582"/>
    <w:rsid w:val="7BF9C335"/>
    <w:rsid w:val="7C285CBA"/>
    <w:rsid w:val="7C297149"/>
    <w:rsid w:val="7C97CD75"/>
    <w:rsid w:val="7CA17E0A"/>
    <w:rsid w:val="7D073C85"/>
    <w:rsid w:val="7D0CF5E0"/>
    <w:rsid w:val="7DA9163B"/>
    <w:rsid w:val="7DEED1A8"/>
    <w:rsid w:val="7E030E9E"/>
    <w:rsid w:val="7E1955CF"/>
    <w:rsid w:val="7E8CEE34"/>
    <w:rsid w:val="7F17C408"/>
    <w:rsid w:val="7FA29CDC"/>
    <w:rsid w:val="7FD37914"/>
    <w:rsid w:val="7FE44DF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689E2"/>
  <w15:docId w15:val="{38D6A328-5785-4CB2-BD85-E77B7552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B55AB"/>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B155FE"/>
    <w:pPr>
      <w:tabs>
        <w:tab w:val="center" w:pos="4536"/>
        <w:tab w:val="right" w:pos="9072"/>
      </w:tabs>
      <w:spacing w:after="0" w:line="240" w:lineRule="auto"/>
    </w:pPr>
  </w:style>
  <w:style w:type="character" w:customStyle="1" w:styleId="lfejChar">
    <w:name w:val="Élőfej Char"/>
    <w:basedOn w:val="Bekezdsalapbettpusa"/>
    <w:link w:val="lfej"/>
    <w:uiPriority w:val="99"/>
    <w:rsid w:val="00B155FE"/>
  </w:style>
  <w:style w:type="paragraph" w:styleId="llb">
    <w:name w:val="footer"/>
    <w:basedOn w:val="Norml"/>
    <w:link w:val="llbChar"/>
    <w:uiPriority w:val="99"/>
    <w:unhideWhenUsed/>
    <w:rsid w:val="00B155FE"/>
    <w:pPr>
      <w:tabs>
        <w:tab w:val="center" w:pos="4536"/>
        <w:tab w:val="right" w:pos="9072"/>
      </w:tabs>
      <w:spacing w:after="0" w:line="240" w:lineRule="auto"/>
    </w:pPr>
  </w:style>
  <w:style w:type="character" w:customStyle="1" w:styleId="llbChar">
    <w:name w:val="Élőláb Char"/>
    <w:basedOn w:val="Bekezdsalapbettpusa"/>
    <w:link w:val="llb"/>
    <w:uiPriority w:val="99"/>
    <w:rsid w:val="00B155FE"/>
  </w:style>
  <w:style w:type="paragraph" w:styleId="Lbjegyzetszveg">
    <w:name w:val="footnote text"/>
    <w:basedOn w:val="Norml"/>
    <w:link w:val="LbjegyzetszvegChar"/>
    <w:uiPriority w:val="99"/>
    <w:semiHidden/>
    <w:unhideWhenUsed/>
    <w:rsid w:val="00B155FE"/>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B155FE"/>
    <w:rPr>
      <w:sz w:val="20"/>
      <w:szCs w:val="20"/>
    </w:rPr>
  </w:style>
  <w:style w:type="character" w:styleId="Lbjegyzet-hivatkozs">
    <w:name w:val="footnote reference"/>
    <w:semiHidden/>
    <w:rsid w:val="00B155FE"/>
    <w:rPr>
      <w:vertAlign w:val="superscript"/>
    </w:rPr>
  </w:style>
  <w:style w:type="character" w:styleId="Oldalszm">
    <w:name w:val="page number"/>
    <w:basedOn w:val="Bekezdsalapbettpusa"/>
    <w:rsid w:val="00B155FE"/>
  </w:style>
  <w:style w:type="paragraph" w:styleId="Buborkszveg">
    <w:name w:val="Balloon Text"/>
    <w:basedOn w:val="Norml"/>
    <w:link w:val="BuborkszvegChar"/>
    <w:uiPriority w:val="99"/>
    <w:semiHidden/>
    <w:unhideWhenUsed/>
    <w:rsid w:val="0097327C"/>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7327C"/>
    <w:rPr>
      <w:rFonts w:ascii="Tahoma" w:hAnsi="Tahoma" w:cs="Tahoma"/>
      <w:sz w:val="16"/>
      <w:szCs w:val="16"/>
    </w:rPr>
  </w:style>
  <w:style w:type="paragraph" w:styleId="Listaszerbekezds">
    <w:name w:val="List Paragraph"/>
    <w:basedOn w:val="Norml"/>
    <w:uiPriority w:val="34"/>
    <w:qFormat/>
    <w:rsid w:val="00F71CAC"/>
    <w:pPr>
      <w:ind w:left="720"/>
      <w:contextualSpacing/>
    </w:pPr>
  </w:style>
  <w:style w:type="paragraph" w:styleId="Jegyzetszveg">
    <w:name w:val="annotation text"/>
    <w:basedOn w:val="Norml"/>
    <w:link w:val="JegyzetszvegChar"/>
    <w:uiPriority w:val="99"/>
    <w:semiHidden/>
    <w:unhideWhenUsed/>
    <w:pPr>
      <w:spacing w:line="240" w:lineRule="auto"/>
    </w:pPr>
    <w:rPr>
      <w:sz w:val="20"/>
      <w:szCs w:val="20"/>
    </w:rPr>
  </w:style>
  <w:style w:type="character" w:customStyle="1" w:styleId="JegyzetszvegChar">
    <w:name w:val="Jegyzetszöveg Char"/>
    <w:basedOn w:val="Bekezdsalapbettpusa"/>
    <w:link w:val="Jegyzetszveg"/>
    <w:uiPriority w:val="99"/>
    <w:semiHidden/>
    <w:rPr>
      <w:sz w:val="20"/>
      <w:szCs w:val="20"/>
    </w:rPr>
  </w:style>
  <w:style w:type="character" w:styleId="Jegyzethivatkozs">
    <w:name w:val="annotation reference"/>
    <w:basedOn w:val="Bekezdsalapbettpusa"/>
    <w:uiPriority w:val="99"/>
    <w:semiHidden/>
    <w:unhideWhenUsed/>
    <w:rPr>
      <w:sz w:val="16"/>
      <w:szCs w:val="16"/>
    </w:rPr>
  </w:style>
  <w:style w:type="table" w:styleId="Rcsostblzat">
    <w:name w:val="Table Grid"/>
    <w:basedOn w:val="Normltblzat"/>
    <w:uiPriority w:val="39"/>
    <w:rsid w:val="00D47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uiPriority w:val="99"/>
    <w:unhideWhenUsed/>
    <w:rsid w:val="00E16566"/>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Pr>
      <w:color w:val="0563C1" w:themeColor="hyperlink"/>
      <w:u w:val="single"/>
    </w:rPr>
  </w:style>
  <w:style w:type="table" w:styleId="Tblzatrcsos1vilgos1jellszn">
    <w:name w:val="Grid Table 1 Light Accent 1"/>
    <w:basedOn w:val="Normltblzat"/>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Megjegyzstrgya">
    <w:name w:val="annotation subject"/>
    <w:basedOn w:val="Jegyzetszveg"/>
    <w:next w:val="Jegyzetszveg"/>
    <w:link w:val="MegjegyzstrgyaChar"/>
    <w:uiPriority w:val="99"/>
    <w:semiHidden/>
    <w:unhideWhenUsed/>
    <w:rsid w:val="00C75D5A"/>
    <w:rPr>
      <w:b/>
      <w:bCs/>
    </w:rPr>
  </w:style>
  <w:style w:type="character" w:customStyle="1" w:styleId="MegjegyzstrgyaChar">
    <w:name w:val="Megjegyzés tárgya Char"/>
    <w:basedOn w:val="JegyzetszvegChar"/>
    <w:link w:val="Megjegyzstrgya"/>
    <w:uiPriority w:val="99"/>
    <w:semiHidden/>
    <w:rsid w:val="00C75D5A"/>
    <w:rPr>
      <w:b/>
      <w:bCs/>
      <w:sz w:val="20"/>
      <w:szCs w:val="20"/>
    </w:rPr>
  </w:style>
  <w:style w:type="paragraph" w:styleId="Vltozat">
    <w:name w:val="Revision"/>
    <w:hidden/>
    <w:uiPriority w:val="99"/>
    <w:semiHidden/>
    <w:rsid w:val="001621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1892">
      <w:bodyDiv w:val="1"/>
      <w:marLeft w:val="0"/>
      <w:marRight w:val="0"/>
      <w:marTop w:val="0"/>
      <w:marBottom w:val="0"/>
      <w:divBdr>
        <w:top w:val="none" w:sz="0" w:space="0" w:color="auto"/>
        <w:left w:val="none" w:sz="0" w:space="0" w:color="auto"/>
        <w:bottom w:val="none" w:sz="0" w:space="0" w:color="auto"/>
        <w:right w:val="none" w:sz="0" w:space="0" w:color="auto"/>
      </w:divBdr>
    </w:div>
    <w:div w:id="240256079">
      <w:bodyDiv w:val="1"/>
      <w:marLeft w:val="0"/>
      <w:marRight w:val="0"/>
      <w:marTop w:val="0"/>
      <w:marBottom w:val="0"/>
      <w:divBdr>
        <w:top w:val="none" w:sz="0" w:space="0" w:color="auto"/>
        <w:left w:val="none" w:sz="0" w:space="0" w:color="auto"/>
        <w:bottom w:val="none" w:sz="0" w:space="0" w:color="auto"/>
        <w:right w:val="none" w:sz="0" w:space="0" w:color="auto"/>
      </w:divBdr>
    </w:div>
    <w:div w:id="248008608">
      <w:bodyDiv w:val="1"/>
      <w:marLeft w:val="0"/>
      <w:marRight w:val="0"/>
      <w:marTop w:val="0"/>
      <w:marBottom w:val="0"/>
      <w:divBdr>
        <w:top w:val="none" w:sz="0" w:space="0" w:color="auto"/>
        <w:left w:val="none" w:sz="0" w:space="0" w:color="auto"/>
        <w:bottom w:val="none" w:sz="0" w:space="0" w:color="auto"/>
        <w:right w:val="none" w:sz="0" w:space="0" w:color="auto"/>
      </w:divBdr>
    </w:div>
    <w:div w:id="251550484">
      <w:bodyDiv w:val="1"/>
      <w:marLeft w:val="0"/>
      <w:marRight w:val="0"/>
      <w:marTop w:val="0"/>
      <w:marBottom w:val="0"/>
      <w:divBdr>
        <w:top w:val="none" w:sz="0" w:space="0" w:color="auto"/>
        <w:left w:val="none" w:sz="0" w:space="0" w:color="auto"/>
        <w:bottom w:val="none" w:sz="0" w:space="0" w:color="auto"/>
        <w:right w:val="none" w:sz="0" w:space="0" w:color="auto"/>
      </w:divBdr>
    </w:div>
    <w:div w:id="263924984">
      <w:bodyDiv w:val="1"/>
      <w:marLeft w:val="0"/>
      <w:marRight w:val="0"/>
      <w:marTop w:val="0"/>
      <w:marBottom w:val="0"/>
      <w:divBdr>
        <w:top w:val="none" w:sz="0" w:space="0" w:color="auto"/>
        <w:left w:val="none" w:sz="0" w:space="0" w:color="auto"/>
        <w:bottom w:val="none" w:sz="0" w:space="0" w:color="auto"/>
        <w:right w:val="none" w:sz="0" w:space="0" w:color="auto"/>
      </w:divBdr>
    </w:div>
    <w:div w:id="414713825">
      <w:bodyDiv w:val="1"/>
      <w:marLeft w:val="0"/>
      <w:marRight w:val="0"/>
      <w:marTop w:val="0"/>
      <w:marBottom w:val="0"/>
      <w:divBdr>
        <w:top w:val="none" w:sz="0" w:space="0" w:color="auto"/>
        <w:left w:val="none" w:sz="0" w:space="0" w:color="auto"/>
        <w:bottom w:val="none" w:sz="0" w:space="0" w:color="auto"/>
        <w:right w:val="none" w:sz="0" w:space="0" w:color="auto"/>
      </w:divBdr>
    </w:div>
    <w:div w:id="419377097">
      <w:bodyDiv w:val="1"/>
      <w:marLeft w:val="0"/>
      <w:marRight w:val="0"/>
      <w:marTop w:val="0"/>
      <w:marBottom w:val="0"/>
      <w:divBdr>
        <w:top w:val="none" w:sz="0" w:space="0" w:color="auto"/>
        <w:left w:val="none" w:sz="0" w:space="0" w:color="auto"/>
        <w:bottom w:val="none" w:sz="0" w:space="0" w:color="auto"/>
        <w:right w:val="none" w:sz="0" w:space="0" w:color="auto"/>
      </w:divBdr>
    </w:div>
    <w:div w:id="422839085">
      <w:bodyDiv w:val="1"/>
      <w:marLeft w:val="0"/>
      <w:marRight w:val="0"/>
      <w:marTop w:val="0"/>
      <w:marBottom w:val="0"/>
      <w:divBdr>
        <w:top w:val="none" w:sz="0" w:space="0" w:color="auto"/>
        <w:left w:val="none" w:sz="0" w:space="0" w:color="auto"/>
        <w:bottom w:val="none" w:sz="0" w:space="0" w:color="auto"/>
        <w:right w:val="none" w:sz="0" w:space="0" w:color="auto"/>
      </w:divBdr>
    </w:div>
    <w:div w:id="425614567">
      <w:bodyDiv w:val="1"/>
      <w:marLeft w:val="0"/>
      <w:marRight w:val="0"/>
      <w:marTop w:val="0"/>
      <w:marBottom w:val="0"/>
      <w:divBdr>
        <w:top w:val="none" w:sz="0" w:space="0" w:color="auto"/>
        <w:left w:val="none" w:sz="0" w:space="0" w:color="auto"/>
        <w:bottom w:val="none" w:sz="0" w:space="0" w:color="auto"/>
        <w:right w:val="none" w:sz="0" w:space="0" w:color="auto"/>
      </w:divBdr>
    </w:div>
    <w:div w:id="457265896">
      <w:bodyDiv w:val="1"/>
      <w:marLeft w:val="0"/>
      <w:marRight w:val="0"/>
      <w:marTop w:val="0"/>
      <w:marBottom w:val="0"/>
      <w:divBdr>
        <w:top w:val="none" w:sz="0" w:space="0" w:color="auto"/>
        <w:left w:val="none" w:sz="0" w:space="0" w:color="auto"/>
        <w:bottom w:val="none" w:sz="0" w:space="0" w:color="auto"/>
        <w:right w:val="none" w:sz="0" w:space="0" w:color="auto"/>
      </w:divBdr>
    </w:div>
    <w:div w:id="750005642">
      <w:bodyDiv w:val="1"/>
      <w:marLeft w:val="0"/>
      <w:marRight w:val="0"/>
      <w:marTop w:val="0"/>
      <w:marBottom w:val="0"/>
      <w:divBdr>
        <w:top w:val="none" w:sz="0" w:space="0" w:color="auto"/>
        <w:left w:val="none" w:sz="0" w:space="0" w:color="auto"/>
        <w:bottom w:val="none" w:sz="0" w:space="0" w:color="auto"/>
        <w:right w:val="none" w:sz="0" w:space="0" w:color="auto"/>
      </w:divBdr>
    </w:div>
    <w:div w:id="825049051">
      <w:bodyDiv w:val="1"/>
      <w:marLeft w:val="0"/>
      <w:marRight w:val="0"/>
      <w:marTop w:val="0"/>
      <w:marBottom w:val="0"/>
      <w:divBdr>
        <w:top w:val="none" w:sz="0" w:space="0" w:color="auto"/>
        <w:left w:val="none" w:sz="0" w:space="0" w:color="auto"/>
        <w:bottom w:val="none" w:sz="0" w:space="0" w:color="auto"/>
        <w:right w:val="none" w:sz="0" w:space="0" w:color="auto"/>
      </w:divBdr>
    </w:div>
    <w:div w:id="831945513">
      <w:bodyDiv w:val="1"/>
      <w:marLeft w:val="0"/>
      <w:marRight w:val="0"/>
      <w:marTop w:val="0"/>
      <w:marBottom w:val="0"/>
      <w:divBdr>
        <w:top w:val="none" w:sz="0" w:space="0" w:color="auto"/>
        <w:left w:val="none" w:sz="0" w:space="0" w:color="auto"/>
        <w:bottom w:val="none" w:sz="0" w:space="0" w:color="auto"/>
        <w:right w:val="none" w:sz="0" w:space="0" w:color="auto"/>
      </w:divBdr>
    </w:div>
    <w:div w:id="955060427">
      <w:bodyDiv w:val="1"/>
      <w:marLeft w:val="0"/>
      <w:marRight w:val="0"/>
      <w:marTop w:val="0"/>
      <w:marBottom w:val="0"/>
      <w:divBdr>
        <w:top w:val="none" w:sz="0" w:space="0" w:color="auto"/>
        <w:left w:val="none" w:sz="0" w:space="0" w:color="auto"/>
        <w:bottom w:val="none" w:sz="0" w:space="0" w:color="auto"/>
        <w:right w:val="none" w:sz="0" w:space="0" w:color="auto"/>
      </w:divBdr>
    </w:div>
    <w:div w:id="1020281846">
      <w:bodyDiv w:val="1"/>
      <w:marLeft w:val="0"/>
      <w:marRight w:val="0"/>
      <w:marTop w:val="0"/>
      <w:marBottom w:val="0"/>
      <w:divBdr>
        <w:top w:val="none" w:sz="0" w:space="0" w:color="auto"/>
        <w:left w:val="none" w:sz="0" w:space="0" w:color="auto"/>
        <w:bottom w:val="none" w:sz="0" w:space="0" w:color="auto"/>
        <w:right w:val="none" w:sz="0" w:space="0" w:color="auto"/>
      </w:divBdr>
    </w:div>
    <w:div w:id="1137841753">
      <w:bodyDiv w:val="1"/>
      <w:marLeft w:val="0"/>
      <w:marRight w:val="0"/>
      <w:marTop w:val="0"/>
      <w:marBottom w:val="0"/>
      <w:divBdr>
        <w:top w:val="none" w:sz="0" w:space="0" w:color="auto"/>
        <w:left w:val="none" w:sz="0" w:space="0" w:color="auto"/>
        <w:bottom w:val="none" w:sz="0" w:space="0" w:color="auto"/>
        <w:right w:val="none" w:sz="0" w:space="0" w:color="auto"/>
      </w:divBdr>
    </w:div>
    <w:div w:id="1145925425">
      <w:bodyDiv w:val="1"/>
      <w:marLeft w:val="0"/>
      <w:marRight w:val="0"/>
      <w:marTop w:val="0"/>
      <w:marBottom w:val="0"/>
      <w:divBdr>
        <w:top w:val="none" w:sz="0" w:space="0" w:color="auto"/>
        <w:left w:val="none" w:sz="0" w:space="0" w:color="auto"/>
        <w:bottom w:val="none" w:sz="0" w:space="0" w:color="auto"/>
        <w:right w:val="none" w:sz="0" w:space="0" w:color="auto"/>
      </w:divBdr>
    </w:div>
    <w:div w:id="1154029676">
      <w:bodyDiv w:val="1"/>
      <w:marLeft w:val="0"/>
      <w:marRight w:val="0"/>
      <w:marTop w:val="0"/>
      <w:marBottom w:val="0"/>
      <w:divBdr>
        <w:top w:val="none" w:sz="0" w:space="0" w:color="auto"/>
        <w:left w:val="none" w:sz="0" w:space="0" w:color="auto"/>
        <w:bottom w:val="none" w:sz="0" w:space="0" w:color="auto"/>
        <w:right w:val="none" w:sz="0" w:space="0" w:color="auto"/>
      </w:divBdr>
    </w:div>
    <w:div w:id="1194074906">
      <w:bodyDiv w:val="1"/>
      <w:marLeft w:val="0"/>
      <w:marRight w:val="0"/>
      <w:marTop w:val="0"/>
      <w:marBottom w:val="0"/>
      <w:divBdr>
        <w:top w:val="none" w:sz="0" w:space="0" w:color="auto"/>
        <w:left w:val="none" w:sz="0" w:space="0" w:color="auto"/>
        <w:bottom w:val="none" w:sz="0" w:space="0" w:color="auto"/>
        <w:right w:val="none" w:sz="0" w:space="0" w:color="auto"/>
      </w:divBdr>
    </w:div>
    <w:div w:id="1262031817">
      <w:bodyDiv w:val="1"/>
      <w:marLeft w:val="0"/>
      <w:marRight w:val="0"/>
      <w:marTop w:val="0"/>
      <w:marBottom w:val="0"/>
      <w:divBdr>
        <w:top w:val="none" w:sz="0" w:space="0" w:color="auto"/>
        <w:left w:val="none" w:sz="0" w:space="0" w:color="auto"/>
        <w:bottom w:val="none" w:sz="0" w:space="0" w:color="auto"/>
        <w:right w:val="none" w:sz="0" w:space="0" w:color="auto"/>
      </w:divBdr>
    </w:div>
    <w:div w:id="1299650999">
      <w:bodyDiv w:val="1"/>
      <w:marLeft w:val="0"/>
      <w:marRight w:val="0"/>
      <w:marTop w:val="0"/>
      <w:marBottom w:val="0"/>
      <w:divBdr>
        <w:top w:val="none" w:sz="0" w:space="0" w:color="auto"/>
        <w:left w:val="none" w:sz="0" w:space="0" w:color="auto"/>
        <w:bottom w:val="none" w:sz="0" w:space="0" w:color="auto"/>
        <w:right w:val="none" w:sz="0" w:space="0" w:color="auto"/>
      </w:divBdr>
    </w:div>
    <w:div w:id="1332442699">
      <w:bodyDiv w:val="1"/>
      <w:marLeft w:val="0"/>
      <w:marRight w:val="0"/>
      <w:marTop w:val="0"/>
      <w:marBottom w:val="0"/>
      <w:divBdr>
        <w:top w:val="none" w:sz="0" w:space="0" w:color="auto"/>
        <w:left w:val="none" w:sz="0" w:space="0" w:color="auto"/>
        <w:bottom w:val="none" w:sz="0" w:space="0" w:color="auto"/>
        <w:right w:val="none" w:sz="0" w:space="0" w:color="auto"/>
      </w:divBdr>
    </w:div>
    <w:div w:id="1362433673">
      <w:bodyDiv w:val="1"/>
      <w:marLeft w:val="0"/>
      <w:marRight w:val="0"/>
      <w:marTop w:val="0"/>
      <w:marBottom w:val="0"/>
      <w:divBdr>
        <w:top w:val="none" w:sz="0" w:space="0" w:color="auto"/>
        <w:left w:val="none" w:sz="0" w:space="0" w:color="auto"/>
        <w:bottom w:val="none" w:sz="0" w:space="0" w:color="auto"/>
        <w:right w:val="none" w:sz="0" w:space="0" w:color="auto"/>
      </w:divBdr>
    </w:div>
    <w:div w:id="1369573113">
      <w:bodyDiv w:val="1"/>
      <w:marLeft w:val="0"/>
      <w:marRight w:val="0"/>
      <w:marTop w:val="0"/>
      <w:marBottom w:val="0"/>
      <w:divBdr>
        <w:top w:val="none" w:sz="0" w:space="0" w:color="auto"/>
        <w:left w:val="none" w:sz="0" w:space="0" w:color="auto"/>
        <w:bottom w:val="none" w:sz="0" w:space="0" w:color="auto"/>
        <w:right w:val="none" w:sz="0" w:space="0" w:color="auto"/>
      </w:divBdr>
    </w:div>
    <w:div w:id="1514765667">
      <w:bodyDiv w:val="1"/>
      <w:marLeft w:val="0"/>
      <w:marRight w:val="0"/>
      <w:marTop w:val="0"/>
      <w:marBottom w:val="0"/>
      <w:divBdr>
        <w:top w:val="none" w:sz="0" w:space="0" w:color="auto"/>
        <w:left w:val="none" w:sz="0" w:space="0" w:color="auto"/>
        <w:bottom w:val="none" w:sz="0" w:space="0" w:color="auto"/>
        <w:right w:val="none" w:sz="0" w:space="0" w:color="auto"/>
      </w:divBdr>
    </w:div>
    <w:div w:id="1527596982">
      <w:bodyDiv w:val="1"/>
      <w:marLeft w:val="0"/>
      <w:marRight w:val="0"/>
      <w:marTop w:val="0"/>
      <w:marBottom w:val="0"/>
      <w:divBdr>
        <w:top w:val="none" w:sz="0" w:space="0" w:color="auto"/>
        <w:left w:val="none" w:sz="0" w:space="0" w:color="auto"/>
        <w:bottom w:val="none" w:sz="0" w:space="0" w:color="auto"/>
        <w:right w:val="none" w:sz="0" w:space="0" w:color="auto"/>
      </w:divBdr>
    </w:div>
    <w:div w:id="1538201461">
      <w:bodyDiv w:val="1"/>
      <w:marLeft w:val="0"/>
      <w:marRight w:val="0"/>
      <w:marTop w:val="0"/>
      <w:marBottom w:val="0"/>
      <w:divBdr>
        <w:top w:val="none" w:sz="0" w:space="0" w:color="auto"/>
        <w:left w:val="none" w:sz="0" w:space="0" w:color="auto"/>
        <w:bottom w:val="none" w:sz="0" w:space="0" w:color="auto"/>
        <w:right w:val="none" w:sz="0" w:space="0" w:color="auto"/>
      </w:divBdr>
    </w:div>
    <w:div w:id="1587760903">
      <w:bodyDiv w:val="1"/>
      <w:marLeft w:val="0"/>
      <w:marRight w:val="0"/>
      <w:marTop w:val="0"/>
      <w:marBottom w:val="0"/>
      <w:divBdr>
        <w:top w:val="none" w:sz="0" w:space="0" w:color="auto"/>
        <w:left w:val="none" w:sz="0" w:space="0" w:color="auto"/>
        <w:bottom w:val="none" w:sz="0" w:space="0" w:color="auto"/>
        <w:right w:val="none" w:sz="0" w:space="0" w:color="auto"/>
      </w:divBdr>
    </w:div>
    <w:div w:id="1611275865">
      <w:bodyDiv w:val="1"/>
      <w:marLeft w:val="0"/>
      <w:marRight w:val="0"/>
      <w:marTop w:val="0"/>
      <w:marBottom w:val="0"/>
      <w:divBdr>
        <w:top w:val="none" w:sz="0" w:space="0" w:color="auto"/>
        <w:left w:val="none" w:sz="0" w:space="0" w:color="auto"/>
        <w:bottom w:val="none" w:sz="0" w:space="0" w:color="auto"/>
        <w:right w:val="none" w:sz="0" w:space="0" w:color="auto"/>
      </w:divBdr>
    </w:div>
    <w:div w:id="1633056647">
      <w:bodyDiv w:val="1"/>
      <w:marLeft w:val="0"/>
      <w:marRight w:val="0"/>
      <w:marTop w:val="0"/>
      <w:marBottom w:val="0"/>
      <w:divBdr>
        <w:top w:val="none" w:sz="0" w:space="0" w:color="auto"/>
        <w:left w:val="none" w:sz="0" w:space="0" w:color="auto"/>
        <w:bottom w:val="none" w:sz="0" w:space="0" w:color="auto"/>
        <w:right w:val="none" w:sz="0" w:space="0" w:color="auto"/>
      </w:divBdr>
    </w:div>
    <w:div w:id="1774401931">
      <w:bodyDiv w:val="1"/>
      <w:marLeft w:val="0"/>
      <w:marRight w:val="0"/>
      <w:marTop w:val="0"/>
      <w:marBottom w:val="0"/>
      <w:divBdr>
        <w:top w:val="none" w:sz="0" w:space="0" w:color="auto"/>
        <w:left w:val="none" w:sz="0" w:space="0" w:color="auto"/>
        <w:bottom w:val="none" w:sz="0" w:space="0" w:color="auto"/>
        <w:right w:val="none" w:sz="0" w:space="0" w:color="auto"/>
      </w:divBdr>
    </w:div>
    <w:div w:id="1891844003">
      <w:bodyDiv w:val="1"/>
      <w:marLeft w:val="0"/>
      <w:marRight w:val="0"/>
      <w:marTop w:val="0"/>
      <w:marBottom w:val="0"/>
      <w:divBdr>
        <w:top w:val="none" w:sz="0" w:space="0" w:color="auto"/>
        <w:left w:val="none" w:sz="0" w:space="0" w:color="auto"/>
        <w:bottom w:val="none" w:sz="0" w:space="0" w:color="auto"/>
        <w:right w:val="none" w:sz="0" w:space="0" w:color="auto"/>
      </w:divBdr>
    </w:div>
    <w:div w:id="2032297061">
      <w:bodyDiv w:val="1"/>
      <w:marLeft w:val="0"/>
      <w:marRight w:val="0"/>
      <w:marTop w:val="0"/>
      <w:marBottom w:val="0"/>
      <w:divBdr>
        <w:top w:val="none" w:sz="0" w:space="0" w:color="auto"/>
        <w:left w:val="none" w:sz="0" w:space="0" w:color="auto"/>
        <w:bottom w:val="none" w:sz="0" w:space="0" w:color="auto"/>
        <w:right w:val="none" w:sz="0" w:space="0" w:color="auto"/>
      </w:divBdr>
    </w:div>
    <w:div w:id="2069765688">
      <w:bodyDiv w:val="1"/>
      <w:marLeft w:val="0"/>
      <w:marRight w:val="0"/>
      <w:marTop w:val="0"/>
      <w:marBottom w:val="0"/>
      <w:divBdr>
        <w:top w:val="none" w:sz="0" w:space="0" w:color="auto"/>
        <w:left w:val="none" w:sz="0" w:space="0" w:color="auto"/>
        <w:bottom w:val="none" w:sz="0" w:space="0" w:color="auto"/>
        <w:right w:val="none" w:sz="0" w:space="0" w:color="auto"/>
      </w:divBdr>
    </w:div>
    <w:div w:id="208274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3.emf"/><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oter" Target="footer3.xml"/><Relationship Id="rId30" Type="http://schemas.openxmlformats.org/officeDocument/2006/relationships/header" Target="header4.xml"/><Relationship Id="rId35"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c9_v xmlns="cb7eed14-1ed6-4f4f-9464-e9d73fc2f8e9">2026</_x00c9_v>
    <T_x00e9_ma xmlns="cb7eed14-1ed6-4f4f-9464-e9d73fc2f8e9">Monitoring</T_x00e9_ma>
    <L_x00e1_that_x00f3_s_x00e1_g xmlns="cb7eed14-1ed6-4f4f-9464-e9d73fc2f8e9">Publikus</L_x00e1_that_x00f3_s_x00e1_g>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um" ma:contentTypeID="0x010100CDF1BD466E83E842902559549E0F08F2" ma:contentTypeVersion="5" ma:contentTypeDescription="Új dokumentum létrehozása." ma:contentTypeScope="" ma:versionID="4b44a68e156a5b79248640aeafc70798">
  <xsd:schema xmlns:xsd="http://www.w3.org/2001/XMLSchema" xmlns:xs="http://www.w3.org/2001/XMLSchema" xmlns:p="http://schemas.microsoft.com/office/2006/metadata/properties" xmlns:ns2="cb7eed14-1ed6-4f4f-9464-e9d73fc2f8e9" xmlns:ns3="9669010e-b829-4d86-87dd-cdce11b02043" targetNamespace="http://schemas.microsoft.com/office/2006/metadata/properties" ma:root="true" ma:fieldsID="bd0071a6f26b893e5271513f12c665f5" ns2:_="" ns3:_="">
    <xsd:import namespace="cb7eed14-1ed6-4f4f-9464-e9d73fc2f8e9"/>
    <xsd:import namespace="9669010e-b829-4d86-87dd-cdce11b02043"/>
    <xsd:element name="properties">
      <xsd:complexType>
        <xsd:sequence>
          <xsd:element name="documentManagement">
            <xsd:complexType>
              <xsd:all>
                <xsd:element ref="ns2:T_x00e9_ma" minOccurs="0"/>
                <xsd:element ref="ns2:_x00c9_v"/>
                <xsd:element ref="ns2:L_x00e1_that_x00f3_s_x00e1_g"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eed14-1ed6-4f4f-9464-e9d73fc2f8e9" elementFormDefault="qualified">
    <xsd:import namespace="http://schemas.microsoft.com/office/2006/documentManagement/types"/>
    <xsd:import namespace="http://schemas.microsoft.com/office/infopath/2007/PartnerControls"/>
    <xsd:element name="T_x00e9_ma" ma:index="2" nillable="true" ma:displayName="Téma" ma:format="Dropdown" ma:internalName="T_x00e9_ma">
      <xsd:simpleType>
        <xsd:restriction base="dms:Choice">
          <xsd:enumeration value="Tervezés"/>
          <xsd:enumeration value="Zárszámadás"/>
          <xsd:enumeration value="Törvénymódosítás"/>
          <xsd:enumeration value="ÁSZ ellenőrzés"/>
          <xsd:enumeration value="Gyorsjelentés"/>
          <xsd:enumeration value="Monitoring"/>
          <xsd:enumeration value="Tervezési tájékoztató"/>
          <xsd:enumeration value="Útmutató"/>
          <xsd:enumeration value="Munkaprogram"/>
          <xsd:enumeration value="Ütemterv"/>
          <xsd:enumeration value="Módosító"/>
          <xsd:enumeration value="Kormányülés"/>
          <xsd:enumeration value="Gazdasági kabinet"/>
          <xsd:enumeration value="Stratégiai kabinet"/>
          <xsd:enumeration value="IFMIS"/>
          <xsd:enumeration value="Fejezeten belüli átcsoportosítás"/>
          <xsd:enumeration value="Címlista"/>
          <xsd:enumeration value="BEÜ"/>
          <xsd:enumeration value="Koronavírus"/>
          <xsd:enumeration value="Tudásbázis"/>
          <xsd:enumeration value="Kiemelt fejlesztési igények"/>
          <xsd:enumeration value="Iktatás"/>
        </xsd:restriction>
      </xsd:simpleType>
    </xsd:element>
    <xsd:element name="_x00c9_v" ma:index="3" ma:displayName="Év" ma:default="2018" ma:format="Dropdown" ma:internalName="_x00c9_v">
      <xsd:simpleType>
        <xsd:restriction base="dms:Choice">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2015"/>
        </xsd:restriction>
      </xsd:simpleType>
    </xsd:element>
    <xsd:element name="L_x00e1_that_x00f3_s_x00e1_g" ma:index="4" nillable="true" ma:displayName="Láthatóság" ma:default="Publikus" ma:format="Dropdown" ma:internalName="L_x00e1_that_x00f3_s_x00e1_g">
      <xsd:simpleType>
        <xsd:restriction base="dms:Choice">
          <xsd:enumeration value="Publikus"/>
          <xsd:enumeration value="Csak admin látja (verziókat tartalmaz)"/>
        </xsd:restriction>
      </xsd:simpleType>
    </xsd:element>
  </xsd:schema>
  <xsd:schema xmlns:xsd="http://www.w3.org/2001/XMLSchema" xmlns:xs="http://www.w3.org/2001/XMLSchema" xmlns:dms="http://schemas.microsoft.com/office/2006/documentManagement/types" xmlns:pc="http://schemas.microsoft.com/office/infopath/2007/PartnerControls" targetNamespace="9669010e-b829-4d86-87dd-cdce11b02043" elementFormDefault="qualified">
    <xsd:import namespace="http://schemas.microsoft.com/office/2006/documentManagement/types"/>
    <xsd:import namespace="http://schemas.microsoft.com/office/infopath/2007/PartnerControls"/>
    <xsd:element name="SharedWithUsers" ma:index="11"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Megosztva részletekke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Tartalomtípus"/>
        <xsd:element ref="dc:title" minOccurs="0" maxOccurs="1" ma:index="1"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D0F6AD-19C0-4D6B-ABDF-2564A2CC5C1F}">
  <ds:schemaRefs>
    <ds:schemaRef ds:uri="http://schemas.microsoft.com/sharepoint/v3/contenttype/forms"/>
  </ds:schemaRefs>
</ds:datastoreItem>
</file>

<file path=customXml/itemProps2.xml><?xml version="1.0" encoding="utf-8"?>
<ds:datastoreItem xmlns:ds="http://schemas.openxmlformats.org/officeDocument/2006/customXml" ds:itemID="{C84C958D-48DC-4564-B24D-56E63215790F}">
  <ds:schemaRefs>
    <ds:schemaRef ds:uri="9669010e-b829-4d86-87dd-cdce11b02043"/>
    <ds:schemaRef ds:uri="http://purl.org/dc/elements/1.1/"/>
    <ds:schemaRef ds:uri="http://schemas.microsoft.com/office/2006/metadata/properties"/>
    <ds:schemaRef ds:uri="http://purl.org/dc/terms/"/>
    <ds:schemaRef ds:uri="cb7eed14-1ed6-4f4f-9464-e9d73fc2f8e9"/>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45E50AF-6A38-4D56-A55D-D65BA869B7B4}">
  <ds:schemaRefs>
    <ds:schemaRef ds:uri="http://schemas.openxmlformats.org/officeDocument/2006/bibliography"/>
  </ds:schemaRefs>
</ds:datastoreItem>
</file>

<file path=customXml/itemProps4.xml><?xml version="1.0" encoding="utf-8"?>
<ds:datastoreItem xmlns:ds="http://schemas.openxmlformats.org/officeDocument/2006/customXml" ds:itemID="{1AAFD48C-7926-4BF1-87F7-A322FB813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eed14-1ed6-4f4f-9464-e9d73fc2f8e9"/>
    <ds:schemaRef ds:uri="9669010e-b829-4d86-87dd-cdce11b020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22</Pages>
  <Words>4759</Words>
  <Characters>32843</Characters>
  <Application>Microsoft Office Word</Application>
  <DocSecurity>0</DocSecurity>
  <Lines>273</Lines>
  <Paragraphs>75</Paragraphs>
  <ScaleCrop>false</ScaleCrop>
  <HeadingPairs>
    <vt:vector size="2" baseType="variant">
      <vt:variant>
        <vt:lpstr>Cím</vt:lpstr>
      </vt:variant>
      <vt:variant>
        <vt:i4>1</vt:i4>
      </vt:variant>
    </vt:vector>
  </HeadingPairs>
  <TitlesOfParts>
    <vt:vector size="1" baseType="lpstr">
      <vt:lpstr/>
    </vt:vector>
  </TitlesOfParts>
  <Company>NISZ Zrt.</Company>
  <LinksUpToDate>false</LinksUpToDate>
  <CharactersWithSpaces>37527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33</cp:revision>
  <cp:lastPrinted>2025-12-16T08:30:00Z</cp:lastPrinted>
  <dcterms:created xsi:type="dcterms:W3CDTF">2026-03-13T07:15:00Z</dcterms:created>
  <dcterms:modified xsi:type="dcterms:W3CDTF">2026-03-17T09:35:00Z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0x010100CDF1BD466E83E842902559549E0F08F2</vt:lpwstr>
  </property>
</Properties>
</file>