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77FA" w14:textId="77777777" w:rsidR="00A94EFE" w:rsidRPr="00377D59" w:rsidRDefault="1D3ABBAA" w:rsidP="1D3ABBAA">
      <w:pPr>
        <w:tabs>
          <w:tab w:val="center" w:pos="4536"/>
        </w:tabs>
        <w:bidi/>
        <w:spacing w:after="120" w:line="240" w:lineRule="auto"/>
        <w:ind w:left="-142" w:right="-1" w:firstLine="142"/>
        <w:rPr>
          <w:rFonts w:ascii="Times New Roman" w:eastAsia="Times New Roman" w:hAnsi="Times New Roman" w:cs="Times New Roman"/>
          <w:b/>
          <w:bCs/>
          <w:smallCaps/>
          <w:sz w:val="32"/>
          <w:szCs w:val="32"/>
          <w:lang w:eastAsia="hu-HU"/>
        </w:rPr>
      </w:pPr>
      <w:r w:rsidRPr="1D3ABBAA">
        <w:rPr>
          <w:rFonts w:ascii="Times New Roman" w:eastAsia="Times New Roman" w:hAnsi="Times New Roman" w:cs="Times New Roman"/>
          <w:b/>
          <w:bCs/>
          <w:smallCaps/>
          <w:sz w:val="32"/>
          <w:szCs w:val="32"/>
          <w:lang w:eastAsia="hu-HU"/>
        </w:rPr>
        <w:t>Nemzetgazdasági Minisztérium</w:t>
      </w:r>
    </w:p>
    <w:p w14:paraId="36F33C9C" w14:textId="77777777" w:rsidR="001E689B" w:rsidRPr="00377D59" w:rsidRDefault="001E689B"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5"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6"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7"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8"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9"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26"/>
          <w:szCs w:val="26"/>
          <w:lang w:eastAsia="hu-HU"/>
        </w:rPr>
      </w:pPr>
    </w:p>
    <w:p w14:paraId="7B7689EB" w14:textId="74BA5630" w:rsidR="00B155FE" w:rsidRDefault="00B155FE"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4EE6826E" w14:textId="77777777" w:rsidR="000A4839" w:rsidRPr="00377D59" w:rsidRDefault="000A4839"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7B7689EC"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D"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E"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F" w14:textId="77777777" w:rsidR="00B155FE" w:rsidRPr="00377D59" w:rsidRDefault="00B155FE" w:rsidP="1D3ABBAA">
      <w:pPr>
        <w:keepNext/>
        <w:widowControl w:val="0"/>
        <w:spacing w:after="120" w:line="240" w:lineRule="auto"/>
        <w:jc w:val="center"/>
        <w:rPr>
          <w:rFonts w:ascii="Times New Roman" w:eastAsia="Times New Roman" w:hAnsi="Times New Roman" w:cs="Times New Roman"/>
          <w:b/>
          <w:bCs/>
          <w:caps/>
          <w:sz w:val="32"/>
          <w:szCs w:val="32"/>
          <w:lang w:eastAsia="hu-HU"/>
        </w:rPr>
      </w:pPr>
      <w:r w:rsidRPr="00377D59">
        <w:rPr>
          <w:rFonts w:ascii="Times New Roman" w:eastAsia="Times New Roman" w:hAnsi="Times New Roman" w:cs="Times New Roman"/>
          <w:b/>
          <w:bCs/>
          <w:caps/>
          <w:spacing w:val="60"/>
          <w:sz w:val="32"/>
          <w:szCs w:val="32"/>
          <w:lang w:eastAsia="hu-HU"/>
        </w:rPr>
        <w:t>Tájékoztató</w:t>
      </w:r>
    </w:p>
    <w:p w14:paraId="5AE02B14" w14:textId="059DB6CF" w:rsidR="00B94CCA" w:rsidRPr="00377D59" w:rsidRDefault="1D3ABBAA" w:rsidP="1D3ABBAA">
      <w:pPr>
        <w:keepNext/>
        <w:tabs>
          <w:tab w:val="left" w:pos="2694"/>
        </w:tabs>
        <w:spacing w:after="120" w:line="240" w:lineRule="auto"/>
        <w:ind w:right="-1"/>
        <w:jc w:val="center"/>
        <w:outlineLvl w:val="1"/>
        <w:rPr>
          <w:rFonts w:ascii="Times New Roman" w:eastAsia="Times New Roman" w:hAnsi="Times New Roman" w:cs="Times New Roman"/>
          <w:b/>
          <w:bCs/>
          <w:i/>
          <w:iCs/>
          <w:sz w:val="26"/>
          <w:szCs w:val="26"/>
          <w:lang w:eastAsia="hu-HU"/>
        </w:rPr>
      </w:pPr>
      <w:r w:rsidRPr="1D3ABBAA">
        <w:rPr>
          <w:rFonts w:ascii="Times New Roman" w:eastAsia="Times New Roman" w:hAnsi="Times New Roman" w:cs="Times New Roman"/>
          <w:b/>
          <w:bCs/>
          <w:i/>
          <w:iCs/>
          <w:sz w:val="26"/>
          <w:szCs w:val="26"/>
          <w:lang w:eastAsia="hu-HU"/>
        </w:rPr>
        <w:t>az államháztartás központi alrendszerének</w:t>
      </w:r>
      <w:r w:rsidR="15BE4434">
        <w:br/>
      </w:r>
      <w:r w:rsidRPr="1D3ABBAA">
        <w:rPr>
          <w:rFonts w:ascii="Times New Roman" w:eastAsia="Times New Roman" w:hAnsi="Times New Roman" w:cs="Times New Roman"/>
          <w:b/>
          <w:bCs/>
          <w:i/>
          <w:iCs/>
          <w:sz w:val="26"/>
          <w:szCs w:val="26"/>
          <w:lang w:eastAsia="hu-HU"/>
        </w:rPr>
        <w:t>2026. január végi helyzetéről</w:t>
      </w:r>
    </w:p>
    <w:p w14:paraId="7B7689F2" w14:textId="2D4563EC" w:rsidR="00B155FE" w:rsidRPr="00377D59" w:rsidRDefault="00B155FE"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4A2F8C9F"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D327E5D"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35267E04"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20BD3D31"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6E13D32"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59F56A13"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7B7689F4"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6"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7"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8" w14:textId="7C3BEFF0" w:rsidR="00B155FE" w:rsidRPr="00377D59" w:rsidRDefault="00B155FE" w:rsidP="00EA1F58">
      <w:pPr>
        <w:tabs>
          <w:tab w:val="left" w:pos="5685"/>
        </w:tabs>
        <w:spacing w:after="120" w:line="240" w:lineRule="auto"/>
        <w:jc w:val="both"/>
        <w:rPr>
          <w:rFonts w:ascii="Times New Roman" w:eastAsia="Times New Roman" w:hAnsi="Times New Roman" w:cs="Times New Roman"/>
          <w:sz w:val="26"/>
          <w:szCs w:val="20"/>
          <w:lang w:eastAsia="hu-HU"/>
        </w:rPr>
      </w:pPr>
    </w:p>
    <w:p w14:paraId="7B7689F9"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A"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B"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1CF999E6" w14:textId="7D998FB5" w:rsidR="00E97147" w:rsidRPr="00377D59" w:rsidRDefault="00B155FE" w:rsidP="1D3ABBAA">
      <w:pPr>
        <w:tabs>
          <w:tab w:val="left" w:pos="2694"/>
        </w:tabs>
        <w:spacing w:after="120" w:line="240" w:lineRule="auto"/>
        <w:jc w:val="center"/>
        <w:rPr>
          <w:rFonts w:ascii="Times New Roman" w:eastAsia="Times New Roman" w:hAnsi="Times New Roman" w:cs="Times New Roman"/>
          <w:b/>
          <w:bCs/>
          <w:lang w:eastAsia="hu-HU"/>
        </w:rPr>
        <w:sectPr w:rsidR="00E97147" w:rsidRPr="00377D59" w:rsidSect="007449BF">
          <w:headerReference w:type="default" r:id="rId11"/>
          <w:footerReference w:type="default" r:id="rId12"/>
          <w:footerReference w:type="first" r:id="rId13"/>
          <w:footnotePr>
            <w:numRestart w:val="eachPage"/>
          </w:footnotePr>
          <w:pgSz w:w="11907" w:h="16840" w:code="9"/>
          <w:pgMar w:top="1134" w:right="1134" w:bottom="1418" w:left="1418" w:header="709" w:footer="709" w:gutter="0"/>
          <w:pgNumType w:fmt="numberInDash" w:start="0"/>
          <w:cols w:space="708"/>
          <w:docGrid w:linePitch="354"/>
        </w:sectPr>
      </w:pPr>
      <w:r w:rsidRPr="00377D59">
        <w:rPr>
          <w:rFonts w:ascii="Times New Roman" w:eastAsia="Times New Roman" w:hAnsi="Times New Roman" w:cs="Times New Roman"/>
          <w:b/>
          <w:bCs/>
          <w:noProof/>
          <w:lang w:eastAsia="hu-HU"/>
        </w:rPr>
        <mc:AlternateContent>
          <mc:Choice Requires="wps">
            <w:drawing>
              <wp:anchor distT="0" distB="0" distL="114300" distR="114300" simplePos="0" relativeHeight="251658240" behindDoc="0" locked="0" layoutInCell="1" allowOverlap="1" wp14:anchorId="7B768C6C" wp14:editId="7B768C6D">
                <wp:simplePos x="0" y="0"/>
                <wp:positionH relativeFrom="column">
                  <wp:posOffset>2336732</wp:posOffset>
                </wp:positionH>
                <wp:positionV relativeFrom="paragraph">
                  <wp:posOffset>980217</wp:posOffset>
                </wp:positionV>
                <wp:extent cx="971550" cy="393065"/>
                <wp:effectExtent l="0" t="0" r="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D87395B">
              <v:rect id="Rectangle 2" style="position:absolute;margin-left:184pt;margin-top:77.2pt;width:76.5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986F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zDew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"/>
            </w:pict>
          </mc:Fallback>
        </mc:AlternateContent>
      </w:r>
      <w:r w:rsidRPr="00377D59">
        <w:rPr>
          <w:rFonts w:ascii="Times New Roman" w:eastAsia="Times New Roman" w:hAnsi="Times New Roman" w:cs="Times New Roman"/>
          <w:b/>
          <w:bCs/>
          <w:lang w:eastAsia="hu-HU"/>
        </w:rPr>
        <w:t>202</w:t>
      </w:r>
      <w:r w:rsidR="00300C27">
        <w:rPr>
          <w:rFonts w:ascii="Times New Roman" w:eastAsia="Times New Roman" w:hAnsi="Times New Roman" w:cs="Times New Roman"/>
          <w:b/>
          <w:bCs/>
          <w:lang w:eastAsia="hu-HU"/>
        </w:rPr>
        <w:t>6</w:t>
      </w:r>
      <w:r w:rsidRPr="00377D59">
        <w:rPr>
          <w:rFonts w:ascii="Times New Roman" w:eastAsia="Times New Roman" w:hAnsi="Times New Roman" w:cs="Times New Roman"/>
          <w:b/>
          <w:bCs/>
          <w:lang w:eastAsia="hu-HU"/>
        </w:rPr>
        <w:t xml:space="preserve">. </w:t>
      </w:r>
      <w:r w:rsidR="00D40DD1">
        <w:rPr>
          <w:rFonts w:ascii="Times New Roman" w:eastAsia="Times New Roman" w:hAnsi="Times New Roman" w:cs="Times New Roman"/>
          <w:b/>
          <w:bCs/>
          <w:lang w:eastAsia="hu-HU"/>
        </w:rPr>
        <w:t>február</w:t>
      </w:r>
    </w:p>
    <w:p w14:paraId="7B7689FF" w14:textId="77777777" w:rsidR="00B155FE" w:rsidRPr="00377D59" w:rsidRDefault="1D3ABBAA" w:rsidP="1D3ABBAA">
      <w:pPr>
        <w:keepNext/>
        <w:spacing w:before="240" w:after="120" w:line="360" w:lineRule="auto"/>
        <w:ind w:left="425" w:hanging="425"/>
        <w:jc w:val="center"/>
        <w:outlineLvl w:val="3"/>
        <w:rPr>
          <w:rFonts w:ascii="Times New Roman" w:eastAsia="Times New Roman" w:hAnsi="Times New Roman" w:cs="Times New Roman"/>
          <w:b/>
          <w:bCs/>
          <w:caps/>
          <w:color w:val="000000" w:themeColor="text1"/>
          <w:sz w:val="26"/>
          <w:szCs w:val="26"/>
          <w:lang w:eastAsia="hu-HU"/>
        </w:rPr>
      </w:pPr>
      <w:r w:rsidRPr="1D3ABBAA">
        <w:rPr>
          <w:rFonts w:ascii="Times New Roman" w:eastAsia="Times New Roman" w:hAnsi="Times New Roman" w:cs="Times New Roman"/>
          <w:b/>
          <w:bCs/>
          <w:caps/>
          <w:color w:val="000000" w:themeColor="text1"/>
          <w:sz w:val="26"/>
          <w:szCs w:val="26"/>
          <w:lang w:eastAsia="hu-HU"/>
        </w:rPr>
        <w:lastRenderedPageBreak/>
        <w:t>Összefoglalás</w:t>
      </w:r>
    </w:p>
    <w:p w14:paraId="6CF9F293" w14:textId="7E358F04" w:rsidR="00452639" w:rsidRPr="00F251BE" w:rsidRDefault="1D3ABBAA" w:rsidP="1D3ABBAA">
      <w:pPr>
        <w:widowControl w:val="0"/>
        <w:spacing w:after="120" w:line="254" w:lineRule="auto"/>
        <w:jc w:val="both"/>
        <w:rPr>
          <w:rFonts w:ascii="Times New Roman" w:eastAsia="Times New Roman" w:hAnsi="Times New Roman" w:cs="Times New Roman"/>
          <w:color w:val="000000" w:themeColor="text1"/>
          <w:sz w:val="26"/>
          <w:szCs w:val="26"/>
          <w:lang w:eastAsia="hu-HU"/>
        </w:rPr>
      </w:pPr>
      <w:r w:rsidRPr="00F251BE">
        <w:rPr>
          <w:rFonts w:ascii="Times New Roman" w:eastAsia="Times New Roman" w:hAnsi="Times New Roman" w:cs="Times New Roman"/>
          <w:b/>
          <w:bCs/>
          <w:color w:val="000000" w:themeColor="text1"/>
          <w:sz w:val="26"/>
          <w:szCs w:val="26"/>
          <w:lang w:eastAsia="hu-HU"/>
        </w:rPr>
        <w:t xml:space="preserve">Magyarország pénzügyei rendezettek. </w:t>
      </w:r>
      <w:r w:rsidR="00EB62E4" w:rsidRPr="00F251BE">
        <w:rPr>
          <w:rFonts w:ascii="Times New Roman" w:eastAsia="Times New Roman" w:hAnsi="Times New Roman" w:cs="Times New Roman"/>
          <w:b/>
          <w:bCs/>
          <w:color w:val="000000" w:themeColor="text1"/>
          <w:sz w:val="26"/>
          <w:szCs w:val="26"/>
          <w:lang w:eastAsia="hu-HU"/>
        </w:rPr>
        <w:t>A 2026-os költségvetés – a háború elhúzódása és a negatív külső gazdasági környezet ellenére is– minden szükséges forrást biztosít az olyan családokat, nyugdíjasokat és hazai kkv-kat támogató kormányzati programokhoz, mint például: a fix 3%-os Otthon Start Program, a fix 3%-os kkv hitel, a családi adókedvezmény megduplázása, a két- és háromgyermekes anyák szja- mentessége, a 13-ik és a 14-ik havi nyugdíj vagy a Demján Sándor Program. A kormány mindezt a költségvetés stabilitásának megőrzése mellett valósítja meg, és határozott abban, hogy a magyarok pénzét a magyar családokra és vállalkozásokra kell költeni, nem a háborúra és Ukrajnára</w:t>
      </w:r>
      <w:r w:rsidRPr="00F251BE">
        <w:rPr>
          <w:rFonts w:ascii="Times New Roman" w:eastAsia="Times New Roman" w:hAnsi="Times New Roman" w:cs="Times New Roman"/>
          <w:b/>
          <w:bCs/>
          <w:color w:val="000000" w:themeColor="text1"/>
          <w:sz w:val="26"/>
          <w:szCs w:val="26"/>
          <w:lang w:eastAsia="hu-HU"/>
        </w:rPr>
        <w:t xml:space="preserve">. </w:t>
      </w:r>
    </w:p>
    <w:p w14:paraId="3F54FE4E" w14:textId="3D16C94B" w:rsidR="00EB62E4" w:rsidRPr="00F251BE" w:rsidRDefault="00EB62E4" w:rsidP="00EB62E4">
      <w:pPr>
        <w:jc w:val="both"/>
        <w:rPr>
          <w:rFonts w:ascii="Times New Roman" w:eastAsia="Times New Roman" w:hAnsi="Times New Roman" w:cs="Times New Roman"/>
          <w:color w:val="000000" w:themeColor="text1"/>
          <w:sz w:val="26"/>
          <w:szCs w:val="26"/>
          <w:lang w:eastAsia="hu-HU"/>
        </w:rPr>
      </w:pPr>
      <w:r w:rsidRPr="00F251BE">
        <w:rPr>
          <w:rFonts w:ascii="Times New Roman" w:eastAsia="Times New Roman" w:hAnsi="Times New Roman" w:cs="Times New Roman"/>
          <w:color w:val="000000" w:themeColor="text1"/>
          <w:sz w:val="26"/>
          <w:szCs w:val="26"/>
          <w:lang w:eastAsia="hu-HU"/>
        </w:rPr>
        <w:t>2026 első hónapjában az államháztartás központi alrendszere 32,3 milliárd forintos többlettel zárt. A központi alrendszeren belül a központi költségvetés 98,</w:t>
      </w:r>
      <w:r w:rsidRPr="00F251BE">
        <w:rPr>
          <w:rFonts w:ascii="Times New Roman" w:hAnsi="Times New Roman" w:cs="Times New Roman"/>
          <w:sz w:val="26"/>
          <w:szCs w:val="26"/>
          <w:lang w:eastAsia="hu-HU"/>
        </w:rPr>
        <w:t>6</w:t>
      </w:r>
      <w:r w:rsidR="00F251BE">
        <w:rPr>
          <w:rFonts w:ascii="Times New Roman" w:hAnsi="Times New Roman" w:cs="Times New Roman"/>
          <w:sz w:val="26"/>
          <w:szCs w:val="26"/>
          <w:lang w:eastAsia="hu-HU"/>
        </w:rPr>
        <w:t> </w:t>
      </w:r>
      <w:r w:rsidRPr="00F251BE">
        <w:rPr>
          <w:rFonts w:ascii="Times New Roman" w:hAnsi="Times New Roman" w:cs="Times New Roman"/>
          <w:sz w:val="26"/>
          <w:szCs w:val="26"/>
          <w:lang w:eastAsia="hu-HU"/>
        </w:rPr>
        <w:t>milliárd</w:t>
      </w:r>
      <w:r w:rsidRPr="00F251BE">
        <w:rPr>
          <w:rFonts w:ascii="Times New Roman" w:eastAsia="Times New Roman" w:hAnsi="Times New Roman" w:cs="Times New Roman"/>
          <w:color w:val="000000" w:themeColor="text1"/>
          <w:sz w:val="26"/>
          <w:szCs w:val="26"/>
          <w:lang w:eastAsia="hu-HU"/>
        </w:rPr>
        <w:t xml:space="preserve"> forintos hiányt, az elkülönített állami pénzalapok 39,2 milliárd forintos többletet, a társadalombiztosítás pénzügyi alapjai pedig 91,7 milliárd forintos többletet mutattak.</w:t>
      </w:r>
    </w:p>
    <w:p w14:paraId="3AACC815" w14:textId="2FD6966E" w:rsidR="00EB62E4" w:rsidRPr="00F251BE" w:rsidRDefault="00EB62E4" w:rsidP="00EB62E4">
      <w:pPr>
        <w:jc w:val="both"/>
        <w:rPr>
          <w:rFonts w:ascii="Times New Roman" w:eastAsia="Times New Roman" w:hAnsi="Times New Roman" w:cs="Times New Roman"/>
          <w:color w:val="000000" w:themeColor="text1"/>
          <w:sz w:val="26"/>
          <w:szCs w:val="26"/>
          <w:lang w:eastAsia="hu-HU"/>
        </w:rPr>
      </w:pPr>
      <w:r w:rsidRPr="00F251BE">
        <w:rPr>
          <w:rFonts w:ascii="Times New Roman" w:eastAsia="Times New Roman" w:hAnsi="Times New Roman" w:cs="Times New Roman"/>
          <w:color w:val="000000" w:themeColor="text1"/>
          <w:sz w:val="26"/>
          <w:szCs w:val="26"/>
          <w:lang w:eastAsia="hu-HU"/>
        </w:rPr>
        <w:t>A központi alrendszer adó- és járulékbevételei az előző év azonos időszakához viszonyítva 9,0 százalékkal magasabban alakultak. A fogyasztáshoz kapcsolódó adók esetében 8 százalékos növekedés történt, ezen belül is kiemelendő az előző év januári adatokhoz viszonyított 7 százalékos áfabevétel emelkedés.</w:t>
      </w:r>
    </w:p>
    <w:p w14:paraId="1184ADFD" w14:textId="367A27D5" w:rsidR="00EB62E4" w:rsidRPr="00F251BE" w:rsidRDefault="00EB62E4" w:rsidP="00EB62E4">
      <w:pPr>
        <w:jc w:val="both"/>
        <w:rPr>
          <w:rFonts w:ascii="Times New Roman" w:eastAsia="Times New Roman" w:hAnsi="Times New Roman" w:cs="Times New Roman"/>
          <w:color w:val="000000" w:themeColor="text1"/>
          <w:sz w:val="26"/>
          <w:szCs w:val="26"/>
          <w:lang w:eastAsia="hu-HU"/>
        </w:rPr>
      </w:pPr>
      <w:r w:rsidRPr="00F251BE">
        <w:rPr>
          <w:rFonts w:ascii="Times New Roman" w:eastAsia="Times New Roman" w:hAnsi="Times New Roman" w:cs="Times New Roman"/>
          <w:color w:val="000000" w:themeColor="text1"/>
          <w:sz w:val="26"/>
          <w:szCs w:val="26"/>
          <w:lang w:eastAsia="hu-HU"/>
        </w:rPr>
        <w:t>Az uniós programok bevételeinek összege az év első hónapjában 240,3 milliárd forint volt. Ezen bevétel jelentős része az Integrált Közlekedésfejlesztési Operatív Program Plusz (IKOP Plusz) Európai Bizottság által október végén befogadott kifizetési kérelmeihez kapcsolódó visszatérítésekből adódik. A magas bevétel legfőbb oka az volt, hogy az Európai Bizottság a közösségi büdzsé likviditáshiányára hivatkozva, a decemberben esedékes jelentős bevételi összeget csak január elején utalta át hazánknak.</w:t>
      </w:r>
    </w:p>
    <w:p w14:paraId="2A138D04" w14:textId="77777777" w:rsidR="00EB62E4" w:rsidRPr="00F251BE" w:rsidRDefault="00EB62E4" w:rsidP="00EB62E4">
      <w:pPr>
        <w:jc w:val="both"/>
        <w:rPr>
          <w:rFonts w:ascii="Times New Roman" w:eastAsia="Times New Roman" w:hAnsi="Times New Roman" w:cs="Times New Roman"/>
          <w:color w:val="000000" w:themeColor="text1"/>
          <w:sz w:val="26"/>
          <w:szCs w:val="26"/>
          <w:lang w:eastAsia="hu-HU"/>
        </w:rPr>
      </w:pPr>
      <w:r w:rsidRPr="00F251BE">
        <w:rPr>
          <w:rFonts w:ascii="Times New Roman" w:eastAsia="Times New Roman" w:hAnsi="Times New Roman" w:cs="Times New Roman"/>
          <w:color w:val="000000" w:themeColor="text1"/>
          <w:sz w:val="26"/>
          <w:szCs w:val="26"/>
          <w:lang w:eastAsia="hu-HU"/>
        </w:rPr>
        <w:t>A költségvetési szervek kiadásainak magasabb teljesülését a fegyverpénz kifizetése okozta.</w:t>
      </w:r>
    </w:p>
    <w:p w14:paraId="4B159E94" w14:textId="77777777" w:rsidR="00EB62E4" w:rsidRPr="00F251BE" w:rsidRDefault="00EB62E4" w:rsidP="00EB62E4">
      <w:pPr>
        <w:jc w:val="both"/>
        <w:rPr>
          <w:rFonts w:ascii="Times New Roman" w:eastAsia="Times New Roman" w:hAnsi="Times New Roman" w:cs="Times New Roman"/>
          <w:color w:val="000000" w:themeColor="text1"/>
          <w:sz w:val="26"/>
          <w:szCs w:val="26"/>
          <w:lang w:eastAsia="hu-HU"/>
        </w:rPr>
      </w:pPr>
      <w:r w:rsidRPr="00F251BE">
        <w:rPr>
          <w:rFonts w:ascii="Times New Roman" w:eastAsia="Times New Roman" w:hAnsi="Times New Roman" w:cs="Times New Roman"/>
          <w:color w:val="000000" w:themeColor="text1"/>
          <w:sz w:val="26"/>
          <w:szCs w:val="26"/>
          <w:lang w:eastAsia="hu-HU"/>
        </w:rPr>
        <w:t>A kamatkiadásokra fordított kifizetések összege január végéig 179,3 milliárd forint volt, amely 206,4 milliárd forinttal alacsonyabb az előző évi azonos időszaki teljesítésnél.</w:t>
      </w:r>
    </w:p>
    <w:p w14:paraId="446B433B" w14:textId="2EC01534" w:rsidR="00300C27" w:rsidRPr="00F251BE" w:rsidRDefault="00EB62E4" w:rsidP="00EB62E4">
      <w:pPr>
        <w:jc w:val="both"/>
        <w:rPr>
          <w:rFonts w:ascii="Times New Roman" w:eastAsia="Times New Roman" w:hAnsi="Times New Roman" w:cs="Times New Roman"/>
          <w:color w:val="000000" w:themeColor="text1"/>
          <w:sz w:val="26"/>
          <w:szCs w:val="26"/>
          <w:lang w:eastAsia="hu-HU"/>
        </w:rPr>
      </w:pPr>
      <w:r w:rsidRPr="00F251BE">
        <w:rPr>
          <w:rFonts w:ascii="Times New Roman" w:eastAsia="Times New Roman" w:hAnsi="Times New Roman" w:cs="Times New Roman"/>
          <w:color w:val="000000" w:themeColor="text1"/>
          <w:sz w:val="26"/>
          <w:szCs w:val="26"/>
          <w:lang w:eastAsia="hu-HU"/>
        </w:rPr>
        <w:t>Meghaladták a tavalyi összeget a nyugellátásokra és gyógyító-megelőző ellátásokra fordított kiadások. Januárban nyugellátásokra és nyugdíjszerű ellátásokra összesen 593,3 milliárd forint, míg gyógyító-megelőző ellátásokra 232,4 milliárd forint kifizetése történt meg</w:t>
      </w:r>
      <w:r w:rsidR="1D3ABBAA" w:rsidRPr="00F251BE">
        <w:rPr>
          <w:rFonts w:ascii="Times New Roman" w:eastAsia="Times New Roman" w:hAnsi="Times New Roman" w:cs="Times New Roman"/>
          <w:color w:val="000000" w:themeColor="text1"/>
          <w:sz w:val="26"/>
          <w:szCs w:val="26"/>
          <w:lang w:eastAsia="hu-HU"/>
        </w:rPr>
        <w:t>.</w:t>
      </w:r>
    </w:p>
    <w:p w14:paraId="7B768A0B" w14:textId="77BDEBAA" w:rsidR="005171E0" w:rsidRDefault="00920F4D" w:rsidP="1D3ABBAA">
      <w:pPr>
        <w:widowControl w:val="0"/>
        <w:spacing w:after="120" w:line="254" w:lineRule="auto"/>
        <w:jc w:val="both"/>
        <w:rPr>
          <w:rFonts w:ascii="Times New Roman" w:eastAsia="Times New Roman" w:hAnsi="Times New Roman" w:cs="Times New Roman"/>
          <w:sz w:val="26"/>
          <w:szCs w:val="26"/>
          <w:lang w:eastAsia="hu-HU"/>
        </w:rPr>
      </w:pPr>
      <w:r>
        <w:rPr>
          <w:rFonts w:ascii="Times New Roman" w:eastAsia="Times New Roman" w:hAnsi="Times New Roman" w:cs="Times New Roman"/>
          <w:sz w:val="26"/>
          <w:szCs w:val="26"/>
          <w:lang w:eastAsia="hu-HU"/>
        </w:rPr>
        <w:br w:type="column"/>
      </w:r>
      <w:r w:rsidR="639E9B9B" w:rsidRPr="639E9B9B">
        <w:rPr>
          <w:rFonts w:ascii="Times New Roman" w:eastAsia="Times New Roman" w:hAnsi="Times New Roman" w:cs="Times New Roman"/>
          <w:sz w:val="26"/>
          <w:szCs w:val="26"/>
          <w:lang w:eastAsia="hu-HU"/>
        </w:rPr>
        <w:lastRenderedPageBreak/>
        <w:t xml:space="preserve">Az államháztartás központi </w:t>
      </w:r>
      <w:r w:rsidR="639E9B9B" w:rsidRPr="00456EAE">
        <w:rPr>
          <w:rFonts w:ascii="Times New Roman" w:eastAsia="Times New Roman" w:hAnsi="Times New Roman" w:cs="Times New Roman"/>
          <w:sz w:val="26"/>
          <w:szCs w:val="26"/>
          <w:lang w:eastAsia="hu-HU"/>
        </w:rPr>
        <w:t>alrendszerének 202</w:t>
      </w:r>
      <w:r w:rsidR="00EB62E4">
        <w:rPr>
          <w:rFonts w:ascii="Times New Roman" w:eastAsia="Times New Roman" w:hAnsi="Times New Roman" w:cs="Times New Roman"/>
          <w:sz w:val="26"/>
          <w:szCs w:val="26"/>
          <w:lang w:eastAsia="hu-HU"/>
        </w:rPr>
        <w:t>6</w:t>
      </w:r>
      <w:r w:rsidR="639E9B9B" w:rsidRPr="00456EAE">
        <w:rPr>
          <w:rFonts w:ascii="Times New Roman" w:eastAsia="Times New Roman" w:hAnsi="Times New Roman" w:cs="Times New Roman"/>
          <w:sz w:val="26"/>
          <w:szCs w:val="26"/>
          <w:lang w:eastAsia="hu-HU"/>
        </w:rPr>
        <w:t>.</w:t>
      </w:r>
      <w:r w:rsidR="00A673CC" w:rsidRPr="00456EAE">
        <w:rPr>
          <w:rFonts w:ascii="Times New Roman" w:eastAsia="Times New Roman" w:hAnsi="Times New Roman" w:cs="Times New Roman"/>
          <w:sz w:val="26"/>
          <w:szCs w:val="26"/>
          <w:lang w:eastAsia="hu-HU"/>
        </w:rPr>
        <w:t> </w:t>
      </w:r>
      <w:r w:rsidR="00EB62E4">
        <w:rPr>
          <w:rFonts w:ascii="Times New Roman" w:eastAsia="Times New Roman" w:hAnsi="Times New Roman" w:cs="Times New Roman"/>
          <w:sz w:val="26"/>
          <w:szCs w:val="26"/>
          <w:lang w:eastAsia="hu-HU"/>
        </w:rPr>
        <w:t>január</w:t>
      </w:r>
      <w:r w:rsidR="00A673CC" w:rsidRPr="00456EAE">
        <w:rPr>
          <w:rFonts w:ascii="Times New Roman" w:eastAsia="Times New Roman" w:hAnsi="Times New Roman" w:cs="Times New Roman"/>
          <w:sz w:val="26"/>
          <w:szCs w:val="26"/>
          <w:lang w:eastAsia="hu-HU"/>
        </w:rPr>
        <w:t> </w:t>
      </w:r>
      <w:r w:rsidR="639E9B9B" w:rsidRPr="00456EAE">
        <w:rPr>
          <w:rFonts w:ascii="Times New Roman" w:eastAsia="Times New Roman" w:hAnsi="Times New Roman" w:cs="Times New Roman"/>
          <w:sz w:val="26"/>
          <w:szCs w:val="26"/>
          <w:lang w:eastAsia="hu-HU"/>
        </w:rPr>
        <w:t>végi főbb</w:t>
      </w:r>
      <w:r w:rsidR="639E9B9B" w:rsidRPr="639E9B9B">
        <w:rPr>
          <w:rFonts w:ascii="Times New Roman" w:eastAsia="Times New Roman" w:hAnsi="Times New Roman" w:cs="Times New Roman"/>
          <w:sz w:val="26"/>
          <w:szCs w:val="26"/>
          <w:lang w:eastAsia="hu-HU"/>
        </w:rPr>
        <w:t xml:space="preserve"> pé</w:t>
      </w:r>
      <w:r w:rsidR="006D5492">
        <w:rPr>
          <w:rFonts w:ascii="Times New Roman" w:eastAsia="Times New Roman" w:hAnsi="Times New Roman" w:cs="Times New Roman"/>
          <w:sz w:val="26"/>
          <w:szCs w:val="26"/>
          <w:lang w:eastAsia="hu-HU"/>
        </w:rPr>
        <w:t>nzforgalmi adatai a következők:</w:t>
      </w:r>
    </w:p>
    <w:tbl>
      <w:tblPr>
        <w:tblW w:w="10064" w:type="dxa"/>
        <w:jc w:val="center"/>
        <w:tblLayout w:type="fixed"/>
        <w:tblCellMar>
          <w:left w:w="70" w:type="dxa"/>
          <w:right w:w="70" w:type="dxa"/>
        </w:tblCellMar>
        <w:tblLook w:val="04A0" w:firstRow="1" w:lastRow="0" w:firstColumn="1" w:lastColumn="0" w:noHBand="0" w:noVBand="1"/>
      </w:tblPr>
      <w:tblGrid>
        <w:gridCol w:w="2047"/>
        <w:gridCol w:w="1067"/>
        <w:gridCol w:w="1276"/>
        <w:gridCol w:w="1075"/>
        <w:gridCol w:w="1103"/>
        <w:gridCol w:w="1224"/>
        <w:gridCol w:w="1159"/>
        <w:gridCol w:w="1113"/>
      </w:tblGrid>
      <w:tr w:rsidR="00EB62E4" w:rsidRPr="003D514A" w14:paraId="44D583B1" w14:textId="77777777" w:rsidTr="0041684E">
        <w:trPr>
          <w:trHeight w:val="1440"/>
          <w:jc w:val="center"/>
        </w:trPr>
        <w:tc>
          <w:tcPr>
            <w:tcW w:w="20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79E8F169" w14:textId="77777777" w:rsidR="00EB62E4" w:rsidRPr="00602E3C" w:rsidRDefault="00EB62E4" w:rsidP="0041684E">
            <w:pPr>
              <w:keepNext/>
              <w:keepLines/>
              <w:rPr>
                <w:rFonts w:ascii="Times New Roman" w:hAnsi="Times New Roman" w:cs="Times New Roman"/>
                <w:sz w:val="20"/>
                <w:szCs w:val="20"/>
              </w:rPr>
            </w:pPr>
            <w:r w:rsidRPr="239528D4">
              <w:rPr>
                <w:rFonts w:ascii="Times New Roman" w:hAnsi="Times New Roman" w:cs="Times New Roman"/>
                <w:sz w:val="20"/>
                <w:szCs w:val="20"/>
              </w:rPr>
              <w:t> </w:t>
            </w:r>
          </w:p>
        </w:tc>
        <w:tc>
          <w:tcPr>
            <w:tcW w:w="106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8824DB1" w14:textId="22C0875A" w:rsidR="00EB62E4"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b/>
                <w:bCs/>
                <w:sz w:val="20"/>
                <w:szCs w:val="20"/>
              </w:rPr>
              <w:t>202</w:t>
            </w:r>
            <w:r>
              <w:rPr>
                <w:rFonts w:ascii="Times New Roman" w:hAnsi="Times New Roman" w:cs="Times New Roman"/>
                <w:b/>
                <w:bCs/>
                <w:sz w:val="20"/>
                <w:szCs w:val="20"/>
              </w:rPr>
              <w:t>5</w:t>
            </w:r>
            <w:r w:rsidRPr="3C87A00B">
              <w:rPr>
                <w:rFonts w:ascii="Times New Roman" w:hAnsi="Times New Roman" w:cs="Times New Roman"/>
                <w:b/>
                <w:bCs/>
                <w:sz w:val="20"/>
                <w:szCs w:val="20"/>
              </w:rPr>
              <w:t xml:space="preserve">. évi </w:t>
            </w:r>
            <w:r>
              <w:br/>
            </w:r>
            <w:r>
              <w:rPr>
                <w:rFonts w:ascii="Times New Roman" w:hAnsi="Times New Roman" w:cs="Times New Roman"/>
                <w:b/>
                <w:bCs/>
                <w:sz w:val="20"/>
                <w:szCs w:val="20"/>
              </w:rPr>
              <w:t xml:space="preserve">előzetes </w:t>
            </w:r>
            <w:r w:rsidRPr="3C87A00B">
              <w:rPr>
                <w:rFonts w:ascii="Times New Roman" w:hAnsi="Times New Roman" w:cs="Times New Roman"/>
                <w:b/>
                <w:bCs/>
                <w:sz w:val="20"/>
                <w:szCs w:val="20"/>
              </w:rPr>
              <w:t>tény</w:t>
            </w:r>
            <w:r>
              <w:br/>
            </w:r>
            <w:r w:rsidRPr="3C87A00B">
              <w:rPr>
                <w:rFonts w:ascii="Times New Roman" w:hAnsi="Times New Roman" w:cs="Times New Roman"/>
                <w:sz w:val="20"/>
                <w:szCs w:val="20"/>
              </w:rPr>
              <w:t>milliárd forintban</w:t>
            </w:r>
          </w:p>
          <w:p w14:paraId="16A4B65C" w14:textId="77777777"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sz w:val="20"/>
                <w:szCs w:val="20"/>
              </w:rPr>
              <w:t>(1)</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7F4A7DC" w14:textId="4B0BE4F5"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b/>
                <w:bCs/>
                <w:sz w:val="20"/>
                <w:szCs w:val="20"/>
              </w:rPr>
              <w:t>202</w:t>
            </w:r>
            <w:r>
              <w:rPr>
                <w:rFonts w:ascii="Times New Roman" w:hAnsi="Times New Roman" w:cs="Times New Roman"/>
                <w:b/>
                <w:bCs/>
                <w:sz w:val="20"/>
                <w:szCs w:val="20"/>
              </w:rPr>
              <w:t>5</w:t>
            </w:r>
            <w:r w:rsidRPr="3C87A00B">
              <w:rPr>
                <w:rFonts w:ascii="Times New Roman" w:hAnsi="Times New Roman" w:cs="Times New Roman"/>
                <w:b/>
                <w:bCs/>
                <w:sz w:val="20"/>
                <w:szCs w:val="20"/>
              </w:rPr>
              <w:t>. I. hó tény</w:t>
            </w:r>
            <w:r>
              <w:br/>
            </w:r>
            <w:r w:rsidRPr="3C87A00B">
              <w:rPr>
                <w:rFonts w:ascii="Times New Roman" w:hAnsi="Times New Roman" w:cs="Times New Roman"/>
                <w:sz w:val="20"/>
                <w:szCs w:val="20"/>
              </w:rPr>
              <w:t>milliárd forintban</w:t>
            </w:r>
          </w:p>
          <w:p w14:paraId="0FD884DB" w14:textId="77777777" w:rsidR="00EB62E4" w:rsidRPr="00602E3C" w:rsidRDefault="00EB62E4" w:rsidP="0041684E">
            <w:pPr>
              <w:keepNext/>
              <w:keepLines/>
              <w:spacing w:after="0"/>
              <w:jc w:val="center"/>
              <w:rPr>
                <w:rFonts w:ascii="Times New Roman" w:hAnsi="Times New Roman" w:cs="Times New Roman"/>
                <w:sz w:val="20"/>
                <w:szCs w:val="20"/>
              </w:rPr>
            </w:pPr>
          </w:p>
          <w:p w14:paraId="006D888C" w14:textId="77777777"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sz w:val="20"/>
                <w:szCs w:val="20"/>
              </w:rPr>
              <w:t>(2)</w:t>
            </w:r>
          </w:p>
        </w:tc>
        <w:tc>
          <w:tcPr>
            <w:tcW w:w="107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51C252D" w14:textId="77777777"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sz w:val="20"/>
                <w:szCs w:val="20"/>
              </w:rPr>
              <w:t>éves tény=100%</w:t>
            </w:r>
            <w:r>
              <w:br/>
            </w:r>
            <w:r w:rsidRPr="3C87A00B">
              <w:rPr>
                <w:rFonts w:ascii="Times New Roman" w:hAnsi="Times New Roman" w:cs="Times New Roman"/>
                <w:sz w:val="20"/>
                <w:szCs w:val="20"/>
              </w:rPr>
              <w:t>Index (%)</w:t>
            </w:r>
          </w:p>
          <w:p w14:paraId="23CAD950" w14:textId="77777777" w:rsidR="00EB62E4" w:rsidRDefault="00EB62E4" w:rsidP="0041684E">
            <w:pPr>
              <w:keepNext/>
              <w:keepLines/>
              <w:spacing w:after="0"/>
              <w:jc w:val="center"/>
              <w:rPr>
                <w:rFonts w:ascii="Times New Roman" w:hAnsi="Times New Roman" w:cs="Times New Roman"/>
                <w:sz w:val="20"/>
                <w:szCs w:val="20"/>
              </w:rPr>
            </w:pPr>
          </w:p>
          <w:p w14:paraId="37FF863F" w14:textId="77777777" w:rsidR="00EB62E4" w:rsidRPr="00602E3C" w:rsidRDefault="00EB62E4" w:rsidP="0041684E">
            <w:pPr>
              <w:keepNext/>
              <w:keepLines/>
              <w:spacing w:after="0"/>
              <w:jc w:val="center"/>
              <w:rPr>
                <w:rFonts w:ascii="Times New Roman" w:hAnsi="Times New Roman" w:cs="Times New Roman"/>
                <w:sz w:val="20"/>
                <w:szCs w:val="20"/>
              </w:rPr>
            </w:pPr>
          </w:p>
          <w:p w14:paraId="60CDF192" w14:textId="77777777"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sz w:val="20"/>
                <w:szCs w:val="20"/>
              </w:rPr>
              <w:t>(2/1)</w:t>
            </w:r>
          </w:p>
        </w:tc>
        <w:tc>
          <w:tcPr>
            <w:tcW w:w="110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7B9458E" w14:textId="2812FA50"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b/>
                <w:bCs/>
                <w:sz w:val="20"/>
                <w:szCs w:val="20"/>
              </w:rPr>
              <w:t>202</w:t>
            </w:r>
            <w:r>
              <w:rPr>
                <w:rFonts w:ascii="Times New Roman" w:hAnsi="Times New Roman" w:cs="Times New Roman"/>
                <w:b/>
                <w:bCs/>
                <w:sz w:val="20"/>
                <w:szCs w:val="20"/>
              </w:rPr>
              <w:t>6</w:t>
            </w:r>
            <w:r w:rsidRPr="3C87A00B">
              <w:rPr>
                <w:rFonts w:ascii="Times New Roman" w:hAnsi="Times New Roman" w:cs="Times New Roman"/>
                <w:b/>
                <w:bCs/>
                <w:sz w:val="20"/>
                <w:szCs w:val="20"/>
              </w:rPr>
              <w:t>. évi előirányzat</w:t>
            </w:r>
            <w:r>
              <w:br/>
            </w:r>
            <w:r w:rsidRPr="3C87A00B">
              <w:rPr>
                <w:rFonts w:ascii="Times New Roman" w:hAnsi="Times New Roman" w:cs="Times New Roman"/>
                <w:sz w:val="20"/>
                <w:szCs w:val="20"/>
              </w:rPr>
              <w:t>milliárd forintban</w:t>
            </w:r>
          </w:p>
          <w:p w14:paraId="79AE386B" w14:textId="77777777" w:rsidR="00EB62E4" w:rsidRPr="00602E3C" w:rsidRDefault="00EB62E4" w:rsidP="0041684E">
            <w:pPr>
              <w:keepNext/>
              <w:keepLines/>
              <w:spacing w:after="0"/>
              <w:jc w:val="center"/>
              <w:rPr>
                <w:rFonts w:ascii="Times New Roman" w:hAnsi="Times New Roman" w:cs="Times New Roman"/>
                <w:sz w:val="20"/>
                <w:szCs w:val="20"/>
              </w:rPr>
            </w:pPr>
          </w:p>
          <w:p w14:paraId="2BB746ED" w14:textId="77777777"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sz w:val="20"/>
                <w:szCs w:val="20"/>
              </w:rPr>
              <w:t>(3)</w:t>
            </w:r>
          </w:p>
        </w:tc>
        <w:tc>
          <w:tcPr>
            <w:tcW w:w="122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128B4DC" w14:textId="57106D14"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b/>
                <w:bCs/>
                <w:sz w:val="20"/>
                <w:szCs w:val="20"/>
              </w:rPr>
              <w:t>202</w:t>
            </w:r>
            <w:r>
              <w:rPr>
                <w:rFonts w:ascii="Times New Roman" w:hAnsi="Times New Roman" w:cs="Times New Roman"/>
                <w:b/>
                <w:bCs/>
                <w:sz w:val="20"/>
                <w:szCs w:val="20"/>
              </w:rPr>
              <w:t>6</w:t>
            </w:r>
            <w:r w:rsidRPr="3C87A00B">
              <w:rPr>
                <w:rFonts w:ascii="Times New Roman" w:hAnsi="Times New Roman" w:cs="Times New Roman"/>
                <w:b/>
                <w:bCs/>
                <w:sz w:val="20"/>
                <w:szCs w:val="20"/>
              </w:rPr>
              <w:t>. I. hó tény</w:t>
            </w:r>
            <w:r>
              <w:br/>
            </w:r>
            <w:r w:rsidRPr="3C87A00B">
              <w:rPr>
                <w:rFonts w:ascii="Times New Roman" w:hAnsi="Times New Roman" w:cs="Times New Roman"/>
                <w:sz w:val="20"/>
                <w:szCs w:val="20"/>
              </w:rPr>
              <w:t>milliárd forintban</w:t>
            </w:r>
          </w:p>
          <w:p w14:paraId="01AF2FB2" w14:textId="77777777" w:rsidR="00EB62E4" w:rsidRPr="00602E3C" w:rsidRDefault="00EB62E4" w:rsidP="0041684E">
            <w:pPr>
              <w:keepNext/>
              <w:keepLines/>
              <w:spacing w:after="0"/>
              <w:jc w:val="center"/>
              <w:rPr>
                <w:rFonts w:ascii="Times New Roman" w:hAnsi="Times New Roman" w:cs="Times New Roman"/>
                <w:sz w:val="20"/>
                <w:szCs w:val="20"/>
              </w:rPr>
            </w:pPr>
          </w:p>
          <w:p w14:paraId="38C575FD" w14:textId="77777777"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sz w:val="20"/>
                <w:szCs w:val="20"/>
              </w:rPr>
              <w:t>(4)</w:t>
            </w:r>
          </w:p>
        </w:tc>
        <w:tc>
          <w:tcPr>
            <w:tcW w:w="115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A4C38D7" w14:textId="77777777"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sz w:val="20"/>
                <w:szCs w:val="20"/>
              </w:rPr>
              <w:t>előirányzat=</w:t>
            </w:r>
            <w:r>
              <w:br/>
            </w:r>
            <w:r w:rsidRPr="3C87A00B">
              <w:rPr>
                <w:rFonts w:ascii="Times New Roman" w:hAnsi="Times New Roman" w:cs="Times New Roman"/>
                <w:sz w:val="20"/>
                <w:szCs w:val="20"/>
              </w:rPr>
              <w:t>100%</w:t>
            </w:r>
            <w:r>
              <w:br/>
            </w:r>
            <w:r w:rsidRPr="3C87A00B">
              <w:rPr>
                <w:rFonts w:ascii="Times New Roman" w:hAnsi="Times New Roman" w:cs="Times New Roman"/>
                <w:sz w:val="20"/>
                <w:szCs w:val="20"/>
              </w:rPr>
              <w:t>Index (%)</w:t>
            </w:r>
          </w:p>
          <w:p w14:paraId="292D56FD" w14:textId="77777777" w:rsidR="00EB62E4" w:rsidRDefault="00EB62E4" w:rsidP="0041684E">
            <w:pPr>
              <w:keepNext/>
              <w:keepLines/>
              <w:spacing w:after="0"/>
              <w:jc w:val="center"/>
              <w:rPr>
                <w:rFonts w:ascii="Times New Roman" w:hAnsi="Times New Roman" w:cs="Times New Roman"/>
                <w:sz w:val="20"/>
                <w:szCs w:val="20"/>
              </w:rPr>
            </w:pPr>
          </w:p>
          <w:p w14:paraId="4B6EFB4E" w14:textId="77777777" w:rsidR="00EB62E4" w:rsidRPr="00602E3C" w:rsidRDefault="00EB62E4" w:rsidP="0041684E">
            <w:pPr>
              <w:keepNext/>
              <w:keepLines/>
              <w:spacing w:after="0"/>
              <w:jc w:val="center"/>
              <w:rPr>
                <w:rFonts w:ascii="Times New Roman" w:hAnsi="Times New Roman" w:cs="Times New Roman"/>
                <w:sz w:val="20"/>
                <w:szCs w:val="20"/>
              </w:rPr>
            </w:pPr>
          </w:p>
          <w:p w14:paraId="7BABBF8A" w14:textId="77777777"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sz w:val="20"/>
                <w:szCs w:val="20"/>
              </w:rPr>
              <w:t>(4/3)</w:t>
            </w:r>
          </w:p>
        </w:tc>
        <w:tc>
          <w:tcPr>
            <w:tcW w:w="111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6E01A08" w14:textId="77777777" w:rsidR="00EB62E4" w:rsidRPr="00602E3C" w:rsidRDefault="00EB62E4" w:rsidP="0041684E">
            <w:pPr>
              <w:keepNext/>
              <w:keepLines/>
              <w:spacing w:after="0"/>
              <w:jc w:val="center"/>
              <w:rPr>
                <w:rFonts w:ascii="Times New Roman" w:hAnsi="Times New Roman" w:cs="Times New Roman"/>
                <w:sz w:val="20"/>
                <w:szCs w:val="20"/>
              </w:rPr>
            </w:pPr>
            <w:r w:rsidRPr="3C87A00B">
              <w:rPr>
                <w:rFonts w:ascii="Times New Roman" w:hAnsi="Times New Roman" w:cs="Times New Roman"/>
                <w:sz w:val="20"/>
                <w:szCs w:val="20"/>
              </w:rPr>
              <w:t>előző év=</w:t>
            </w:r>
            <w:r>
              <w:br/>
            </w:r>
            <w:r w:rsidRPr="3C87A00B">
              <w:rPr>
                <w:rFonts w:ascii="Times New Roman" w:hAnsi="Times New Roman" w:cs="Times New Roman"/>
                <w:sz w:val="20"/>
                <w:szCs w:val="20"/>
              </w:rPr>
              <w:t>100%</w:t>
            </w:r>
            <w:r>
              <w:br/>
            </w:r>
            <w:r w:rsidRPr="3C87A00B">
              <w:rPr>
                <w:rFonts w:ascii="Times New Roman" w:hAnsi="Times New Roman" w:cs="Times New Roman"/>
                <w:sz w:val="20"/>
                <w:szCs w:val="20"/>
              </w:rPr>
              <w:t>Index (%)</w:t>
            </w:r>
          </w:p>
          <w:p w14:paraId="5E5352FC" w14:textId="77777777" w:rsidR="00EB62E4" w:rsidRPr="00602E3C" w:rsidRDefault="00EB62E4" w:rsidP="0041684E">
            <w:pPr>
              <w:keepNext/>
              <w:keepLines/>
              <w:spacing w:after="0"/>
              <w:jc w:val="center"/>
              <w:rPr>
                <w:rFonts w:ascii="Times New Roman" w:hAnsi="Times New Roman" w:cs="Times New Roman"/>
                <w:sz w:val="20"/>
                <w:szCs w:val="20"/>
              </w:rPr>
            </w:pPr>
          </w:p>
          <w:p w14:paraId="3DA38296" w14:textId="77777777" w:rsidR="00EB62E4" w:rsidRPr="00602E3C" w:rsidRDefault="00EB62E4" w:rsidP="0041684E">
            <w:pPr>
              <w:keepNext/>
              <w:keepLines/>
              <w:spacing w:after="0"/>
              <w:jc w:val="center"/>
              <w:rPr>
                <w:rFonts w:ascii="Times New Roman" w:hAnsi="Times New Roman" w:cs="Times New Roman"/>
                <w:sz w:val="20"/>
                <w:szCs w:val="20"/>
              </w:rPr>
            </w:pPr>
            <w:r>
              <w:br/>
            </w:r>
            <w:r w:rsidRPr="3C87A00B">
              <w:rPr>
                <w:rFonts w:ascii="Times New Roman" w:hAnsi="Times New Roman" w:cs="Times New Roman"/>
                <w:sz w:val="20"/>
                <w:szCs w:val="20"/>
              </w:rPr>
              <w:t>(4/2)</w:t>
            </w:r>
          </w:p>
        </w:tc>
      </w:tr>
      <w:tr w:rsidR="00EB62E4" w:rsidRPr="003D514A" w14:paraId="07500852"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4E29F6EA" w14:textId="77777777" w:rsidR="00EB62E4" w:rsidRPr="00602E3C" w:rsidRDefault="00EB62E4" w:rsidP="00EB62E4">
            <w:pPr>
              <w:keepNext/>
              <w:keepLines/>
              <w:spacing w:before="120" w:after="120"/>
              <w:rPr>
                <w:rFonts w:ascii="Times New Roman" w:hAnsi="Times New Roman" w:cs="Times New Roman"/>
                <w:b/>
                <w:bCs/>
                <w:sz w:val="20"/>
                <w:szCs w:val="20"/>
              </w:rPr>
            </w:pPr>
            <w:r w:rsidRPr="3C87A00B">
              <w:rPr>
                <w:rFonts w:ascii="Times New Roman" w:hAnsi="Times New Roman" w:cs="Times New Roman"/>
                <w:b/>
                <w:bCs/>
                <w:sz w:val="20"/>
                <w:szCs w:val="20"/>
              </w:rPr>
              <w:t>Központi költségvetés egyenlege</w:t>
            </w:r>
          </w:p>
        </w:tc>
        <w:tc>
          <w:tcPr>
            <w:tcW w:w="1067" w:type="dxa"/>
            <w:tcBorders>
              <w:top w:val="single" w:sz="4" w:space="0" w:color="auto"/>
              <w:left w:val="single" w:sz="4" w:space="0" w:color="auto"/>
              <w:bottom w:val="single" w:sz="4" w:space="0" w:color="auto"/>
              <w:right w:val="single" w:sz="4" w:space="0" w:color="auto"/>
            </w:tcBorders>
            <w:noWrap/>
            <w:vAlign w:val="center"/>
          </w:tcPr>
          <w:p w14:paraId="3AF25223" w14:textId="6F8A98B6"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-5 500,1</w:t>
            </w:r>
          </w:p>
        </w:tc>
        <w:tc>
          <w:tcPr>
            <w:tcW w:w="1276" w:type="dxa"/>
            <w:tcBorders>
              <w:top w:val="single" w:sz="4" w:space="0" w:color="auto"/>
              <w:left w:val="nil"/>
              <w:bottom w:val="single" w:sz="4" w:space="0" w:color="auto"/>
              <w:right w:val="single" w:sz="4" w:space="0" w:color="auto"/>
            </w:tcBorders>
            <w:noWrap/>
            <w:vAlign w:val="center"/>
          </w:tcPr>
          <w:p w14:paraId="7D45EE77" w14:textId="3D36EEDB"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-166,</w:t>
            </w:r>
            <w:r>
              <w:rPr>
                <w:rFonts w:ascii="Garamond" w:hAnsi="Garamond"/>
                <w:b/>
                <w:bCs/>
                <w:sz w:val="20"/>
                <w:szCs w:val="20"/>
              </w:rPr>
              <w:t>2</w:t>
            </w:r>
          </w:p>
        </w:tc>
        <w:tc>
          <w:tcPr>
            <w:tcW w:w="1075" w:type="dxa"/>
            <w:tcBorders>
              <w:top w:val="single" w:sz="4" w:space="0" w:color="auto"/>
              <w:left w:val="nil"/>
              <w:bottom w:val="single" w:sz="4" w:space="0" w:color="auto"/>
              <w:right w:val="single" w:sz="4" w:space="0" w:color="auto"/>
            </w:tcBorders>
            <w:noWrap/>
            <w:vAlign w:val="center"/>
          </w:tcPr>
          <w:p w14:paraId="7EDA3EB1" w14:textId="7028CC07"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3,0</w:t>
            </w:r>
          </w:p>
        </w:tc>
        <w:tc>
          <w:tcPr>
            <w:tcW w:w="1103" w:type="dxa"/>
            <w:tcBorders>
              <w:top w:val="single" w:sz="4" w:space="0" w:color="auto"/>
              <w:left w:val="nil"/>
              <w:bottom w:val="single" w:sz="4" w:space="0" w:color="auto"/>
              <w:right w:val="single" w:sz="4" w:space="0" w:color="auto"/>
            </w:tcBorders>
            <w:noWrap/>
            <w:vAlign w:val="center"/>
          </w:tcPr>
          <w:p w14:paraId="15A4090F" w14:textId="66DB42B4"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-4 294,0</w:t>
            </w:r>
          </w:p>
        </w:tc>
        <w:tc>
          <w:tcPr>
            <w:tcW w:w="1224" w:type="dxa"/>
            <w:tcBorders>
              <w:top w:val="single" w:sz="4" w:space="0" w:color="auto"/>
              <w:left w:val="nil"/>
              <w:bottom w:val="single" w:sz="4" w:space="0" w:color="auto"/>
              <w:right w:val="single" w:sz="4" w:space="0" w:color="auto"/>
            </w:tcBorders>
            <w:noWrap/>
            <w:vAlign w:val="center"/>
          </w:tcPr>
          <w:p w14:paraId="50FC488F" w14:textId="426F7A37"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-98,</w:t>
            </w:r>
            <w:r>
              <w:rPr>
                <w:rFonts w:ascii="Garamond" w:hAnsi="Garamond"/>
                <w:b/>
                <w:bCs/>
                <w:sz w:val="20"/>
                <w:szCs w:val="20"/>
              </w:rPr>
              <w:t>6</w:t>
            </w:r>
          </w:p>
        </w:tc>
        <w:tc>
          <w:tcPr>
            <w:tcW w:w="1159" w:type="dxa"/>
            <w:tcBorders>
              <w:top w:val="single" w:sz="4" w:space="0" w:color="auto"/>
              <w:left w:val="nil"/>
              <w:bottom w:val="single" w:sz="4" w:space="0" w:color="auto"/>
              <w:right w:val="single" w:sz="4" w:space="0" w:color="auto"/>
            </w:tcBorders>
            <w:noWrap/>
            <w:vAlign w:val="center"/>
          </w:tcPr>
          <w:p w14:paraId="7978740E" w14:textId="12597220"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2,3</w:t>
            </w:r>
          </w:p>
        </w:tc>
        <w:tc>
          <w:tcPr>
            <w:tcW w:w="1113" w:type="dxa"/>
            <w:tcBorders>
              <w:top w:val="single" w:sz="4" w:space="0" w:color="auto"/>
              <w:left w:val="nil"/>
              <w:bottom w:val="single" w:sz="4" w:space="0" w:color="auto"/>
              <w:right w:val="single" w:sz="4" w:space="0" w:color="auto"/>
            </w:tcBorders>
            <w:noWrap/>
            <w:vAlign w:val="center"/>
          </w:tcPr>
          <w:p w14:paraId="1D0942AF" w14:textId="08DB39EC"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59,</w:t>
            </w:r>
            <w:r>
              <w:rPr>
                <w:rFonts w:ascii="Garamond" w:hAnsi="Garamond"/>
                <w:sz w:val="20"/>
                <w:szCs w:val="20"/>
              </w:rPr>
              <w:t>3</w:t>
            </w:r>
          </w:p>
        </w:tc>
      </w:tr>
      <w:tr w:rsidR="00EB62E4" w:rsidRPr="003D514A" w14:paraId="7ED7811A"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45BF5FA" w14:textId="77777777" w:rsidR="00EB62E4" w:rsidRPr="00602E3C" w:rsidRDefault="00EB62E4" w:rsidP="00EB62E4">
            <w:pPr>
              <w:keepNext/>
              <w:keepLines/>
              <w:spacing w:before="120" w:after="120"/>
              <w:jc w:val="right"/>
              <w:rPr>
                <w:rFonts w:ascii="Times New Roman" w:hAnsi="Times New Roman" w:cs="Times New Roman"/>
                <w:sz w:val="20"/>
                <w:szCs w:val="20"/>
              </w:rPr>
            </w:pPr>
            <w:r w:rsidRPr="3C87A00B">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76F83688" w14:textId="73346C8D"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27 058,6</w:t>
            </w:r>
          </w:p>
        </w:tc>
        <w:tc>
          <w:tcPr>
            <w:tcW w:w="1276" w:type="dxa"/>
            <w:tcBorders>
              <w:top w:val="nil"/>
              <w:left w:val="nil"/>
              <w:bottom w:val="single" w:sz="4" w:space="0" w:color="auto"/>
              <w:right w:val="single" w:sz="4" w:space="0" w:color="auto"/>
            </w:tcBorders>
            <w:noWrap/>
            <w:vAlign w:val="center"/>
          </w:tcPr>
          <w:p w14:paraId="2B5100E2" w14:textId="43B84B7C"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2 251,9</w:t>
            </w:r>
          </w:p>
        </w:tc>
        <w:tc>
          <w:tcPr>
            <w:tcW w:w="1075" w:type="dxa"/>
            <w:tcBorders>
              <w:top w:val="nil"/>
              <w:left w:val="nil"/>
              <w:bottom w:val="single" w:sz="4" w:space="0" w:color="auto"/>
              <w:right w:val="single" w:sz="4" w:space="0" w:color="auto"/>
            </w:tcBorders>
            <w:noWrap/>
            <w:vAlign w:val="center"/>
          </w:tcPr>
          <w:p w14:paraId="5D9BB325" w14:textId="5013CE3B"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8,3</w:t>
            </w:r>
          </w:p>
        </w:tc>
        <w:tc>
          <w:tcPr>
            <w:tcW w:w="1103" w:type="dxa"/>
            <w:tcBorders>
              <w:top w:val="nil"/>
              <w:left w:val="nil"/>
              <w:bottom w:val="single" w:sz="4" w:space="0" w:color="auto"/>
              <w:right w:val="single" w:sz="4" w:space="0" w:color="auto"/>
            </w:tcBorders>
            <w:noWrap/>
            <w:vAlign w:val="center"/>
          </w:tcPr>
          <w:p w14:paraId="39347280" w14:textId="5C3D2A74"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26 702,8</w:t>
            </w:r>
          </w:p>
        </w:tc>
        <w:tc>
          <w:tcPr>
            <w:tcW w:w="1224" w:type="dxa"/>
            <w:tcBorders>
              <w:top w:val="nil"/>
              <w:left w:val="nil"/>
              <w:bottom w:val="single" w:sz="4" w:space="0" w:color="auto"/>
              <w:right w:val="single" w:sz="4" w:space="0" w:color="auto"/>
            </w:tcBorders>
            <w:noWrap/>
            <w:vAlign w:val="center"/>
          </w:tcPr>
          <w:p w14:paraId="2C196D18" w14:textId="5BE97880"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2 925,2</w:t>
            </w:r>
          </w:p>
        </w:tc>
        <w:tc>
          <w:tcPr>
            <w:tcW w:w="1159" w:type="dxa"/>
            <w:tcBorders>
              <w:top w:val="nil"/>
              <w:left w:val="nil"/>
              <w:bottom w:val="single" w:sz="4" w:space="0" w:color="auto"/>
              <w:right w:val="single" w:sz="4" w:space="0" w:color="auto"/>
            </w:tcBorders>
            <w:noWrap/>
            <w:vAlign w:val="center"/>
          </w:tcPr>
          <w:p w14:paraId="667B0E54" w14:textId="49D9387D"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11,0</w:t>
            </w:r>
          </w:p>
        </w:tc>
        <w:tc>
          <w:tcPr>
            <w:tcW w:w="1113" w:type="dxa"/>
            <w:tcBorders>
              <w:top w:val="nil"/>
              <w:left w:val="nil"/>
              <w:bottom w:val="single" w:sz="4" w:space="0" w:color="auto"/>
              <w:right w:val="single" w:sz="4" w:space="0" w:color="auto"/>
            </w:tcBorders>
            <w:noWrap/>
            <w:vAlign w:val="center"/>
          </w:tcPr>
          <w:p w14:paraId="19E199D7" w14:textId="48199BD8"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129,9</w:t>
            </w:r>
          </w:p>
        </w:tc>
      </w:tr>
      <w:tr w:rsidR="00EB62E4" w:rsidRPr="003D514A" w14:paraId="7AE9D9AD"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C80C4E6" w14:textId="77777777" w:rsidR="00EB62E4" w:rsidRPr="00602E3C" w:rsidRDefault="00EB62E4" w:rsidP="00EB62E4">
            <w:pPr>
              <w:keepNext/>
              <w:keepLines/>
              <w:spacing w:before="120" w:after="120"/>
              <w:jc w:val="right"/>
              <w:rPr>
                <w:rFonts w:ascii="Times New Roman" w:hAnsi="Times New Roman" w:cs="Times New Roman"/>
                <w:sz w:val="20"/>
                <w:szCs w:val="20"/>
              </w:rPr>
            </w:pPr>
            <w:r w:rsidRPr="3C87A00B">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630E682B" w14:textId="59069761"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32 558,7</w:t>
            </w:r>
          </w:p>
        </w:tc>
        <w:tc>
          <w:tcPr>
            <w:tcW w:w="1276" w:type="dxa"/>
            <w:tcBorders>
              <w:top w:val="nil"/>
              <w:left w:val="nil"/>
              <w:bottom w:val="single" w:sz="4" w:space="0" w:color="auto"/>
              <w:right w:val="single" w:sz="4" w:space="0" w:color="auto"/>
            </w:tcBorders>
            <w:noWrap/>
            <w:vAlign w:val="center"/>
          </w:tcPr>
          <w:p w14:paraId="3ABF37CD" w14:textId="7330E1DB"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2 418,0</w:t>
            </w:r>
          </w:p>
        </w:tc>
        <w:tc>
          <w:tcPr>
            <w:tcW w:w="1075" w:type="dxa"/>
            <w:tcBorders>
              <w:top w:val="nil"/>
              <w:left w:val="nil"/>
              <w:bottom w:val="single" w:sz="4" w:space="0" w:color="auto"/>
              <w:right w:val="single" w:sz="4" w:space="0" w:color="auto"/>
            </w:tcBorders>
            <w:noWrap/>
            <w:vAlign w:val="center"/>
          </w:tcPr>
          <w:p w14:paraId="54CC88D1" w14:textId="2B5602FD"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7,4</w:t>
            </w:r>
          </w:p>
        </w:tc>
        <w:tc>
          <w:tcPr>
            <w:tcW w:w="1103" w:type="dxa"/>
            <w:tcBorders>
              <w:top w:val="nil"/>
              <w:left w:val="nil"/>
              <w:bottom w:val="single" w:sz="4" w:space="0" w:color="auto"/>
              <w:right w:val="single" w:sz="4" w:space="0" w:color="auto"/>
            </w:tcBorders>
            <w:noWrap/>
            <w:vAlign w:val="center"/>
          </w:tcPr>
          <w:p w14:paraId="45A98F7E" w14:textId="0815715E"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30 996,9</w:t>
            </w:r>
          </w:p>
        </w:tc>
        <w:tc>
          <w:tcPr>
            <w:tcW w:w="1224" w:type="dxa"/>
            <w:tcBorders>
              <w:top w:val="nil"/>
              <w:left w:val="nil"/>
              <w:bottom w:val="single" w:sz="4" w:space="0" w:color="auto"/>
              <w:right w:val="single" w:sz="4" w:space="0" w:color="auto"/>
            </w:tcBorders>
            <w:noWrap/>
            <w:vAlign w:val="center"/>
          </w:tcPr>
          <w:p w14:paraId="14F2BF40" w14:textId="6A51A5C9"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3 023,9</w:t>
            </w:r>
          </w:p>
        </w:tc>
        <w:tc>
          <w:tcPr>
            <w:tcW w:w="1159" w:type="dxa"/>
            <w:tcBorders>
              <w:top w:val="nil"/>
              <w:left w:val="nil"/>
              <w:bottom w:val="single" w:sz="4" w:space="0" w:color="auto"/>
              <w:right w:val="single" w:sz="4" w:space="0" w:color="auto"/>
            </w:tcBorders>
            <w:noWrap/>
            <w:vAlign w:val="center"/>
          </w:tcPr>
          <w:p w14:paraId="3F9FB1FF" w14:textId="3A4E2303"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9,8</w:t>
            </w:r>
          </w:p>
        </w:tc>
        <w:tc>
          <w:tcPr>
            <w:tcW w:w="1113" w:type="dxa"/>
            <w:tcBorders>
              <w:top w:val="nil"/>
              <w:left w:val="nil"/>
              <w:bottom w:val="single" w:sz="4" w:space="0" w:color="auto"/>
              <w:right w:val="single" w:sz="4" w:space="0" w:color="auto"/>
            </w:tcBorders>
            <w:noWrap/>
            <w:vAlign w:val="center"/>
          </w:tcPr>
          <w:p w14:paraId="6C7C62DE" w14:textId="7B44413A"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125,1</w:t>
            </w:r>
          </w:p>
        </w:tc>
      </w:tr>
      <w:tr w:rsidR="00EB62E4" w:rsidRPr="003D514A" w14:paraId="1F6C0145"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7850CBF0" w14:textId="77777777" w:rsidR="00EB62E4" w:rsidRPr="00602E3C" w:rsidRDefault="00EB62E4" w:rsidP="00EB62E4">
            <w:pPr>
              <w:keepNext/>
              <w:keepLines/>
              <w:spacing w:before="120" w:after="120"/>
              <w:rPr>
                <w:rFonts w:ascii="Times New Roman" w:hAnsi="Times New Roman" w:cs="Times New Roman"/>
                <w:b/>
                <w:bCs/>
                <w:sz w:val="20"/>
                <w:szCs w:val="20"/>
              </w:rPr>
            </w:pPr>
            <w:r w:rsidRPr="3C87A00B">
              <w:rPr>
                <w:rFonts w:ascii="Times New Roman" w:hAnsi="Times New Roman" w:cs="Times New Roman"/>
                <w:b/>
                <w:bCs/>
                <w:sz w:val="20"/>
                <w:szCs w:val="20"/>
              </w:rPr>
              <w:t>Elkülönített állami pénzalapok egyenlege</w:t>
            </w:r>
          </w:p>
        </w:tc>
        <w:tc>
          <w:tcPr>
            <w:tcW w:w="1067" w:type="dxa"/>
            <w:tcBorders>
              <w:top w:val="nil"/>
              <w:left w:val="single" w:sz="4" w:space="0" w:color="auto"/>
              <w:bottom w:val="single" w:sz="4" w:space="0" w:color="auto"/>
              <w:right w:val="single" w:sz="4" w:space="0" w:color="auto"/>
            </w:tcBorders>
            <w:noWrap/>
            <w:vAlign w:val="center"/>
          </w:tcPr>
          <w:p w14:paraId="4EACAD66" w14:textId="54151925"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7,3</w:t>
            </w:r>
          </w:p>
        </w:tc>
        <w:tc>
          <w:tcPr>
            <w:tcW w:w="1276" w:type="dxa"/>
            <w:tcBorders>
              <w:top w:val="nil"/>
              <w:left w:val="nil"/>
              <w:bottom w:val="single" w:sz="4" w:space="0" w:color="auto"/>
              <w:right w:val="single" w:sz="4" w:space="0" w:color="auto"/>
            </w:tcBorders>
            <w:noWrap/>
            <w:vAlign w:val="center"/>
          </w:tcPr>
          <w:p w14:paraId="5184FB98" w14:textId="6E75E389"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35,4</w:t>
            </w:r>
          </w:p>
        </w:tc>
        <w:tc>
          <w:tcPr>
            <w:tcW w:w="1075" w:type="dxa"/>
            <w:tcBorders>
              <w:top w:val="nil"/>
              <w:left w:val="nil"/>
              <w:bottom w:val="single" w:sz="4" w:space="0" w:color="auto"/>
              <w:right w:val="single" w:sz="4" w:space="0" w:color="auto"/>
            </w:tcBorders>
            <w:noWrap/>
            <w:vAlign w:val="center"/>
          </w:tcPr>
          <w:p w14:paraId="75B4D261" w14:textId="0FC45150"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484,9</w:t>
            </w:r>
          </w:p>
        </w:tc>
        <w:tc>
          <w:tcPr>
            <w:tcW w:w="1103" w:type="dxa"/>
            <w:tcBorders>
              <w:top w:val="nil"/>
              <w:left w:val="nil"/>
              <w:bottom w:val="single" w:sz="4" w:space="0" w:color="auto"/>
              <w:right w:val="single" w:sz="4" w:space="0" w:color="auto"/>
            </w:tcBorders>
            <w:noWrap/>
            <w:vAlign w:val="center"/>
          </w:tcPr>
          <w:p w14:paraId="34F7BD1D" w14:textId="60B38011"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75,5</w:t>
            </w:r>
          </w:p>
        </w:tc>
        <w:tc>
          <w:tcPr>
            <w:tcW w:w="1224" w:type="dxa"/>
            <w:tcBorders>
              <w:top w:val="nil"/>
              <w:left w:val="nil"/>
              <w:bottom w:val="single" w:sz="4" w:space="0" w:color="auto"/>
              <w:right w:val="single" w:sz="4" w:space="0" w:color="auto"/>
            </w:tcBorders>
            <w:noWrap/>
            <w:vAlign w:val="center"/>
          </w:tcPr>
          <w:p w14:paraId="1F1ECE57" w14:textId="2C192F0A"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39,2</w:t>
            </w:r>
          </w:p>
        </w:tc>
        <w:tc>
          <w:tcPr>
            <w:tcW w:w="1159" w:type="dxa"/>
            <w:tcBorders>
              <w:top w:val="nil"/>
              <w:left w:val="nil"/>
              <w:bottom w:val="single" w:sz="4" w:space="0" w:color="auto"/>
              <w:right w:val="single" w:sz="4" w:space="0" w:color="auto"/>
            </w:tcBorders>
            <w:noWrap/>
            <w:vAlign w:val="center"/>
          </w:tcPr>
          <w:p w14:paraId="7BDE9A0C" w14:textId="56C5497E"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51,9</w:t>
            </w:r>
          </w:p>
        </w:tc>
        <w:tc>
          <w:tcPr>
            <w:tcW w:w="1113" w:type="dxa"/>
            <w:tcBorders>
              <w:top w:val="nil"/>
              <w:left w:val="nil"/>
              <w:bottom w:val="single" w:sz="4" w:space="0" w:color="auto"/>
              <w:right w:val="single" w:sz="4" w:space="0" w:color="auto"/>
            </w:tcBorders>
            <w:noWrap/>
            <w:vAlign w:val="center"/>
          </w:tcPr>
          <w:p w14:paraId="25C8B246" w14:textId="6CF03968"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110,7</w:t>
            </w:r>
          </w:p>
        </w:tc>
      </w:tr>
      <w:tr w:rsidR="00EB62E4" w:rsidRPr="003D514A" w14:paraId="0BEB8BDA"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D7985BE" w14:textId="77777777" w:rsidR="00EB62E4" w:rsidRPr="00602E3C" w:rsidRDefault="00EB62E4" w:rsidP="00EB62E4">
            <w:pPr>
              <w:keepNext/>
              <w:keepLines/>
              <w:spacing w:before="120" w:after="120"/>
              <w:jc w:val="right"/>
              <w:rPr>
                <w:rFonts w:ascii="Times New Roman" w:hAnsi="Times New Roman" w:cs="Times New Roman"/>
                <w:sz w:val="20"/>
                <w:szCs w:val="20"/>
              </w:rPr>
            </w:pPr>
            <w:r w:rsidRPr="3C87A00B">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0A0C7D0E" w14:textId="1C58F7D0"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838,2</w:t>
            </w:r>
          </w:p>
        </w:tc>
        <w:tc>
          <w:tcPr>
            <w:tcW w:w="1276" w:type="dxa"/>
            <w:tcBorders>
              <w:top w:val="nil"/>
              <w:left w:val="nil"/>
              <w:bottom w:val="single" w:sz="4" w:space="0" w:color="auto"/>
              <w:right w:val="single" w:sz="4" w:space="0" w:color="auto"/>
            </w:tcBorders>
            <w:noWrap/>
            <w:vAlign w:val="center"/>
          </w:tcPr>
          <w:p w14:paraId="1C2629F3" w14:textId="39BFBB9A"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80,7</w:t>
            </w:r>
          </w:p>
        </w:tc>
        <w:tc>
          <w:tcPr>
            <w:tcW w:w="1075" w:type="dxa"/>
            <w:tcBorders>
              <w:top w:val="nil"/>
              <w:left w:val="nil"/>
              <w:bottom w:val="single" w:sz="4" w:space="0" w:color="auto"/>
              <w:right w:val="single" w:sz="4" w:space="0" w:color="auto"/>
            </w:tcBorders>
            <w:noWrap/>
            <w:vAlign w:val="center"/>
          </w:tcPr>
          <w:p w14:paraId="7F241B07" w14:textId="360D3C0C"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9,6</w:t>
            </w:r>
          </w:p>
        </w:tc>
        <w:tc>
          <w:tcPr>
            <w:tcW w:w="1103" w:type="dxa"/>
            <w:tcBorders>
              <w:top w:val="nil"/>
              <w:left w:val="nil"/>
              <w:bottom w:val="single" w:sz="4" w:space="0" w:color="auto"/>
              <w:right w:val="single" w:sz="4" w:space="0" w:color="auto"/>
            </w:tcBorders>
            <w:noWrap/>
            <w:vAlign w:val="center"/>
          </w:tcPr>
          <w:p w14:paraId="272DCDE3" w14:textId="1293248B"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918,3</w:t>
            </w:r>
          </w:p>
        </w:tc>
        <w:tc>
          <w:tcPr>
            <w:tcW w:w="1224" w:type="dxa"/>
            <w:tcBorders>
              <w:top w:val="nil"/>
              <w:left w:val="nil"/>
              <w:bottom w:val="single" w:sz="4" w:space="0" w:color="auto"/>
              <w:right w:val="single" w:sz="4" w:space="0" w:color="auto"/>
            </w:tcBorders>
            <w:noWrap/>
            <w:vAlign w:val="center"/>
          </w:tcPr>
          <w:p w14:paraId="23403823" w14:textId="0485459F"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93,3</w:t>
            </w:r>
          </w:p>
        </w:tc>
        <w:tc>
          <w:tcPr>
            <w:tcW w:w="1159" w:type="dxa"/>
            <w:tcBorders>
              <w:top w:val="nil"/>
              <w:left w:val="nil"/>
              <w:bottom w:val="single" w:sz="4" w:space="0" w:color="auto"/>
              <w:right w:val="single" w:sz="4" w:space="0" w:color="auto"/>
            </w:tcBorders>
            <w:noWrap/>
            <w:vAlign w:val="center"/>
          </w:tcPr>
          <w:p w14:paraId="71B652CE" w14:textId="516EB182"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10,2</w:t>
            </w:r>
          </w:p>
        </w:tc>
        <w:tc>
          <w:tcPr>
            <w:tcW w:w="1113" w:type="dxa"/>
            <w:tcBorders>
              <w:top w:val="nil"/>
              <w:left w:val="nil"/>
              <w:bottom w:val="single" w:sz="4" w:space="0" w:color="auto"/>
              <w:right w:val="single" w:sz="4" w:space="0" w:color="auto"/>
            </w:tcBorders>
            <w:noWrap/>
            <w:vAlign w:val="center"/>
          </w:tcPr>
          <w:p w14:paraId="7A939C99" w14:textId="7CAB7932"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115,6</w:t>
            </w:r>
          </w:p>
        </w:tc>
      </w:tr>
      <w:tr w:rsidR="00EB62E4" w:rsidRPr="00190176" w14:paraId="21851932"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6660DDD2" w14:textId="77777777" w:rsidR="00EB62E4" w:rsidRPr="00602E3C" w:rsidRDefault="00EB62E4" w:rsidP="00EB62E4">
            <w:pPr>
              <w:keepNext/>
              <w:keepLines/>
              <w:spacing w:before="120" w:after="120"/>
              <w:jc w:val="right"/>
              <w:rPr>
                <w:rFonts w:ascii="Times New Roman" w:hAnsi="Times New Roman" w:cs="Times New Roman"/>
                <w:sz w:val="20"/>
                <w:szCs w:val="20"/>
              </w:rPr>
            </w:pPr>
            <w:r w:rsidRPr="3C87A00B">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2D2AA0E6" w14:textId="3B82EE23"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830,9</w:t>
            </w:r>
          </w:p>
        </w:tc>
        <w:tc>
          <w:tcPr>
            <w:tcW w:w="1276" w:type="dxa"/>
            <w:tcBorders>
              <w:top w:val="nil"/>
              <w:left w:val="nil"/>
              <w:bottom w:val="single" w:sz="4" w:space="0" w:color="auto"/>
              <w:right w:val="single" w:sz="4" w:space="0" w:color="auto"/>
            </w:tcBorders>
            <w:noWrap/>
            <w:vAlign w:val="center"/>
          </w:tcPr>
          <w:p w14:paraId="576B68B3" w14:textId="17293F5A"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45,3</w:t>
            </w:r>
          </w:p>
        </w:tc>
        <w:tc>
          <w:tcPr>
            <w:tcW w:w="1075" w:type="dxa"/>
            <w:tcBorders>
              <w:top w:val="nil"/>
              <w:left w:val="nil"/>
              <w:bottom w:val="single" w:sz="4" w:space="0" w:color="auto"/>
              <w:right w:val="single" w:sz="4" w:space="0" w:color="auto"/>
            </w:tcBorders>
            <w:noWrap/>
            <w:vAlign w:val="center"/>
          </w:tcPr>
          <w:p w14:paraId="4E9C905D" w14:textId="7F117D4F"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5,5</w:t>
            </w:r>
          </w:p>
        </w:tc>
        <w:tc>
          <w:tcPr>
            <w:tcW w:w="1103" w:type="dxa"/>
            <w:tcBorders>
              <w:top w:val="nil"/>
              <w:left w:val="nil"/>
              <w:bottom w:val="single" w:sz="4" w:space="0" w:color="auto"/>
              <w:right w:val="single" w:sz="4" w:space="0" w:color="auto"/>
            </w:tcBorders>
            <w:noWrap/>
            <w:vAlign w:val="center"/>
          </w:tcPr>
          <w:p w14:paraId="675B2ADB" w14:textId="15F45C1C"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842,8</w:t>
            </w:r>
          </w:p>
        </w:tc>
        <w:tc>
          <w:tcPr>
            <w:tcW w:w="1224" w:type="dxa"/>
            <w:tcBorders>
              <w:top w:val="nil"/>
              <w:left w:val="nil"/>
              <w:bottom w:val="single" w:sz="4" w:space="0" w:color="auto"/>
              <w:right w:val="single" w:sz="4" w:space="0" w:color="auto"/>
            </w:tcBorders>
            <w:noWrap/>
            <w:vAlign w:val="center"/>
          </w:tcPr>
          <w:p w14:paraId="2F88030E" w14:textId="3E3C9A61"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54,1</w:t>
            </w:r>
          </w:p>
        </w:tc>
        <w:tc>
          <w:tcPr>
            <w:tcW w:w="1159" w:type="dxa"/>
            <w:tcBorders>
              <w:top w:val="nil"/>
              <w:left w:val="nil"/>
              <w:bottom w:val="single" w:sz="4" w:space="0" w:color="auto"/>
              <w:right w:val="single" w:sz="4" w:space="0" w:color="auto"/>
            </w:tcBorders>
            <w:noWrap/>
            <w:vAlign w:val="center"/>
          </w:tcPr>
          <w:p w14:paraId="0FE9EE5B" w14:textId="039D2D3B"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6,4</w:t>
            </w:r>
          </w:p>
        </w:tc>
        <w:tc>
          <w:tcPr>
            <w:tcW w:w="1113" w:type="dxa"/>
            <w:tcBorders>
              <w:top w:val="nil"/>
              <w:left w:val="nil"/>
              <w:bottom w:val="single" w:sz="4" w:space="0" w:color="auto"/>
              <w:right w:val="single" w:sz="4" w:space="0" w:color="auto"/>
            </w:tcBorders>
            <w:noWrap/>
            <w:vAlign w:val="center"/>
          </w:tcPr>
          <w:p w14:paraId="1C69CA5D" w14:textId="16236A36"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119,4</w:t>
            </w:r>
          </w:p>
        </w:tc>
      </w:tr>
      <w:tr w:rsidR="00EB62E4" w:rsidRPr="003D514A" w14:paraId="60B524D9"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A244A9D" w14:textId="77777777" w:rsidR="00EB62E4" w:rsidRPr="00602E3C" w:rsidRDefault="00EB62E4" w:rsidP="00EB62E4">
            <w:pPr>
              <w:keepNext/>
              <w:keepLines/>
              <w:spacing w:before="120" w:after="120"/>
              <w:rPr>
                <w:rFonts w:ascii="Times New Roman" w:hAnsi="Times New Roman" w:cs="Times New Roman"/>
                <w:b/>
                <w:bCs/>
                <w:sz w:val="20"/>
                <w:szCs w:val="20"/>
              </w:rPr>
            </w:pPr>
            <w:r w:rsidRPr="3C87A00B">
              <w:rPr>
                <w:rFonts w:ascii="Times New Roman" w:hAnsi="Times New Roman" w:cs="Times New Roman"/>
                <w:b/>
                <w:bCs/>
                <w:sz w:val="20"/>
                <w:szCs w:val="20"/>
              </w:rPr>
              <w:t>Társadalombiztosítás pénzügyi alapjainak egyenlege</w:t>
            </w:r>
          </w:p>
        </w:tc>
        <w:tc>
          <w:tcPr>
            <w:tcW w:w="1067" w:type="dxa"/>
            <w:tcBorders>
              <w:top w:val="nil"/>
              <w:left w:val="single" w:sz="4" w:space="0" w:color="auto"/>
              <w:bottom w:val="single" w:sz="4" w:space="0" w:color="auto"/>
              <w:right w:val="single" w:sz="4" w:space="0" w:color="auto"/>
            </w:tcBorders>
            <w:noWrap/>
            <w:vAlign w:val="center"/>
          </w:tcPr>
          <w:p w14:paraId="2D4F2C66" w14:textId="24D34343"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-245,9</w:t>
            </w:r>
          </w:p>
        </w:tc>
        <w:tc>
          <w:tcPr>
            <w:tcW w:w="1276" w:type="dxa"/>
            <w:tcBorders>
              <w:top w:val="nil"/>
              <w:left w:val="nil"/>
              <w:bottom w:val="single" w:sz="4" w:space="0" w:color="auto"/>
              <w:right w:val="single" w:sz="4" w:space="0" w:color="auto"/>
            </w:tcBorders>
            <w:noWrap/>
            <w:vAlign w:val="center"/>
          </w:tcPr>
          <w:p w14:paraId="516703D8" w14:textId="36E3CD46"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62,9</w:t>
            </w:r>
          </w:p>
        </w:tc>
        <w:tc>
          <w:tcPr>
            <w:tcW w:w="1075" w:type="dxa"/>
            <w:tcBorders>
              <w:top w:val="nil"/>
              <w:left w:val="nil"/>
              <w:bottom w:val="single" w:sz="4" w:space="0" w:color="auto"/>
              <w:right w:val="single" w:sz="4" w:space="0" w:color="auto"/>
            </w:tcBorders>
            <w:noWrap/>
            <w:vAlign w:val="center"/>
          </w:tcPr>
          <w:p w14:paraId="780B578C" w14:textId="210D3722"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-25,6</w:t>
            </w:r>
          </w:p>
        </w:tc>
        <w:tc>
          <w:tcPr>
            <w:tcW w:w="1103" w:type="dxa"/>
            <w:tcBorders>
              <w:top w:val="nil"/>
              <w:left w:val="nil"/>
              <w:bottom w:val="single" w:sz="4" w:space="0" w:color="auto"/>
              <w:right w:val="single" w:sz="4" w:space="0" w:color="auto"/>
            </w:tcBorders>
            <w:noWrap/>
            <w:vAlign w:val="center"/>
          </w:tcPr>
          <w:p w14:paraId="662A8D25" w14:textId="5416954C"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0,0</w:t>
            </w:r>
          </w:p>
        </w:tc>
        <w:tc>
          <w:tcPr>
            <w:tcW w:w="1224" w:type="dxa"/>
            <w:tcBorders>
              <w:top w:val="nil"/>
              <w:left w:val="nil"/>
              <w:bottom w:val="single" w:sz="4" w:space="0" w:color="auto"/>
              <w:right w:val="single" w:sz="4" w:space="0" w:color="auto"/>
            </w:tcBorders>
            <w:noWrap/>
            <w:vAlign w:val="center"/>
          </w:tcPr>
          <w:p w14:paraId="0975A4E1" w14:textId="69E405DE"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91,7</w:t>
            </w:r>
          </w:p>
        </w:tc>
        <w:tc>
          <w:tcPr>
            <w:tcW w:w="1159" w:type="dxa"/>
            <w:tcBorders>
              <w:top w:val="nil"/>
              <w:left w:val="nil"/>
              <w:bottom w:val="single" w:sz="4" w:space="0" w:color="auto"/>
              <w:right w:val="single" w:sz="4" w:space="0" w:color="auto"/>
            </w:tcBorders>
            <w:noWrap/>
            <w:vAlign w:val="center"/>
          </w:tcPr>
          <w:p w14:paraId="0142F674" w14:textId="77777777" w:rsidR="00EB62E4" w:rsidRPr="007007A3" w:rsidRDefault="00EB62E4" w:rsidP="00EB62E4">
            <w:pPr>
              <w:spacing w:before="120" w:after="120"/>
              <w:jc w:val="right"/>
              <w:rPr>
                <w:rFonts w:ascii="Times New Roman" w:hAnsi="Times New Roman" w:cs="Times New Roman"/>
                <w:sz w:val="20"/>
                <w:szCs w:val="20"/>
              </w:rPr>
            </w:pPr>
          </w:p>
        </w:tc>
        <w:tc>
          <w:tcPr>
            <w:tcW w:w="1113" w:type="dxa"/>
            <w:tcBorders>
              <w:top w:val="nil"/>
              <w:left w:val="nil"/>
              <w:bottom w:val="single" w:sz="4" w:space="0" w:color="auto"/>
              <w:right w:val="single" w:sz="4" w:space="0" w:color="auto"/>
            </w:tcBorders>
            <w:noWrap/>
            <w:vAlign w:val="center"/>
          </w:tcPr>
          <w:p w14:paraId="00F561CA" w14:textId="0E20DC9B"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145,8</w:t>
            </w:r>
          </w:p>
        </w:tc>
      </w:tr>
      <w:tr w:rsidR="00EB62E4" w:rsidRPr="003D514A" w14:paraId="6196F208"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0539374" w14:textId="77777777" w:rsidR="00EB62E4" w:rsidRPr="00602E3C" w:rsidRDefault="00EB62E4" w:rsidP="00EB62E4">
            <w:pPr>
              <w:keepNext/>
              <w:keepLines/>
              <w:spacing w:before="120" w:after="120"/>
              <w:jc w:val="right"/>
              <w:rPr>
                <w:rFonts w:ascii="Times New Roman" w:hAnsi="Times New Roman" w:cs="Times New Roman"/>
                <w:sz w:val="20"/>
                <w:szCs w:val="20"/>
              </w:rPr>
            </w:pPr>
            <w:r w:rsidRPr="3C87A00B">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414C829C" w14:textId="496853A9"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11 294,9</w:t>
            </w:r>
          </w:p>
        </w:tc>
        <w:tc>
          <w:tcPr>
            <w:tcW w:w="1276" w:type="dxa"/>
            <w:tcBorders>
              <w:top w:val="nil"/>
              <w:left w:val="nil"/>
              <w:bottom w:val="single" w:sz="4" w:space="0" w:color="auto"/>
              <w:right w:val="single" w:sz="4" w:space="0" w:color="auto"/>
            </w:tcBorders>
            <w:noWrap/>
            <w:vAlign w:val="center"/>
          </w:tcPr>
          <w:p w14:paraId="2F3B80BA" w14:textId="3576AEA1"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947,7</w:t>
            </w:r>
          </w:p>
        </w:tc>
        <w:tc>
          <w:tcPr>
            <w:tcW w:w="1075" w:type="dxa"/>
            <w:tcBorders>
              <w:top w:val="nil"/>
              <w:left w:val="nil"/>
              <w:bottom w:val="single" w:sz="4" w:space="0" w:color="auto"/>
              <w:right w:val="single" w:sz="4" w:space="0" w:color="auto"/>
            </w:tcBorders>
            <w:noWrap/>
            <w:vAlign w:val="center"/>
          </w:tcPr>
          <w:p w14:paraId="18C6222F" w14:textId="5CADF631"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8,4</w:t>
            </w:r>
          </w:p>
        </w:tc>
        <w:tc>
          <w:tcPr>
            <w:tcW w:w="1103" w:type="dxa"/>
            <w:tcBorders>
              <w:top w:val="nil"/>
              <w:left w:val="nil"/>
              <w:bottom w:val="single" w:sz="4" w:space="0" w:color="auto"/>
              <w:right w:val="single" w:sz="4" w:space="0" w:color="auto"/>
            </w:tcBorders>
            <w:noWrap/>
            <w:vAlign w:val="center"/>
          </w:tcPr>
          <w:p w14:paraId="041A2AE9" w14:textId="2D711E33"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11 941,6</w:t>
            </w:r>
          </w:p>
        </w:tc>
        <w:tc>
          <w:tcPr>
            <w:tcW w:w="1224" w:type="dxa"/>
            <w:tcBorders>
              <w:top w:val="nil"/>
              <w:left w:val="nil"/>
              <w:bottom w:val="single" w:sz="4" w:space="0" w:color="auto"/>
              <w:right w:val="single" w:sz="4" w:space="0" w:color="auto"/>
            </w:tcBorders>
            <w:noWrap/>
            <w:vAlign w:val="center"/>
          </w:tcPr>
          <w:p w14:paraId="7AECEB35" w14:textId="0ECFC07B"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1 036,3</w:t>
            </w:r>
          </w:p>
        </w:tc>
        <w:tc>
          <w:tcPr>
            <w:tcW w:w="1159" w:type="dxa"/>
            <w:tcBorders>
              <w:top w:val="nil"/>
              <w:left w:val="nil"/>
              <w:bottom w:val="single" w:sz="4" w:space="0" w:color="auto"/>
              <w:right w:val="single" w:sz="4" w:space="0" w:color="auto"/>
            </w:tcBorders>
            <w:noWrap/>
            <w:vAlign w:val="center"/>
          </w:tcPr>
          <w:p w14:paraId="6E0843CA" w14:textId="55775A23"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8,7</w:t>
            </w:r>
          </w:p>
        </w:tc>
        <w:tc>
          <w:tcPr>
            <w:tcW w:w="1113" w:type="dxa"/>
            <w:tcBorders>
              <w:top w:val="nil"/>
              <w:left w:val="nil"/>
              <w:bottom w:val="single" w:sz="4" w:space="0" w:color="auto"/>
              <w:right w:val="single" w:sz="4" w:space="0" w:color="auto"/>
            </w:tcBorders>
            <w:noWrap/>
            <w:vAlign w:val="center"/>
          </w:tcPr>
          <w:p w14:paraId="4E1DA02E" w14:textId="7E107F65"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109,3</w:t>
            </w:r>
          </w:p>
        </w:tc>
      </w:tr>
      <w:tr w:rsidR="00EB62E4" w:rsidRPr="003D514A" w14:paraId="2E0C2349"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76CFF744" w14:textId="77777777" w:rsidR="00EB62E4" w:rsidRPr="00602E3C" w:rsidRDefault="00EB62E4" w:rsidP="00EB62E4">
            <w:pPr>
              <w:keepNext/>
              <w:keepLines/>
              <w:spacing w:before="120" w:after="120"/>
              <w:jc w:val="right"/>
              <w:rPr>
                <w:rFonts w:ascii="Times New Roman" w:hAnsi="Times New Roman" w:cs="Times New Roman"/>
                <w:sz w:val="20"/>
                <w:szCs w:val="20"/>
              </w:rPr>
            </w:pPr>
            <w:r w:rsidRPr="3C87A00B">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234DEE28" w14:textId="07DD19F7"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11 540,8</w:t>
            </w:r>
          </w:p>
        </w:tc>
        <w:tc>
          <w:tcPr>
            <w:tcW w:w="1276" w:type="dxa"/>
            <w:tcBorders>
              <w:top w:val="nil"/>
              <w:left w:val="nil"/>
              <w:bottom w:val="single" w:sz="4" w:space="0" w:color="auto"/>
              <w:right w:val="single" w:sz="4" w:space="0" w:color="auto"/>
            </w:tcBorders>
            <w:noWrap/>
            <w:vAlign w:val="center"/>
          </w:tcPr>
          <w:p w14:paraId="7FB63125" w14:textId="6AEECF59"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884,8</w:t>
            </w:r>
          </w:p>
        </w:tc>
        <w:tc>
          <w:tcPr>
            <w:tcW w:w="1075" w:type="dxa"/>
            <w:tcBorders>
              <w:top w:val="nil"/>
              <w:left w:val="nil"/>
              <w:bottom w:val="single" w:sz="4" w:space="0" w:color="auto"/>
              <w:right w:val="single" w:sz="4" w:space="0" w:color="auto"/>
            </w:tcBorders>
            <w:noWrap/>
            <w:vAlign w:val="center"/>
          </w:tcPr>
          <w:p w14:paraId="0B8856A0" w14:textId="0FAAD709"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7,7</w:t>
            </w:r>
          </w:p>
        </w:tc>
        <w:tc>
          <w:tcPr>
            <w:tcW w:w="1103" w:type="dxa"/>
            <w:tcBorders>
              <w:top w:val="nil"/>
              <w:left w:val="nil"/>
              <w:bottom w:val="single" w:sz="4" w:space="0" w:color="auto"/>
              <w:right w:val="single" w:sz="4" w:space="0" w:color="auto"/>
            </w:tcBorders>
            <w:noWrap/>
            <w:vAlign w:val="center"/>
          </w:tcPr>
          <w:p w14:paraId="086FE71C" w14:textId="5FAC90BC"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11 941,6</w:t>
            </w:r>
          </w:p>
        </w:tc>
        <w:tc>
          <w:tcPr>
            <w:tcW w:w="1224" w:type="dxa"/>
            <w:tcBorders>
              <w:top w:val="nil"/>
              <w:left w:val="nil"/>
              <w:bottom w:val="single" w:sz="4" w:space="0" w:color="auto"/>
              <w:right w:val="single" w:sz="4" w:space="0" w:color="auto"/>
            </w:tcBorders>
            <w:noWrap/>
            <w:vAlign w:val="center"/>
          </w:tcPr>
          <w:p w14:paraId="4801CC60" w14:textId="04AD2E43"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944,6</w:t>
            </w:r>
          </w:p>
        </w:tc>
        <w:tc>
          <w:tcPr>
            <w:tcW w:w="1159" w:type="dxa"/>
            <w:tcBorders>
              <w:top w:val="nil"/>
              <w:left w:val="nil"/>
              <w:bottom w:val="single" w:sz="4" w:space="0" w:color="auto"/>
              <w:right w:val="single" w:sz="4" w:space="0" w:color="auto"/>
            </w:tcBorders>
            <w:noWrap/>
            <w:vAlign w:val="center"/>
          </w:tcPr>
          <w:p w14:paraId="080A695A" w14:textId="2ABF725C"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7,9</w:t>
            </w:r>
          </w:p>
        </w:tc>
        <w:tc>
          <w:tcPr>
            <w:tcW w:w="1113" w:type="dxa"/>
            <w:tcBorders>
              <w:top w:val="nil"/>
              <w:left w:val="nil"/>
              <w:bottom w:val="single" w:sz="4" w:space="0" w:color="auto"/>
              <w:right w:val="single" w:sz="4" w:space="0" w:color="auto"/>
            </w:tcBorders>
            <w:noWrap/>
            <w:vAlign w:val="center"/>
          </w:tcPr>
          <w:p w14:paraId="12785972" w14:textId="5A2F1185"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106,8</w:t>
            </w:r>
          </w:p>
        </w:tc>
      </w:tr>
      <w:tr w:rsidR="00EB62E4" w:rsidRPr="003D514A" w14:paraId="4C937A62"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2B27C31" w14:textId="77777777" w:rsidR="00EB62E4" w:rsidRPr="00602E3C" w:rsidRDefault="00EB62E4" w:rsidP="00EB62E4">
            <w:pPr>
              <w:keepNext/>
              <w:keepLines/>
              <w:spacing w:before="120" w:after="120"/>
              <w:rPr>
                <w:rFonts w:ascii="Times New Roman" w:hAnsi="Times New Roman" w:cs="Times New Roman"/>
                <w:b/>
                <w:bCs/>
                <w:sz w:val="20"/>
                <w:szCs w:val="20"/>
              </w:rPr>
            </w:pPr>
            <w:r w:rsidRPr="3C87A00B">
              <w:rPr>
                <w:rFonts w:ascii="Times New Roman" w:hAnsi="Times New Roman" w:cs="Times New Roman"/>
                <w:b/>
                <w:bCs/>
                <w:sz w:val="20"/>
                <w:szCs w:val="20"/>
              </w:rPr>
              <w:t>Egyenleg összesen</w:t>
            </w:r>
          </w:p>
        </w:tc>
        <w:tc>
          <w:tcPr>
            <w:tcW w:w="1067" w:type="dxa"/>
            <w:tcBorders>
              <w:top w:val="nil"/>
              <w:left w:val="single" w:sz="4" w:space="0" w:color="auto"/>
              <w:bottom w:val="single" w:sz="4" w:space="0" w:color="auto"/>
              <w:right w:val="single" w:sz="4" w:space="0" w:color="auto"/>
            </w:tcBorders>
            <w:noWrap/>
            <w:vAlign w:val="center"/>
          </w:tcPr>
          <w:p w14:paraId="34532105" w14:textId="109FF78B"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-5 738,7</w:t>
            </w:r>
          </w:p>
        </w:tc>
        <w:tc>
          <w:tcPr>
            <w:tcW w:w="1276" w:type="dxa"/>
            <w:tcBorders>
              <w:top w:val="nil"/>
              <w:left w:val="nil"/>
              <w:bottom w:val="single" w:sz="4" w:space="0" w:color="auto"/>
              <w:right w:val="single" w:sz="4" w:space="0" w:color="auto"/>
            </w:tcBorders>
            <w:noWrap/>
            <w:vAlign w:val="center"/>
          </w:tcPr>
          <w:p w14:paraId="74267FA6" w14:textId="61D0EB72"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-67,8</w:t>
            </w:r>
          </w:p>
        </w:tc>
        <w:tc>
          <w:tcPr>
            <w:tcW w:w="1075" w:type="dxa"/>
            <w:tcBorders>
              <w:top w:val="nil"/>
              <w:left w:val="nil"/>
              <w:bottom w:val="single" w:sz="4" w:space="0" w:color="auto"/>
              <w:right w:val="single" w:sz="4" w:space="0" w:color="auto"/>
            </w:tcBorders>
            <w:noWrap/>
            <w:vAlign w:val="center"/>
          </w:tcPr>
          <w:p w14:paraId="03FC0469" w14:textId="46B87C9F"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1,2</w:t>
            </w:r>
          </w:p>
        </w:tc>
        <w:tc>
          <w:tcPr>
            <w:tcW w:w="1103" w:type="dxa"/>
            <w:tcBorders>
              <w:top w:val="nil"/>
              <w:left w:val="nil"/>
              <w:bottom w:val="single" w:sz="4" w:space="0" w:color="auto"/>
              <w:right w:val="single" w:sz="4" w:space="0" w:color="auto"/>
            </w:tcBorders>
            <w:noWrap/>
            <w:vAlign w:val="center"/>
          </w:tcPr>
          <w:p w14:paraId="7641E26B" w14:textId="26568875"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-4 218,5</w:t>
            </w:r>
          </w:p>
        </w:tc>
        <w:tc>
          <w:tcPr>
            <w:tcW w:w="1224" w:type="dxa"/>
            <w:tcBorders>
              <w:top w:val="nil"/>
              <w:left w:val="nil"/>
              <w:bottom w:val="single" w:sz="4" w:space="0" w:color="auto"/>
              <w:right w:val="single" w:sz="4" w:space="0" w:color="auto"/>
            </w:tcBorders>
            <w:noWrap/>
            <w:vAlign w:val="center"/>
          </w:tcPr>
          <w:p w14:paraId="58981E80" w14:textId="690EA5E9" w:rsidR="00EB62E4" w:rsidRPr="007007A3" w:rsidRDefault="00EB62E4" w:rsidP="00EB62E4">
            <w:pPr>
              <w:spacing w:before="120" w:after="120"/>
              <w:jc w:val="right"/>
              <w:rPr>
                <w:rFonts w:ascii="Times New Roman" w:hAnsi="Times New Roman" w:cs="Times New Roman"/>
                <w:b/>
                <w:bCs/>
                <w:sz w:val="20"/>
                <w:szCs w:val="20"/>
              </w:rPr>
            </w:pPr>
            <w:r w:rsidRPr="005139FA">
              <w:rPr>
                <w:rFonts w:ascii="Garamond" w:hAnsi="Garamond"/>
                <w:b/>
                <w:bCs/>
                <w:sz w:val="20"/>
                <w:szCs w:val="20"/>
              </w:rPr>
              <w:t>32,</w:t>
            </w:r>
            <w:r>
              <w:rPr>
                <w:rFonts w:ascii="Garamond" w:hAnsi="Garamond"/>
                <w:b/>
                <w:bCs/>
                <w:sz w:val="20"/>
                <w:szCs w:val="20"/>
              </w:rPr>
              <w:t>3</w:t>
            </w:r>
          </w:p>
        </w:tc>
        <w:tc>
          <w:tcPr>
            <w:tcW w:w="1159" w:type="dxa"/>
            <w:tcBorders>
              <w:top w:val="nil"/>
              <w:left w:val="nil"/>
              <w:bottom w:val="single" w:sz="4" w:space="0" w:color="auto"/>
              <w:right w:val="single" w:sz="4" w:space="0" w:color="auto"/>
            </w:tcBorders>
            <w:noWrap/>
            <w:vAlign w:val="center"/>
          </w:tcPr>
          <w:p w14:paraId="5ED7099D" w14:textId="7C7FE995"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-0,8</w:t>
            </w:r>
          </w:p>
        </w:tc>
        <w:tc>
          <w:tcPr>
            <w:tcW w:w="1113" w:type="dxa"/>
            <w:tcBorders>
              <w:top w:val="nil"/>
              <w:left w:val="nil"/>
              <w:bottom w:val="single" w:sz="4" w:space="0" w:color="auto"/>
              <w:right w:val="single" w:sz="4" w:space="0" w:color="auto"/>
            </w:tcBorders>
            <w:noWrap/>
            <w:vAlign w:val="center"/>
          </w:tcPr>
          <w:p w14:paraId="7A98A233" w14:textId="3BA08636"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-47,</w:t>
            </w:r>
            <w:r>
              <w:rPr>
                <w:rFonts w:ascii="Garamond" w:hAnsi="Garamond"/>
                <w:sz w:val="20"/>
                <w:szCs w:val="20"/>
              </w:rPr>
              <w:t>6</w:t>
            </w:r>
          </w:p>
        </w:tc>
      </w:tr>
      <w:tr w:rsidR="00EB62E4" w:rsidRPr="003D514A" w14:paraId="4C7D7EF2"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50CAE52E" w14:textId="77777777" w:rsidR="00EB62E4" w:rsidRPr="00602E3C" w:rsidRDefault="00EB62E4" w:rsidP="00EB62E4">
            <w:pPr>
              <w:keepNext/>
              <w:keepLines/>
              <w:spacing w:before="120" w:after="120"/>
              <w:jc w:val="right"/>
              <w:rPr>
                <w:rFonts w:ascii="Times New Roman" w:hAnsi="Times New Roman" w:cs="Times New Roman"/>
                <w:sz w:val="20"/>
                <w:szCs w:val="20"/>
              </w:rPr>
            </w:pPr>
            <w:r w:rsidRPr="3C87A00B">
              <w:rPr>
                <w:rFonts w:ascii="Times New Roman" w:hAnsi="Times New Roman" w:cs="Times New Roman"/>
                <w:sz w:val="20"/>
                <w:szCs w:val="20"/>
              </w:rPr>
              <w:t>bevétel:</w:t>
            </w:r>
          </w:p>
        </w:tc>
        <w:tc>
          <w:tcPr>
            <w:tcW w:w="1067" w:type="dxa"/>
            <w:tcBorders>
              <w:top w:val="nil"/>
              <w:left w:val="single" w:sz="4" w:space="0" w:color="auto"/>
              <w:bottom w:val="single" w:sz="4" w:space="0" w:color="auto"/>
              <w:right w:val="single" w:sz="4" w:space="0" w:color="auto"/>
            </w:tcBorders>
            <w:noWrap/>
            <w:vAlign w:val="center"/>
          </w:tcPr>
          <w:p w14:paraId="12C6FEEA" w14:textId="5D4BA818"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39 191,6</w:t>
            </w:r>
          </w:p>
        </w:tc>
        <w:tc>
          <w:tcPr>
            <w:tcW w:w="1276" w:type="dxa"/>
            <w:tcBorders>
              <w:top w:val="nil"/>
              <w:left w:val="nil"/>
              <w:bottom w:val="single" w:sz="4" w:space="0" w:color="auto"/>
              <w:right w:val="single" w:sz="4" w:space="0" w:color="auto"/>
            </w:tcBorders>
            <w:noWrap/>
            <w:vAlign w:val="center"/>
          </w:tcPr>
          <w:p w14:paraId="772E0B61" w14:textId="5736D1EF"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3 280,3</w:t>
            </w:r>
          </w:p>
        </w:tc>
        <w:tc>
          <w:tcPr>
            <w:tcW w:w="1075" w:type="dxa"/>
            <w:tcBorders>
              <w:top w:val="nil"/>
              <w:left w:val="nil"/>
              <w:bottom w:val="single" w:sz="4" w:space="0" w:color="auto"/>
              <w:right w:val="single" w:sz="4" w:space="0" w:color="auto"/>
            </w:tcBorders>
            <w:noWrap/>
            <w:vAlign w:val="center"/>
          </w:tcPr>
          <w:p w14:paraId="3C77872B" w14:textId="1A411A13"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8,4</w:t>
            </w:r>
          </w:p>
        </w:tc>
        <w:tc>
          <w:tcPr>
            <w:tcW w:w="1103" w:type="dxa"/>
            <w:tcBorders>
              <w:top w:val="nil"/>
              <w:left w:val="nil"/>
              <w:bottom w:val="single" w:sz="4" w:space="0" w:color="auto"/>
              <w:right w:val="single" w:sz="4" w:space="0" w:color="auto"/>
            </w:tcBorders>
            <w:noWrap/>
            <w:vAlign w:val="center"/>
          </w:tcPr>
          <w:p w14:paraId="50894B12" w14:textId="52AD5757"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39 562,8</w:t>
            </w:r>
          </w:p>
        </w:tc>
        <w:tc>
          <w:tcPr>
            <w:tcW w:w="1224" w:type="dxa"/>
            <w:tcBorders>
              <w:top w:val="nil"/>
              <w:left w:val="nil"/>
              <w:bottom w:val="single" w:sz="4" w:space="0" w:color="auto"/>
              <w:right w:val="single" w:sz="4" w:space="0" w:color="auto"/>
            </w:tcBorders>
            <w:noWrap/>
            <w:vAlign w:val="center"/>
          </w:tcPr>
          <w:p w14:paraId="3E11D232" w14:textId="17C52A81"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4 054,9</w:t>
            </w:r>
          </w:p>
        </w:tc>
        <w:tc>
          <w:tcPr>
            <w:tcW w:w="1159" w:type="dxa"/>
            <w:tcBorders>
              <w:top w:val="nil"/>
              <w:left w:val="nil"/>
              <w:bottom w:val="single" w:sz="4" w:space="0" w:color="auto"/>
              <w:right w:val="single" w:sz="4" w:space="0" w:color="auto"/>
            </w:tcBorders>
            <w:noWrap/>
            <w:vAlign w:val="center"/>
          </w:tcPr>
          <w:p w14:paraId="4CB9AE24" w14:textId="45D107E2"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10,2</w:t>
            </w:r>
          </w:p>
        </w:tc>
        <w:tc>
          <w:tcPr>
            <w:tcW w:w="1113" w:type="dxa"/>
            <w:tcBorders>
              <w:top w:val="nil"/>
              <w:left w:val="nil"/>
              <w:bottom w:val="single" w:sz="4" w:space="0" w:color="auto"/>
              <w:right w:val="single" w:sz="4" w:space="0" w:color="auto"/>
            </w:tcBorders>
            <w:noWrap/>
            <w:vAlign w:val="center"/>
          </w:tcPr>
          <w:p w14:paraId="0A5A7D17" w14:textId="45720DAD"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123,6</w:t>
            </w:r>
          </w:p>
        </w:tc>
      </w:tr>
      <w:tr w:rsidR="00EB62E4" w:rsidRPr="0096527E" w14:paraId="121D35E5" w14:textId="77777777" w:rsidTr="0041684E">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57BEE79" w14:textId="77777777" w:rsidR="00EB62E4" w:rsidRPr="00602E3C" w:rsidRDefault="00EB62E4" w:rsidP="00EB62E4">
            <w:pPr>
              <w:keepNext/>
              <w:keepLines/>
              <w:spacing w:before="120" w:after="120"/>
              <w:jc w:val="right"/>
              <w:rPr>
                <w:rFonts w:ascii="Times New Roman" w:hAnsi="Times New Roman" w:cs="Times New Roman"/>
                <w:sz w:val="20"/>
                <w:szCs w:val="20"/>
              </w:rPr>
            </w:pPr>
            <w:r w:rsidRPr="3C87A00B">
              <w:rPr>
                <w:rFonts w:ascii="Times New Roman" w:hAnsi="Times New Roman" w:cs="Times New Roman"/>
                <w:sz w:val="20"/>
                <w:szCs w:val="20"/>
              </w:rPr>
              <w:t>kiadás:</w:t>
            </w:r>
          </w:p>
        </w:tc>
        <w:tc>
          <w:tcPr>
            <w:tcW w:w="1067" w:type="dxa"/>
            <w:tcBorders>
              <w:top w:val="nil"/>
              <w:left w:val="single" w:sz="4" w:space="0" w:color="auto"/>
              <w:bottom w:val="single" w:sz="4" w:space="0" w:color="auto"/>
              <w:right w:val="single" w:sz="4" w:space="0" w:color="auto"/>
            </w:tcBorders>
            <w:noWrap/>
            <w:vAlign w:val="center"/>
          </w:tcPr>
          <w:p w14:paraId="7E78424A" w14:textId="26591987"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44 930,4</w:t>
            </w:r>
          </w:p>
        </w:tc>
        <w:tc>
          <w:tcPr>
            <w:tcW w:w="1276" w:type="dxa"/>
            <w:tcBorders>
              <w:top w:val="nil"/>
              <w:left w:val="nil"/>
              <w:bottom w:val="single" w:sz="4" w:space="0" w:color="auto"/>
              <w:right w:val="single" w:sz="4" w:space="0" w:color="auto"/>
            </w:tcBorders>
            <w:noWrap/>
            <w:vAlign w:val="center"/>
          </w:tcPr>
          <w:p w14:paraId="669402C6" w14:textId="643C5255"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3 348,1</w:t>
            </w:r>
          </w:p>
        </w:tc>
        <w:tc>
          <w:tcPr>
            <w:tcW w:w="1075" w:type="dxa"/>
            <w:tcBorders>
              <w:top w:val="nil"/>
              <w:left w:val="nil"/>
              <w:bottom w:val="single" w:sz="4" w:space="0" w:color="auto"/>
              <w:right w:val="single" w:sz="4" w:space="0" w:color="auto"/>
            </w:tcBorders>
            <w:noWrap/>
            <w:vAlign w:val="center"/>
          </w:tcPr>
          <w:p w14:paraId="573B435D" w14:textId="2A507C80"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7,5</w:t>
            </w:r>
          </w:p>
        </w:tc>
        <w:tc>
          <w:tcPr>
            <w:tcW w:w="1103" w:type="dxa"/>
            <w:tcBorders>
              <w:top w:val="nil"/>
              <w:left w:val="nil"/>
              <w:bottom w:val="single" w:sz="4" w:space="0" w:color="auto"/>
              <w:right w:val="single" w:sz="4" w:space="0" w:color="auto"/>
            </w:tcBorders>
            <w:noWrap/>
            <w:vAlign w:val="center"/>
          </w:tcPr>
          <w:p w14:paraId="17943409" w14:textId="5BCD4BC4"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43 781,3</w:t>
            </w:r>
          </w:p>
        </w:tc>
        <w:tc>
          <w:tcPr>
            <w:tcW w:w="1224" w:type="dxa"/>
            <w:tcBorders>
              <w:top w:val="nil"/>
              <w:left w:val="nil"/>
              <w:bottom w:val="single" w:sz="4" w:space="0" w:color="auto"/>
              <w:right w:val="single" w:sz="4" w:space="0" w:color="auto"/>
            </w:tcBorders>
            <w:noWrap/>
            <w:vAlign w:val="center"/>
          </w:tcPr>
          <w:p w14:paraId="2B9CEA4E" w14:textId="5719934A"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4 022,5</w:t>
            </w:r>
          </w:p>
        </w:tc>
        <w:tc>
          <w:tcPr>
            <w:tcW w:w="1159" w:type="dxa"/>
            <w:tcBorders>
              <w:top w:val="nil"/>
              <w:left w:val="nil"/>
              <w:bottom w:val="single" w:sz="4" w:space="0" w:color="auto"/>
              <w:right w:val="single" w:sz="4" w:space="0" w:color="auto"/>
            </w:tcBorders>
            <w:noWrap/>
            <w:vAlign w:val="center"/>
          </w:tcPr>
          <w:p w14:paraId="3DD56C2E" w14:textId="721625E0"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9,2</w:t>
            </w:r>
          </w:p>
        </w:tc>
        <w:tc>
          <w:tcPr>
            <w:tcW w:w="1113" w:type="dxa"/>
            <w:tcBorders>
              <w:top w:val="nil"/>
              <w:left w:val="nil"/>
              <w:bottom w:val="single" w:sz="4" w:space="0" w:color="auto"/>
              <w:right w:val="single" w:sz="4" w:space="0" w:color="auto"/>
            </w:tcBorders>
            <w:noWrap/>
            <w:vAlign w:val="center"/>
          </w:tcPr>
          <w:p w14:paraId="3FA4033E" w14:textId="6C367A49" w:rsidR="00EB62E4" w:rsidRPr="007007A3" w:rsidRDefault="00EB62E4" w:rsidP="00EB62E4">
            <w:pPr>
              <w:spacing w:before="120" w:after="120"/>
              <w:jc w:val="right"/>
              <w:rPr>
                <w:rFonts w:ascii="Times New Roman" w:hAnsi="Times New Roman" w:cs="Times New Roman"/>
                <w:sz w:val="20"/>
                <w:szCs w:val="20"/>
              </w:rPr>
            </w:pPr>
            <w:r w:rsidRPr="005139FA">
              <w:rPr>
                <w:rFonts w:ascii="Garamond" w:hAnsi="Garamond"/>
                <w:sz w:val="20"/>
                <w:szCs w:val="20"/>
              </w:rPr>
              <w:t>120,1</w:t>
            </w:r>
          </w:p>
        </w:tc>
      </w:tr>
    </w:tbl>
    <w:p w14:paraId="7ECF9175" w14:textId="77777777" w:rsidR="00EB62E4" w:rsidRDefault="00EB62E4" w:rsidP="1D3ABBAA">
      <w:pPr>
        <w:widowControl w:val="0"/>
        <w:spacing w:after="120" w:line="254" w:lineRule="auto"/>
        <w:jc w:val="both"/>
        <w:rPr>
          <w:rFonts w:ascii="Times New Roman" w:eastAsia="Times New Roman" w:hAnsi="Times New Roman" w:cs="Times New Roman"/>
          <w:sz w:val="26"/>
          <w:szCs w:val="26"/>
          <w:lang w:eastAsia="hu-HU"/>
        </w:rPr>
      </w:pPr>
    </w:p>
    <w:p w14:paraId="01371788" w14:textId="00FE3B9C" w:rsidR="00EB62E4" w:rsidRDefault="00EB62E4">
      <w:pPr>
        <w:rPr>
          <w:rFonts w:ascii="Times New Roman" w:eastAsia="Times New Roman" w:hAnsi="Times New Roman" w:cs="Times New Roman"/>
          <w:b/>
          <w:bCs/>
          <w:sz w:val="26"/>
          <w:szCs w:val="26"/>
          <w:lang w:eastAsia="hu-HU"/>
        </w:rPr>
      </w:pPr>
      <w:r>
        <w:rPr>
          <w:rFonts w:ascii="Times New Roman" w:eastAsia="Times New Roman" w:hAnsi="Times New Roman" w:cs="Times New Roman"/>
          <w:b/>
          <w:bCs/>
          <w:sz w:val="26"/>
          <w:szCs w:val="26"/>
          <w:lang w:eastAsia="hu-HU"/>
        </w:rPr>
        <w:br w:type="page"/>
      </w:r>
    </w:p>
    <w:p w14:paraId="7B768A93" w14:textId="335AD81F" w:rsidR="00B155FE" w:rsidRPr="00377D59" w:rsidRDefault="1D3ABBAA" w:rsidP="1D3ABBAA">
      <w:pPr>
        <w:spacing w:after="120" w:line="240" w:lineRule="auto"/>
        <w:jc w:val="center"/>
        <w:rPr>
          <w:rFonts w:ascii="Times New Roman" w:eastAsia="Times New Roman" w:hAnsi="Times New Roman" w:cs="Times New Roman"/>
          <w:b/>
          <w:bCs/>
          <w:sz w:val="26"/>
          <w:szCs w:val="26"/>
          <w:lang w:eastAsia="hu-HU"/>
        </w:rPr>
      </w:pPr>
      <w:r w:rsidRPr="1D3ABBAA">
        <w:rPr>
          <w:rFonts w:ascii="Times New Roman" w:eastAsia="Times New Roman" w:hAnsi="Times New Roman" w:cs="Times New Roman"/>
          <w:b/>
          <w:bCs/>
          <w:sz w:val="26"/>
          <w:szCs w:val="26"/>
          <w:lang w:eastAsia="hu-HU"/>
        </w:rPr>
        <w:lastRenderedPageBreak/>
        <w:t>I.</w:t>
      </w:r>
    </w:p>
    <w:p w14:paraId="7B768A94" w14:textId="77777777" w:rsidR="00B155FE" w:rsidRPr="00377D59" w:rsidRDefault="1D3ABBAA" w:rsidP="1D3ABBAA">
      <w:pPr>
        <w:keepNext/>
        <w:spacing w:after="120" w:line="240" w:lineRule="auto"/>
        <w:jc w:val="center"/>
        <w:outlineLvl w:val="1"/>
        <w:rPr>
          <w:rFonts w:ascii="Times New Roman" w:eastAsia="Times New Roman" w:hAnsi="Times New Roman" w:cs="Times New Roman"/>
          <w:b/>
          <w:bCs/>
          <w:caps/>
          <w:sz w:val="26"/>
          <w:szCs w:val="26"/>
          <w:lang w:eastAsia="hu-HU"/>
        </w:rPr>
      </w:pPr>
      <w:r w:rsidRPr="1D3ABBAA">
        <w:rPr>
          <w:rFonts w:ascii="Times New Roman" w:eastAsia="Times New Roman" w:hAnsi="Times New Roman" w:cs="Times New Roman"/>
          <w:b/>
          <w:bCs/>
          <w:caps/>
          <w:sz w:val="26"/>
          <w:szCs w:val="26"/>
          <w:lang w:eastAsia="hu-HU"/>
        </w:rPr>
        <w:t xml:space="preserve">A központi alrendszer pénzügyi folyamatainak </w:t>
      </w:r>
      <w:r w:rsidR="15BE4434">
        <w:br/>
      </w:r>
      <w:r w:rsidRPr="1D3ABBAA">
        <w:rPr>
          <w:rFonts w:ascii="Times New Roman" w:eastAsia="Times New Roman" w:hAnsi="Times New Roman" w:cs="Times New Roman"/>
          <w:b/>
          <w:bCs/>
          <w:caps/>
          <w:sz w:val="26"/>
          <w:szCs w:val="26"/>
          <w:lang w:eastAsia="hu-HU"/>
        </w:rPr>
        <w:t>alakulása</w:t>
      </w:r>
    </w:p>
    <w:p w14:paraId="6D461365" w14:textId="08DC9FC2" w:rsidR="0004032B" w:rsidRPr="00377D59" w:rsidRDefault="1D3ABBAA" w:rsidP="1D3ABBAA">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1D3ABBAA">
        <w:rPr>
          <w:rFonts w:ascii="Times New Roman" w:eastAsia="Times New Roman" w:hAnsi="Times New Roman" w:cs="Times New Roman"/>
          <w:b/>
          <w:bCs/>
          <w:smallCaps/>
          <w:sz w:val="28"/>
          <w:szCs w:val="28"/>
          <w:lang w:eastAsia="hu-HU"/>
        </w:rPr>
        <w:t>A főbb bevételek</w:t>
      </w:r>
    </w:p>
    <w:p w14:paraId="1C04A740" w14:textId="5C803C95" w:rsidR="008E34AF" w:rsidRDefault="1D3ABBAA" w:rsidP="1D3ABBAA">
      <w:pPr>
        <w:jc w:val="both"/>
        <w:rPr>
          <w:rFonts w:ascii="Times New Roman" w:eastAsia="Times New Roman" w:hAnsi="Times New Roman" w:cs="Times New Roman"/>
          <w:b/>
          <w:bCs/>
          <w:sz w:val="26"/>
          <w:szCs w:val="26"/>
        </w:rPr>
      </w:pPr>
      <w:r w:rsidRPr="1D3ABBAA">
        <w:rPr>
          <w:rFonts w:ascii="Times New Roman" w:eastAsia="Times New Roman" w:hAnsi="Times New Roman" w:cs="Times New Roman"/>
          <w:b/>
          <w:bCs/>
          <w:sz w:val="26"/>
          <w:szCs w:val="26"/>
        </w:rPr>
        <w:t xml:space="preserve">A központi alrendszer </w:t>
      </w:r>
      <w:r w:rsidR="00C435AC" w:rsidRPr="00C435AC">
        <w:rPr>
          <w:rFonts w:ascii="Times New Roman" w:eastAsia="Times New Roman" w:hAnsi="Times New Roman" w:cs="Times New Roman"/>
          <w:b/>
          <w:bCs/>
          <w:sz w:val="26"/>
          <w:szCs w:val="26"/>
        </w:rPr>
        <w:t>január végi 4054,9 milliárd forint összegű bevételei az előző év azonos időszakához képest 774,6 milliárd forinttal, 23,6%-kal magasabb összegben alakultak</w:t>
      </w:r>
      <w:r w:rsidRPr="1D3ABBAA">
        <w:rPr>
          <w:rFonts w:ascii="Times New Roman" w:eastAsia="Times New Roman" w:hAnsi="Times New Roman" w:cs="Times New Roman"/>
          <w:b/>
          <w:bCs/>
          <w:sz w:val="26"/>
          <w:szCs w:val="26"/>
        </w:rPr>
        <w:t>.</w:t>
      </w:r>
    </w:p>
    <w:p w14:paraId="6BBE59DE" w14:textId="4D8F6700" w:rsidR="00CF551C" w:rsidRDefault="00C435AC" w:rsidP="00C11940">
      <w:pPr>
        <w:pStyle w:val="NormlWeb"/>
        <w:spacing w:before="0" w:beforeAutospacing="0" w:after="120" w:afterAutospacing="0"/>
        <w:jc w:val="center"/>
      </w:pPr>
      <w:r>
        <w:rPr>
          <w:noProof/>
        </w:rPr>
        <w:drawing>
          <wp:inline distT="0" distB="0" distL="0" distR="0" wp14:anchorId="116F407F" wp14:editId="24530E62">
            <wp:extent cx="5940425" cy="2510444"/>
            <wp:effectExtent l="0" t="0" r="3175" b="4445"/>
            <wp:docPr id="1163113614" name="Kép 1" descr="A képen diagram, szöveg, képernyőkép,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13614" name="Kép 1" descr="A képen diagram, szöveg, képernyőkép, kör látható&#10;&#10;Előfordulhat, hogy a mesterséges intelligencia által létrehozott tartalom helytelen."/>
                    <pic:cNvPicPr/>
                  </pic:nvPicPr>
                  <pic:blipFill>
                    <a:blip r:embed="rId14"/>
                    <a:stretch>
                      <a:fillRect/>
                    </a:stretch>
                  </pic:blipFill>
                  <pic:spPr>
                    <a:xfrm>
                      <a:off x="0" y="0"/>
                      <a:ext cx="5947222" cy="2513316"/>
                    </a:xfrm>
                    <a:prstGeom prst="rect">
                      <a:avLst/>
                    </a:prstGeom>
                  </pic:spPr>
                </pic:pic>
              </a:graphicData>
            </a:graphic>
          </wp:inline>
        </w:drawing>
      </w:r>
    </w:p>
    <w:p w14:paraId="59BBEA6E" w14:textId="52CE8378" w:rsidR="00C33C0A" w:rsidRPr="00C33C0A" w:rsidRDefault="00C33C0A" w:rsidP="00F251BE">
      <w:pPr>
        <w:jc w:val="both"/>
        <w:rPr>
          <w:rFonts w:ascii="Times New Roman" w:eastAsia="Times New Roman" w:hAnsi="Times New Roman" w:cs="Times New Roman"/>
          <w:sz w:val="26"/>
          <w:szCs w:val="20"/>
          <w:highlight w:val="yellow"/>
          <w:lang w:eastAsia="hu-HU"/>
        </w:rPr>
      </w:pPr>
      <w:r w:rsidRPr="00C33C0A">
        <w:rPr>
          <w:rFonts w:ascii="Times New Roman" w:eastAsia="Times New Roman" w:hAnsi="Times New Roman" w:cs="Times New Roman"/>
          <w:b/>
          <w:bCs/>
          <w:sz w:val="26"/>
          <w:szCs w:val="20"/>
          <w:lang w:eastAsia="hu-HU"/>
        </w:rPr>
        <w:t xml:space="preserve">Társasági adó </w:t>
      </w:r>
      <w:r w:rsidRPr="00C33C0A">
        <w:rPr>
          <w:rFonts w:ascii="Times New Roman" w:eastAsia="Times New Roman" w:hAnsi="Times New Roman" w:cs="Times New Roman"/>
          <w:sz w:val="26"/>
          <w:szCs w:val="20"/>
          <w:lang w:eastAsia="hu-HU"/>
        </w:rPr>
        <w:t xml:space="preserve">jogcímen a 2026. év első hónapjában 80,5 milliárd forint realizálódott, amely az előző év egyenlegétől 2,7 milliárd forinttal marad el. </w:t>
      </w:r>
      <w:r w:rsidR="00F251BE">
        <w:rPr>
          <w:rFonts w:ascii="Times New Roman" w:eastAsia="Times New Roman" w:hAnsi="Times New Roman" w:cs="Times New Roman"/>
          <w:sz w:val="26"/>
          <w:szCs w:val="20"/>
          <w:lang w:eastAsia="hu-HU"/>
        </w:rPr>
        <w:t>A</w:t>
      </w:r>
      <w:r w:rsidR="00F251BE" w:rsidRPr="00C33C0A">
        <w:rPr>
          <w:rFonts w:ascii="Times New Roman" w:eastAsia="Times New Roman" w:hAnsi="Times New Roman" w:cs="Times New Roman"/>
          <w:sz w:val="26"/>
          <w:szCs w:val="20"/>
          <w:lang w:eastAsia="hu-HU"/>
        </w:rPr>
        <w:t xml:space="preserve">z előző év azonos időszakához képest </w:t>
      </w:r>
      <w:r w:rsidR="00F251BE">
        <w:rPr>
          <w:rFonts w:ascii="Times New Roman" w:eastAsia="Times New Roman" w:hAnsi="Times New Roman" w:cs="Times New Roman"/>
          <w:sz w:val="26"/>
          <w:szCs w:val="20"/>
          <w:lang w:eastAsia="hu-HU"/>
        </w:rPr>
        <w:t>a</w:t>
      </w:r>
      <w:r w:rsidRPr="00C33C0A">
        <w:rPr>
          <w:rFonts w:ascii="Times New Roman" w:eastAsia="Times New Roman" w:hAnsi="Times New Roman" w:cs="Times New Roman"/>
          <w:sz w:val="26"/>
          <w:szCs w:val="20"/>
          <w:lang w:eastAsia="hu-HU"/>
        </w:rPr>
        <w:t xml:space="preserve"> kiutalások nagyobb mértékben nőttek, mint a befizetések</w:t>
      </w:r>
      <w:r w:rsidR="00F251BE">
        <w:rPr>
          <w:rFonts w:ascii="Times New Roman" w:eastAsia="Times New Roman" w:hAnsi="Times New Roman" w:cs="Times New Roman"/>
          <w:sz w:val="26"/>
          <w:szCs w:val="20"/>
          <w:lang w:eastAsia="hu-HU"/>
        </w:rPr>
        <w:t>,</w:t>
      </w:r>
      <w:r w:rsidRPr="00C33C0A">
        <w:rPr>
          <w:rFonts w:ascii="Times New Roman" w:eastAsia="Times New Roman" w:hAnsi="Times New Roman" w:cs="Times New Roman"/>
          <w:sz w:val="26"/>
          <w:szCs w:val="20"/>
          <w:lang w:eastAsia="hu-HU"/>
        </w:rPr>
        <w:t xml:space="preserve"> a</w:t>
      </w:r>
      <w:r w:rsidR="00C75F9B">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0"/>
          <w:lang w:eastAsia="hu-HU"/>
        </w:rPr>
        <w:t>felajánlásokhoz kapcsolódó rendelkezések kimagasló értéke miatt.</w:t>
      </w:r>
    </w:p>
    <w:p w14:paraId="191D5328" w14:textId="77777777" w:rsidR="00C33C0A" w:rsidRPr="00C33C0A" w:rsidRDefault="00C33C0A" w:rsidP="00F251BE">
      <w:pPr>
        <w:jc w:val="both"/>
        <w:rPr>
          <w:rFonts w:ascii="Times New Roman" w:eastAsia="Times New Roman" w:hAnsi="Times New Roman" w:cs="Times New Roman"/>
          <w:sz w:val="26"/>
          <w:szCs w:val="20"/>
          <w:highlight w:val="yellow"/>
          <w:lang w:eastAsia="hu-HU"/>
        </w:rPr>
      </w:pPr>
      <w:r w:rsidRPr="00C33C0A">
        <w:rPr>
          <w:rFonts w:ascii="Times New Roman" w:eastAsia="Times New Roman" w:hAnsi="Times New Roman" w:cs="Times New Roman"/>
          <w:bCs/>
          <w:sz w:val="26"/>
          <w:szCs w:val="20"/>
          <w:lang w:eastAsia="hu-HU"/>
        </w:rPr>
        <w:t>A</w:t>
      </w:r>
      <w:r w:rsidRPr="00C33C0A">
        <w:rPr>
          <w:rFonts w:ascii="Times New Roman" w:eastAsia="Times New Roman" w:hAnsi="Times New Roman" w:cs="Times New Roman"/>
          <w:b/>
          <w:bCs/>
          <w:sz w:val="26"/>
          <w:szCs w:val="20"/>
          <w:lang w:eastAsia="hu-HU"/>
        </w:rPr>
        <w:t xml:space="preserve"> pénzügyi szervezetek befizetései</w:t>
      </w:r>
      <w:r w:rsidRPr="00C33C0A">
        <w:rPr>
          <w:rFonts w:ascii="Times New Roman" w:eastAsia="Times New Roman" w:hAnsi="Times New Roman" w:cs="Times New Roman"/>
          <w:sz w:val="26"/>
          <w:szCs w:val="20"/>
          <w:lang w:eastAsia="hu-HU"/>
        </w:rPr>
        <w:t xml:space="preserve"> mérlegsoron a 2026. év első hónapjában 2,6 milliárd forint teljesült, amely az előző év egyenlegét 0,1 milliárd forinttal haladja meg. Ebben a hónapban csak a forgalmazó és befektetési alapkezelők különadójának volt adókötelezettsége.</w:t>
      </w:r>
    </w:p>
    <w:p w14:paraId="150BED2A" w14:textId="5796725A" w:rsidR="00C33C0A" w:rsidRPr="00C33C0A" w:rsidRDefault="00C33C0A" w:rsidP="00F251BE">
      <w:pPr>
        <w:jc w:val="both"/>
        <w:rPr>
          <w:rFonts w:ascii="Times New Roman" w:eastAsia="Times New Roman" w:hAnsi="Times New Roman" w:cs="Times New Roman"/>
          <w:sz w:val="26"/>
          <w:szCs w:val="20"/>
          <w:lang w:eastAsia="hu-HU"/>
        </w:rPr>
      </w:pPr>
      <w:r w:rsidRPr="00C33C0A">
        <w:rPr>
          <w:rFonts w:ascii="Times New Roman" w:eastAsia="Times New Roman" w:hAnsi="Times New Roman" w:cs="Times New Roman"/>
          <w:bCs/>
          <w:sz w:val="26"/>
          <w:szCs w:val="20"/>
          <w:lang w:eastAsia="hu-HU"/>
        </w:rPr>
        <w:t>A</w:t>
      </w:r>
      <w:r w:rsidRPr="00C33C0A">
        <w:rPr>
          <w:rFonts w:ascii="Times New Roman" w:eastAsia="Times New Roman" w:hAnsi="Times New Roman" w:cs="Times New Roman"/>
          <w:b/>
          <w:bCs/>
          <w:sz w:val="26"/>
          <w:szCs w:val="20"/>
          <w:lang w:eastAsia="hu-HU"/>
        </w:rPr>
        <w:t xml:space="preserve"> kisadózók tételes adójából</w:t>
      </w:r>
      <w:r w:rsidRPr="00C33C0A">
        <w:rPr>
          <w:rFonts w:ascii="Times New Roman" w:eastAsia="Times New Roman" w:hAnsi="Times New Roman" w:cs="Times New Roman"/>
          <w:sz w:val="26"/>
          <w:szCs w:val="20"/>
          <w:lang w:eastAsia="hu-HU"/>
        </w:rPr>
        <w:t xml:space="preserve"> 2026 első hónapjában a költségvetésnek 6,0 milliárd forint bevétele keletkezett, amely 0,3 milliárd forinttal több az egy évvel korábbinál. Ennek oka az adónemet választók magasabb létszáma.</w:t>
      </w:r>
    </w:p>
    <w:p w14:paraId="0596309D" w14:textId="05845105" w:rsidR="00C33C0A" w:rsidRPr="00C33C0A" w:rsidRDefault="00C33C0A" w:rsidP="00F251BE">
      <w:pPr>
        <w:jc w:val="both"/>
        <w:rPr>
          <w:rFonts w:ascii="Times New Roman" w:eastAsia="Times New Roman" w:hAnsi="Times New Roman" w:cs="Times New Roman"/>
          <w:sz w:val="26"/>
          <w:szCs w:val="20"/>
          <w:lang w:eastAsia="hu-HU"/>
        </w:rPr>
      </w:pPr>
      <w:r w:rsidRPr="00C33C0A">
        <w:rPr>
          <w:rFonts w:ascii="Times New Roman" w:eastAsia="Times New Roman" w:hAnsi="Times New Roman" w:cs="Times New Roman"/>
          <w:bCs/>
          <w:sz w:val="26"/>
          <w:szCs w:val="20"/>
          <w:lang w:eastAsia="hu-HU"/>
        </w:rPr>
        <w:t>A</w:t>
      </w:r>
      <w:r w:rsidRPr="00C33C0A">
        <w:rPr>
          <w:rFonts w:ascii="Times New Roman" w:eastAsia="Times New Roman" w:hAnsi="Times New Roman" w:cs="Times New Roman"/>
          <w:b/>
          <w:bCs/>
          <w:sz w:val="26"/>
          <w:szCs w:val="20"/>
          <w:lang w:eastAsia="hu-HU"/>
        </w:rPr>
        <w:t xml:space="preserve"> kisvállalati adóból</w:t>
      </w:r>
      <w:r w:rsidRPr="00C33C0A">
        <w:rPr>
          <w:rFonts w:ascii="Times New Roman" w:eastAsia="Times New Roman" w:hAnsi="Times New Roman" w:cs="Times New Roman"/>
          <w:sz w:val="26"/>
          <w:szCs w:val="20"/>
          <w:lang w:eastAsia="hu-HU"/>
        </w:rPr>
        <w:t xml:space="preserve"> származó bevétel a 2026. év első hónapjában 35,9 milliárd forint volt, amely 3,9</w:t>
      </w:r>
      <w:r w:rsidR="00F251BE">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0"/>
          <w:lang w:eastAsia="hu-HU"/>
        </w:rPr>
        <w:t>milliárd forinttal magasabb az előző év egyenlegénél. Ennek oka az adóalanyok számának jelentős mértékű bővülése. 2026</w:t>
      </w:r>
      <w:r w:rsidR="00F251BE">
        <w:rPr>
          <w:rFonts w:ascii="Times New Roman" w:eastAsia="Times New Roman" w:hAnsi="Times New Roman" w:cs="Times New Roman"/>
          <w:sz w:val="26"/>
          <w:szCs w:val="20"/>
          <w:lang w:eastAsia="hu-HU"/>
        </w:rPr>
        <w:t xml:space="preserve"> </w:t>
      </w:r>
      <w:r w:rsidRPr="00C33C0A">
        <w:rPr>
          <w:rFonts w:ascii="Times New Roman" w:eastAsia="Times New Roman" w:hAnsi="Times New Roman" w:cs="Times New Roman"/>
          <w:sz w:val="26"/>
          <w:szCs w:val="20"/>
          <w:lang w:eastAsia="hu-HU"/>
        </w:rPr>
        <w:t>januárjában a KIVA alanyok száma 105,5 ezer</w:t>
      </w:r>
      <w:r w:rsidR="00F251BE">
        <w:rPr>
          <w:rFonts w:ascii="Times New Roman" w:eastAsia="Times New Roman" w:hAnsi="Times New Roman" w:cs="Times New Roman"/>
          <w:sz w:val="26"/>
          <w:szCs w:val="20"/>
          <w:lang w:eastAsia="hu-HU"/>
        </w:rPr>
        <w:t xml:space="preserve"> volt</w:t>
      </w:r>
      <w:r w:rsidRPr="00C33C0A">
        <w:rPr>
          <w:rFonts w:ascii="Times New Roman" w:eastAsia="Times New Roman" w:hAnsi="Times New Roman" w:cs="Times New Roman"/>
          <w:sz w:val="26"/>
          <w:szCs w:val="20"/>
          <w:lang w:eastAsia="hu-HU"/>
        </w:rPr>
        <w:t>.</w:t>
      </w:r>
    </w:p>
    <w:p w14:paraId="092B7669" w14:textId="0E6D4944" w:rsidR="008E34AF" w:rsidRPr="00452639" w:rsidRDefault="1D3ABBAA" w:rsidP="00F251BE">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 </w:t>
      </w:r>
      <w:r w:rsidRPr="1D3ABBAA">
        <w:rPr>
          <w:rFonts w:ascii="Times New Roman" w:eastAsia="Times New Roman" w:hAnsi="Times New Roman" w:cs="Times New Roman"/>
          <w:b/>
          <w:bCs/>
          <w:sz w:val="26"/>
          <w:szCs w:val="26"/>
        </w:rPr>
        <w:t>bányajáradék-bevétel</w:t>
      </w:r>
      <w:r w:rsidRPr="1D3ABBAA">
        <w:rPr>
          <w:rFonts w:ascii="Times New Roman" w:eastAsia="Times New Roman" w:hAnsi="Times New Roman" w:cs="Times New Roman"/>
          <w:sz w:val="26"/>
          <w:szCs w:val="26"/>
        </w:rPr>
        <w:t xml:space="preserve"> 2026 első hónapjában 5,9 milliárd forint volt, amely 5,</w:t>
      </w:r>
      <w:r w:rsidR="00F251BE">
        <w:rPr>
          <w:rFonts w:ascii="Times New Roman" w:eastAsia="Times New Roman" w:hAnsi="Times New Roman" w:cs="Times New Roman"/>
          <w:sz w:val="26"/>
          <w:szCs w:val="26"/>
        </w:rPr>
        <w:t>5</w:t>
      </w:r>
      <w:r w:rsidRPr="1D3ABBAA">
        <w:rPr>
          <w:rFonts w:ascii="Times New Roman" w:eastAsia="Times New Roman" w:hAnsi="Times New Roman" w:cs="Times New Roman"/>
          <w:sz w:val="26"/>
          <w:szCs w:val="26"/>
        </w:rPr>
        <w:t> milliárd forinttal teljesült alacsonyabban az előző év azonos időszakához képest, amelynek fő oka a bányajáradék számításához kapcsolódó makroparaméterek (olajár, gázár, árfolyamok) alakulásának együttes eredője.</w:t>
      </w:r>
    </w:p>
    <w:p w14:paraId="5322C39E" w14:textId="75526BF7" w:rsidR="72AFD5C4" w:rsidRPr="00452639" w:rsidRDefault="1D3ABBAA" w:rsidP="00F251BE">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lastRenderedPageBreak/>
        <w:t xml:space="preserve">Az </w:t>
      </w:r>
      <w:r w:rsidRPr="1D3ABBAA">
        <w:rPr>
          <w:rFonts w:ascii="Times New Roman" w:eastAsia="Times New Roman" w:hAnsi="Times New Roman" w:cs="Times New Roman"/>
          <w:b/>
          <w:bCs/>
          <w:sz w:val="26"/>
          <w:szCs w:val="26"/>
        </w:rPr>
        <w:t>útdíjakból származó bevétel</w:t>
      </w:r>
      <w:r w:rsidRPr="1D3ABBAA">
        <w:rPr>
          <w:rFonts w:ascii="Times New Roman" w:eastAsia="Times New Roman" w:hAnsi="Times New Roman" w:cs="Times New Roman"/>
          <w:sz w:val="26"/>
          <w:szCs w:val="26"/>
        </w:rPr>
        <w:t xml:space="preserve"> 2024-től külön mérlegsoron jelenik meg, mely az elektronikus útdíj rendszer és az időalapú útdíj rendszer bevételeinek együttes összegét tartalmazza. Az útdíjakból 2026 első hónapjában 42,9 milliárd forint költségvetési bevétel teljesült ezen a mérlegsoron, amely 0,</w:t>
      </w:r>
      <w:r w:rsidR="00401009">
        <w:rPr>
          <w:rFonts w:ascii="Times New Roman" w:eastAsia="Times New Roman" w:hAnsi="Times New Roman" w:cs="Times New Roman"/>
          <w:sz w:val="26"/>
          <w:szCs w:val="26"/>
        </w:rPr>
        <w:t>2 </w:t>
      </w:r>
      <w:r w:rsidRPr="1D3ABBAA">
        <w:rPr>
          <w:rFonts w:ascii="Times New Roman" w:eastAsia="Times New Roman" w:hAnsi="Times New Roman" w:cs="Times New Roman"/>
          <w:sz w:val="26"/>
          <w:szCs w:val="26"/>
        </w:rPr>
        <w:t>milliárd forinttal magasabb az előző év azonos időszakához viszonyítva.</w:t>
      </w:r>
    </w:p>
    <w:p w14:paraId="685BE235" w14:textId="495856CA" w:rsidR="008A66DB" w:rsidRPr="00401009" w:rsidRDefault="1D3ABBAA" w:rsidP="00F251BE">
      <w:pPr>
        <w:jc w:val="both"/>
        <w:rPr>
          <w:rFonts w:ascii="Times New Roman" w:eastAsia="Times New Roman" w:hAnsi="Times New Roman" w:cs="Times New Roman"/>
          <w:color w:val="FF0000"/>
          <w:sz w:val="26"/>
          <w:szCs w:val="26"/>
        </w:rPr>
      </w:pPr>
      <w:r w:rsidRPr="1D3ABBAA">
        <w:rPr>
          <w:rFonts w:ascii="Times New Roman" w:eastAsia="Times New Roman" w:hAnsi="Times New Roman" w:cs="Times New Roman"/>
          <w:b/>
          <w:bCs/>
          <w:sz w:val="26"/>
          <w:szCs w:val="26"/>
        </w:rPr>
        <w:t xml:space="preserve">Egyéb központosított bevételekből </w:t>
      </w:r>
      <w:r w:rsidRPr="1D3ABBAA">
        <w:rPr>
          <w:rFonts w:ascii="Times New Roman" w:eastAsia="Times New Roman" w:hAnsi="Times New Roman" w:cs="Times New Roman"/>
          <w:sz w:val="26"/>
          <w:szCs w:val="26"/>
        </w:rPr>
        <w:t>január</w:t>
      </w:r>
      <w:r w:rsidR="00401009">
        <w:rPr>
          <w:rFonts w:ascii="Times New Roman" w:eastAsia="Times New Roman" w:hAnsi="Times New Roman" w:cs="Times New Roman"/>
          <w:sz w:val="26"/>
          <w:szCs w:val="26"/>
        </w:rPr>
        <w:t>ban</w:t>
      </w:r>
      <w:r w:rsidRPr="1D3ABBAA">
        <w:rPr>
          <w:rFonts w:ascii="Times New Roman" w:eastAsia="Times New Roman" w:hAnsi="Times New Roman" w:cs="Times New Roman"/>
          <w:sz w:val="26"/>
          <w:szCs w:val="26"/>
        </w:rPr>
        <w:t xml:space="preserve"> 27,7 milliárd forint bevétel teljesült, amely a törvényi előirányzat 15,2%-ának felel meg</w:t>
      </w:r>
      <w:r w:rsidRPr="00401009">
        <w:rPr>
          <w:rFonts w:ascii="Times New Roman" w:eastAsia="Times New Roman" w:hAnsi="Times New Roman" w:cs="Times New Roman"/>
          <w:sz w:val="26"/>
          <w:szCs w:val="26"/>
        </w:rPr>
        <w:t>. Ezen belül kiemelhető a bírságbevételekből befolyt 6,2 milliárd forint.</w:t>
      </w:r>
    </w:p>
    <w:p w14:paraId="0913A210" w14:textId="232A44C0" w:rsidR="00C33C0A" w:rsidRPr="00C33C0A" w:rsidRDefault="00C33C0A" w:rsidP="00F251BE">
      <w:pPr>
        <w:jc w:val="both"/>
        <w:rPr>
          <w:rFonts w:ascii="Times New Roman" w:eastAsia="Times New Roman" w:hAnsi="Times New Roman" w:cs="Times New Roman"/>
          <w:b/>
          <w:sz w:val="26"/>
          <w:szCs w:val="20"/>
          <w:highlight w:val="yellow"/>
          <w:lang w:eastAsia="hu-HU"/>
        </w:rPr>
      </w:pPr>
      <w:r w:rsidRPr="00C33C0A">
        <w:rPr>
          <w:rFonts w:ascii="Times New Roman" w:eastAsia="Times New Roman" w:hAnsi="Times New Roman" w:cs="Times New Roman"/>
          <w:sz w:val="26"/>
          <w:szCs w:val="20"/>
          <w:lang w:eastAsia="hu-HU"/>
        </w:rPr>
        <w:t>Az</w:t>
      </w:r>
      <w:r w:rsidRPr="00C33C0A">
        <w:rPr>
          <w:rFonts w:ascii="Times New Roman" w:eastAsia="Times New Roman" w:hAnsi="Times New Roman" w:cs="Times New Roman"/>
          <w:b/>
          <w:sz w:val="26"/>
          <w:szCs w:val="20"/>
          <w:lang w:eastAsia="hu-HU"/>
        </w:rPr>
        <w:t xml:space="preserve"> energia ágazat befizetései </w:t>
      </w:r>
      <w:r w:rsidRPr="00C33C0A">
        <w:rPr>
          <w:rFonts w:ascii="Times New Roman" w:eastAsia="Times New Roman" w:hAnsi="Times New Roman" w:cs="Times New Roman"/>
          <w:sz w:val="26"/>
          <w:szCs w:val="20"/>
          <w:lang w:eastAsia="hu-HU"/>
        </w:rPr>
        <w:t>jogcímen 2026. év első hónapjában 10,1 milliárd forint pénzforgalom teljesült, amely az előző év egyenlegétől 5,5 milliárd forinttal maradt el. A</w:t>
      </w:r>
      <w:r w:rsidR="00FF1C7F">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0"/>
          <w:lang w:eastAsia="hu-HU"/>
        </w:rPr>
        <w:t>bázisévhez viszonyított eltérés az adókulcs csökkenéséhez és az Ural-</w:t>
      </w:r>
      <w:proofErr w:type="spellStart"/>
      <w:r w:rsidRPr="00C33C0A">
        <w:rPr>
          <w:rFonts w:ascii="Times New Roman" w:eastAsia="Times New Roman" w:hAnsi="Times New Roman" w:cs="Times New Roman"/>
          <w:sz w:val="26"/>
          <w:szCs w:val="20"/>
          <w:lang w:eastAsia="hu-HU"/>
        </w:rPr>
        <w:t>Brent</w:t>
      </w:r>
      <w:proofErr w:type="spellEnd"/>
      <w:r w:rsidRPr="00C33C0A">
        <w:rPr>
          <w:rFonts w:ascii="Times New Roman" w:eastAsia="Times New Roman" w:hAnsi="Times New Roman" w:cs="Times New Roman"/>
          <w:sz w:val="26"/>
          <w:szCs w:val="20"/>
          <w:lang w:eastAsia="hu-HU"/>
        </w:rPr>
        <w:t xml:space="preserve"> </w:t>
      </w:r>
      <w:proofErr w:type="spellStart"/>
      <w:r w:rsidRPr="00C33C0A">
        <w:rPr>
          <w:rFonts w:ascii="Times New Roman" w:eastAsia="Times New Roman" w:hAnsi="Times New Roman" w:cs="Times New Roman"/>
          <w:sz w:val="26"/>
          <w:szCs w:val="20"/>
          <w:lang w:eastAsia="hu-HU"/>
        </w:rPr>
        <w:t>spread</w:t>
      </w:r>
      <w:proofErr w:type="spellEnd"/>
      <w:r w:rsidRPr="00C33C0A">
        <w:rPr>
          <w:rFonts w:ascii="Times New Roman" w:eastAsia="Times New Roman" w:hAnsi="Times New Roman" w:cs="Times New Roman"/>
          <w:sz w:val="26"/>
          <w:szCs w:val="20"/>
          <w:lang w:eastAsia="hu-HU"/>
        </w:rPr>
        <w:t xml:space="preserve"> különadó bevételeinek elmaradásához köthető. </w:t>
      </w:r>
    </w:p>
    <w:p w14:paraId="513CEDD1" w14:textId="028D1C2B" w:rsidR="00C33C0A" w:rsidRPr="00C33C0A" w:rsidRDefault="00C33C0A" w:rsidP="00F251BE">
      <w:pPr>
        <w:jc w:val="both"/>
        <w:rPr>
          <w:rFonts w:ascii="Times New Roman" w:eastAsia="Times New Roman" w:hAnsi="Times New Roman" w:cs="Times New Roman"/>
          <w:sz w:val="26"/>
          <w:szCs w:val="20"/>
          <w:lang w:eastAsia="hu-HU"/>
        </w:rPr>
      </w:pPr>
      <w:r w:rsidRPr="00C33C0A">
        <w:rPr>
          <w:rFonts w:ascii="Times New Roman" w:eastAsia="Times New Roman" w:hAnsi="Times New Roman" w:cs="Times New Roman"/>
          <w:b/>
          <w:sz w:val="26"/>
          <w:szCs w:val="20"/>
          <w:lang w:eastAsia="hu-HU"/>
        </w:rPr>
        <w:t>K</w:t>
      </w:r>
      <w:r w:rsidRPr="00C33C0A">
        <w:rPr>
          <w:rFonts w:ascii="Times New Roman" w:eastAsia="Times New Roman" w:hAnsi="Times New Roman" w:cs="Times New Roman"/>
          <w:b/>
          <w:bCs/>
          <w:sz w:val="26"/>
          <w:szCs w:val="20"/>
          <w:lang w:eastAsia="hu-HU"/>
        </w:rPr>
        <w:t xml:space="preserve">iskereskedelmi adó </w:t>
      </w:r>
      <w:r w:rsidRPr="00C33C0A">
        <w:rPr>
          <w:rFonts w:ascii="Times New Roman" w:eastAsia="Times New Roman" w:hAnsi="Times New Roman" w:cs="Times New Roman"/>
          <w:sz w:val="26"/>
          <w:szCs w:val="20"/>
          <w:lang w:eastAsia="hu-HU"/>
        </w:rPr>
        <w:t>jogcímen 2026 januárjában 0,8</w:t>
      </w:r>
      <w:r w:rsidR="00401009">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0"/>
          <w:lang w:eastAsia="hu-HU"/>
        </w:rPr>
        <w:t>milliárd</w:t>
      </w:r>
      <w:r w:rsidR="00401009">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0"/>
          <w:lang w:eastAsia="hu-HU"/>
        </w:rPr>
        <w:t>forint bevétel teljesült, amely a 2025. év januári egyenlegénél 0,4 milliárd forinttal alacsonyabb. A bevételek alakulásának hátterében az elszámolásokhoz és önellenőrzésekhez köthető befizetések állnak.</w:t>
      </w:r>
    </w:p>
    <w:p w14:paraId="297C58FF" w14:textId="1023CA36" w:rsidR="00C33C0A" w:rsidRPr="00C33C0A" w:rsidRDefault="00C33C0A" w:rsidP="00F251BE">
      <w:pPr>
        <w:widowControl w:val="0"/>
        <w:jc w:val="both"/>
        <w:rPr>
          <w:rFonts w:ascii="Times New Roman" w:eastAsia="Times New Roman" w:hAnsi="Times New Roman" w:cs="Times New Roman"/>
          <w:sz w:val="26"/>
          <w:szCs w:val="20"/>
          <w:lang w:eastAsia="hu-HU"/>
        </w:rPr>
      </w:pPr>
      <w:r w:rsidRPr="00C33C0A">
        <w:rPr>
          <w:rFonts w:ascii="Times New Roman" w:eastAsia="Times New Roman" w:hAnsi="Times New Roman" w:cs="Times New Roman"/>
          <w:sz w:val="26"/>
          <w:szCs w:val="20"/>
          <w:lang w:eastAsia="hu-HU"/>
        </w:rPr>
        <w:t xml:space="preserve">A </w:t>
      </w:r>
      <w:r w:rsidRPr="00C33C0A">
        <w:rPr>
          <w:rFonts w:ascii="Times New Roman" w:eastAsia="Times New Roman" w:hAnsi="Times New Roman" w:cs="Times New Roman"/>
          <w:b/>
          <w:bCs/>
          <w:sz w:val="26"/>
          <w:szCs w:val="20"/>
          <w:lang w:eastAsia="hu-HU"/>
        </w:rPr>
        <w:t xml:space="preserve">rehabilitációs hozzájárulásból </w:t>
      </w:r>
      <w:r w:rsidRPr="00C33C0A">
        <w:rPr>
          <w:rFonts w:ascii="Times New Roman" w:eastAsia="Times New Roman" w:hAnsi="Times New Roman" w:cs="Times New Roman"/>
          <w:bCs/>
          <w:sz w:val="26"/>
          <w:szCs w:val="20"/>
          <w:lang w:eastAsia="hu-HU"/>
        </w:rPr>
        <w:t xml:space="preserve">származó bevétel a 2026. </w:t>
      </w:r>
      <w:r w:rsidR="00401009">
        <w:rPr>
          <w:rFonts w:ascii="Times New Roman" w:eastAsia="Times New Roman" w:hAnsi="Times New Roman" w:cs="Times New Roman"/>
          <w:bCs/>
          <w:sz w:val="26"/>
          <w:szCs w:val="20"/>
          <w:lang w:eastAsia="hu-HU"/>
        </w:rPr>
        <w:t xml:space="preserve">év </w:t>
      </w:r>
      <w:r w:rsidRPr="00C33C0A">
        <w:rPr>
          <w:rFonts w:ascii="Times New Roman" w:eastAsia="Times New Roman" w:hAnsi="Times New Roman" w:cs="Times New Roman"/>
          <w:bCs/>
          <w:sz w:val="26"/>
          <w:szCs w:val="20"/>
          <w:lang w:eastAsia="hu-HU"/>
        </w:rPr>
        <w:t xml:space="preserve">első hónapjában </w:t>
      </w:r>
      <w:r w:rsidRPr="00C33C0A">
        <w:rPr>
          <w:rFonts w:ascii="Times New Roman" w:eastAsia="Times New Roman" w:hAnsi="Times New Roman" w:cs="Times New Roman"/>
          <w:sz w:val="26"/>
          <w:szCs w:val="20"/>
          <w:lang w:eastAsia="hu-HU"/>
        </w:rPr>
        <w:t xml:space="preserve">11,1 milliárd forint volt, amely megegyezik az egy évvel korábbi összeggel. </w:t>
      </w:r>
    </w:p>
    <w:p w14:paraId="226F01F6" w14:textId="312EB153" w:rsidR="00C33C0A" w:rsidRPr="00C33C0A" w:rsidRDefault="00C33C0A" w:rsidP="00F251BE">
      <w:pPr>
        <w:widowControl w:val="0"/>
        <w:tabs>
          <w:tab w:val="left" w:pos="3105"/>
        </w:tabs>
        <w:jc w:val="both"/>
        <w:rPr>
          <w:rFonts w:ascii="Times New Roman" w:eastAsia="Times New Roman" w:hAnsi="Times New Roman" w:cs="Times New Roman"/>
          <w:sz w:val="26"/>
          <w:szCs w:val="20"/>
          <w:lang w:eastAsia="hu-HU"/>
        </w:rPr>
      </w:pPr>
      <w:r w:rsidRPr="00C33C0A">
        <w:rPr>
          <w:rFonts w:ascii="Times New Roman" w:eastAsia="Times New Roman" w:hAnsi="Times New Roman" w:cs="Times New Roman"/>
          <w:sz w:val="26"/>
          <w:szCs w:val="20"/>
          <w:lang w:eastAsia="hu-HU"/>
        </w:rPr>
        <w:t xml:space="preserve">2026 januárjában </w:t>
      </w:r>
      <w:r w:rsidRPr="00C33C0A">
        <w:rPr>
          <w:rFonts w:ascii="Times New Roman" w:eastAsia="Times New Roman" w:hAnsi="Times New Roman" w:cs="Times New Roman"/>
          <w:b/>
          <w:bCs/>
          <w:sz w:val="26"/>
          <w:szCs w:val="20"/>
          <w:lang w:eastAsia="hu-HU"/>
        </w:rPr>
        <w:t>általános forgalmi adóból</w:t>
      </w:r>
      <w:r w:rsidRPr="00C33C0A">
        <w:rPr>
          <w:rFonts w:ascii="Times New Roman" w:eastAsia="Times New Roman" w:hAnsi="Times New Roman" w:cs="Times New Roman"/>
          <w:sz w:val="26"/>
          <w:szCs w:val="20"/>
          <w:lang w:eastAsia="hu-HU"/>
        </w:rPr>
        <w:t xml:space="preserve"> 994,1</w:t>
      </w:r>
      <w:r w:rsidRPr="00C33C0A">
        <w:rPr>
          <w:rFonts w:ascii="Times New Roman" w:eastAsia="Times New Roman" w:hAnsi="Times New Roman" w:cs="Times New Roman"/>
          <w:color w:val="000000"/>
          <w:sz w:val="26"/>
          <w:szCs w:val="20"/>
          <w:lang w:eastAsia="hu-HU"/>
        </w:rPr>
        <w:t> </w:t>
      </w:r>
      <w:r w:rsidRPr="00C33C0A">
        <w:rPr>
          <w:rFonts w:ascii="Times New Roman" w:eastAsia="Times New Roman" w:hAnsi="Times New Roman" w:cs="Times New Roman"/>
          <w:sz w:val="26"/>
          <w:szCs w:val="20"/>
          <w:lang w:eastAsia="hu-HU"/>
        </w:rPr>
        <w:t>milliárd forint bevétele keletkezett a</w:t>
      </w:r>
      <w:r w:rsidR="00FF1C7F">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0"/>
          <w:lang w:eastAsia="hu-HU"/>
        </w:rPr>
        <w:t>költségvetésnek, ami az egy évvel korábbi bevételt 64,8</w:t>
      </w:r>
      <w:r w:rsidRPr="00C33C0A">
        <w:rPr>
          <w:rFonts w:ascii="Times New Roman" w:eastAsia="Times New Roman" w:hAnsi="Times New Roman" w:cs="Times New Roman"/>
          <w:color w:val="000000"/>
          <w:sz w:val="26"/>
          <w:szCs w:val="20"/>
          <w:lang w:eastAsia="hu-HU"/>
        </w:rPr>
        <w:t> </w:t>
      </w:r>
      <w:r w:rsidRPr="00C33C0A">
        <w:rPr>
          <w:rFonts w:ascii="Times New Roman" w:eastAsia="Times New Roman" w:hAnsi="Times New Roman" w:cs="Times New Roman"/>
          <w:sz w:val="26"/>
          <w:szCs w:val="20"/>
          <w:lang w:eastAsia="hu-HU"/>
        </w:rPr>
        <w:t>milliárd forinttal haladja meg.</w:t>
      </w:r>
    </w:p>
    <w:tbl>
      <w:tblPr>
        <w:tblW w:w="6905" w:type="dxa"/>
        <w:jc w:val="center"/>
        <w:tblCellMar>
          <w:left w:w="70" w:type="dxa"/>
          <w:right w:w="70" w:type="dxa"/>
        </w:tblCellMar>
        <w:tblLook w:val="04A0" w:firstRow="1" w:lastRow="0" w:firstColumn="1" w:lastColumn="0" w:noHBand="0" w:noVBand="1"/>
      </w:tblPr>
      <w:tblGrid>
        <w:gridCol w:w="1537"/>
        <w:gridCol w:w="1724"/>
        <w:gridCol w:w="1700"/>
        <w:gridCol w:w="993"/>
        <w:gridCol w:w="951"/>
      </w:tblGrid>
      <w:tr w:rsidR="00C33C0A" w:rsidRPr="00C33C0A" w14:paraId="31DDD710" w14:textId="77777777" w:rsidTr="00144492">
        <w:trPr>
          <w:trHeight w:val="255"/>
          <w:jc w:val="center"/>
        </w:trPr>
        <w:tc>
          <w:tcPr>
            <w:tcW w:w="6905" w:type="dxa"/>
            <w:gridSpan w:val="5"/>
            <w:tcBorders>
              <w:top w:val="nil"/>
              <w:left w:val="nil"/>
              <w:bottom w:val="nil"/>
              <w:right w:val="nil"/>
            </w:tcBorders>
            <w:noWrap/>
            <w:vAlign w:val="bottom"/>
            <w:hideMark/>
          </w:tcPr>
          <w:p w14:paraId="5CF804D2" w14:textId="77777777" w:rsidR="00C33C0A" w:rsidRPr="00C33C0A" w:rsidRDefault="00C33C0A" w:rsidP="00C33C0A">
            <w:pPr>
              <w:widowControl w:val="0"/>
              <w:spacing w:before="120" w:after="12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 xml:space="preserve">Általános forgalmi adó bevétel alakulása (milliárd forint) </w:t>
            </w:r>
          </w:p>
        </w:tc>
      </w:tr>
      <w:tr w:rsidR="00C33C0A" w:rsidRPr="00C33C0A" w14:paraId="7E9C45BB" w14:textId="77777777" w:rsidTr="00C33C0A">
        <w:trPr>
          <w:trHeight w:val="340"/>
          <w:jc w:val="center"/>
        </w:trPr>
        <w:tc>
          <w:tcPr>
            <w:tcW w:w="1537" w:type="dxa"/>
            <w:vMerge w:val="restart"/>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690546F"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Megnevezés</w:t>
            </w:r>
          </w:p>
        </w:tc>
        <w:tc>
          <w:tcPr>
            <w:tcW w:w="172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A03F514"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 xml:space="preserve">2025. </w:t>
            </w:r>
          </w:p>
          <w:p w14:paraId="54DDB012"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I. hó</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7B87808"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 xml:space="preserve">2026. </w:t>
            </w:r>
          </w:p>
          <w:p w14:paraId="5AE1AE69"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I. hó</w:t>
            </w:r>
          </w:p>
        </w:tc>
        <w:tc>
          <w:tcPr>
            <w:tcW w:w="1944" w:type="dxa"/>
            <w:gridSpan w:val="2"/>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EECD461"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Eltérés</w:t>
            </w:r>
          </w:p>
        </w:tc>
      </w:tr>
      <w:tr w:rsidR="00C33C0A" w:rsidRPr="00C33C0A" w14:paraId="2DCC2BD6" w14:textId="77777777" w:rsidTr="00C33C0A">
        <w:trPr>
          <w:trHeight w:val="340"/>
          <w:jc w:val="center"/>
        </w:trPr>
        <w:tc>
          <w:tcPr>
            <w:tcW w:w="1537"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4C2C157D" w14:textId="77777777" w:rsidR="00C33C0A" w:rsidRPr="00C33C0A" w:rsidRDefault="00C33C0A" w:rsidP="00C33C0A">
            <w:pPr>
              <w:spacing w:after="0" w:line="240" w:lineRule="auto"/>
              <w:jc w:val="both"/>
              <w:rPr>
                <w:rFonts w:ascii="Times New Roman" w:eastAsia="Times New Roman" w:hAnsi="Times New Roman" w:cs="Times New Roman"/>
                <w:b/>
                <w:bCs/>
                <w:szCs w:val="20"/>
                <w:lang w:eastAsia="hu-HU"/>
              </w:rPr>
            </w:pPr>
          </w:p>
        </w:tc>
        <w:tc>
          <w:tcPr>
            <w:tcW w:w="1724"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52412E4E" w14:textId="77777777" w:rsidR="00C33C0A" w:rsidRPr="00C33C0A" w:rsidRDefault="00C33C0A" w:rsidP="00C33C0A">
            <w:pPr>
              <w:spacing w:after="0" w:line="240" w:lineRule="auto"/>
              <w:jc w:val="both"/>
              <w:rPr>
                <w:rFonts w:ascii="Times New Roman" w:eastAsia="Times New Roman" w:hAnsi="Times New Roman" w:cs="Times New Roman"/>
                <w:b/>
                <w:bCs/>
                <w:szCs w:val="20"/>
                <w:lang w:eastAsia="hu-HU"/>
              </w:rPr>
            </w:pPr>
          </w:p>
        </w:tc>
        <w:tc>
          <w:tcPr>
            <w:tcW w:w="170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299A54A2" w14:textId="77777777" w:rsidR="00C33C0A" w:rsidRPr="00C33C0A" w:rsidRDefault="00C33C0A" w:rsidP="00C33C0A">
            <w:pPr>
              <w:spacing w:after="0" w:line="240" w:lineRule="auto"/>
              <w:jc w:val="both"/>
              <w:rPr>
                <w:rFonts w:ascii="Times New Roman" w:eastAsia="Times New Roman" w:hAnsi="Times New Roman" w:cs="Times New Roman"/>
                <w:b/>
                <w:bCs/>
                <w:szCs w:val="20"/>
                <w:lang w:eastAsia="hu-HU"/>
              </w:rPr>
            </w:pPr>
          </w:p>
        </w:tc>
        <w:tc>
          <w:tcPr>
            <w:tcW w:w="993"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0AD8CB7"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Mrd Ft</w:t>
            </w:r>
          </w:p>
        </w:tc>
        <w:tc>
          <w:tcPr>
            <w:tcW w:w="951"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CFC155B"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w:t>
            </w:r>
          </w:p>
        </w:tc>
      </w:tr>
      <w:tr w:rsidR="00C33C0A" w:rsidRPr="00C33C0A" w14:paraId="3A9E7070" w14:textId="77777777" w:rsidTr="00144492">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0CBA7A2D" w14:textId="77777777" w:rsidR="00C33C0A" w:rsidRPr="00C33C0A" w:rsidRDefault="00C33C0A" w:rsidP="00C33C0A">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Befizetés</w:t>
            </w:r>
          </w:p>
        </w:tc>
        <w:tc>
          <w:tcPr>
            <w:tcW w:w="1724" w:type="dxa"/>
            <w:tcBorders>
              <w:top w:val="single" w:sz="4" w:space="0" w:color="auto"/>
              <w:left w:val="single" w:sz="4" w:space="0" w:color="auto"/>
              <w:bottom w:val="single" w:sz="4" w:space="0" w:color="auto"/>
              <w:right w:val="single" w:sz="4" w:space="0" w:color="auto"/>
            </w:tcBorders>
            <w:noWrap/>
            <w:vAlign w:val="center"/>
          </w:tcPr>
          <w:p w14:paraId="68EDC41F" w14:textId="48114658" w:rsidR="00C33C0A" w:rsidRPr="00C33C0A" w:rsidRDefault="00C33C0A" w:rsidP="00C33C0A">
            <w:pPr>
              <w:spacing w:after="0" w:line="240" w:lineRule="auto"/>
              <w:jc w:val="right"/>
              <w:rPr>
                <w:rFonts w:ascii="Times New Roman" w:eastAsia="Times New Roman" w:hAnsi="Times New Roman" w:cs="Times New Roman"/>
                <w:szCs w:val="20"/>
                <w:highlight w:val="yellow"/>
                <w:lang w:eastAsia="hu-HU"/>
              </w:rPr>
            </w:pPr>
            <w:r w:rsidRPr="00C33C0A">
              <w:rPr>
                <w:rFonts w:ascii="Times New Roman" w:eastAsia="Times New Roman" w:hAnsi="Times New Roman" w:cs="Times New Roman"/>
                <w:color w:val="000000"/>
                <w:lang w:eastAsia="hu-HU"/>
              </w:rPr>
              <w:t>1</w:t>
            </w:r>
            <w:r w:rsidR="00401009">
              <w:rPr>
                <w:rFonts w:ascii="Times New Roman" w:eastAsia="Times New Roman" w:hAnsi="Times New Roman" w:cs="Times New Roman"/>
                <w:color w:val="000000"/>
                <w:lang w:eastAsia="hu-HU"/>
              </w:rPr>
              <w:t> </w:t>
            </w:r>
            <w:r w:rsidRPr="00C33C0A">
              <w:rPr>
                <w:rFonts w:ascii="Times New Roman" w:eastAsia="Times New Roman" w:hAnsi="Times New Roman" w:cs="Times New Roman"/>
                <w:color w:val="000000"/>
                <w:lang w:eastAsia="hu-HU"/>
              </w:rPr>
              <w:t xml:space="preserve">264,1 </w:t>
            </w:r>
          </w:p>
        </w:tc>
        <w:tc>
          <w:tcPr>
            <w:tcW w:w="1700" w:type="dxa"/>
            <w:tcBorders>
              <w:top w:val="single" w:sz="4" w:space="0" w:color="auto"/>
              <w:left w:val="single" w:sz="4" w:space="0" w:color="auto"/>
              <w:bottom w:val="single" w:sz="4" w:space="0" w:color="auto"/>
              <w:right w:val="single" w:sz="4" w:space="0" w:color="auto"/>
            </w:tcBorders>
            <w:noWrap/>
            <w:vAlign w:val="center"/>
          </w:tcPr>
          <w:p w14:paraId="0489C6D0" w14:textId="59C477CE" w:rsidR="00C33C0A" w:rsidRPr="00C33C0A" w:rsidRDefault="00C33C0A" w:rsidP="00C33C0A">
            <w:pPr>
              <w:spacing w:after="0" w:line="240" w:lineRule="auto"/>
              <w:jc w:val="right"/>
              <w:rPr>
                <w:rFonts w:ascii="Times New Roman" w:eastAsia="Times New Roman" w:hAnsi="Times New Roman" w:cs="Times New Roman"/>
                <w:szCs w:val="20"/>
                <w:highlight w:val="yellow"/>
                <w:lang w:eastAsia="hu-HU"/>
              </w:rPr>
            </w:pPr>
            <w:r w:rsidRPr="00C33C0A">
              <w:rPr>
                <w:rFonts w:ascii="Times New Roman" w:eastAsia="Times New Roman" w:hAnsi="Times New Roman" w:cs="Times New Roman"/>
                <w:color w:val="000000"/>
                <w:lang w:eastAsia="hu-HU"/>
              </w:rPr>
              <w:t>1</w:t>
            </w:r>
            <w:r w:rsidR="00401009">
              <w:rPr>
                <w:rFonts w:ascii="Times New Roman" w:eastAsia="Times New Roman" w:hAnsi="Times New Roman" w:cs="Times New Roman"/>
                <w:color w:val="000000"/>
                <w:lang w:eastAsia="hu-HU"/>
              </w:rPr>
              <w:t> </w:t>
            </w:r>
            <w:r w:rsidRPr="00C33C0A">
              <w:rPr>
                <w:rFonts w:ascii="Times New Roman" w:eastAsia="Times New Roman" w:hAnsi="Times New Roman" w:cs="Times New Roman"/>
                <w:color w:val="000000"/>
                <w:lang w:eastAsia="hu-HU"/>
              </w:rPr>
              <w:t>356,2</w:t>
            </w:r>
          </w:p>
        </w:tc>
        <w:tc>
          <w:tcPr>
            <w:tcW w:w="993" w:type="dxa"/>
            <w:tcBorders>
              <w:top w:val="single" w:sz="4" w:space="0" w:color="auto"/>
              <w:left w:val="single" w:sz="4" w:space="0" w:color="auto"/>
              <w:bottom w:val="single" w:sz="4" w:space="0" w:color="auto"/>
              <w:right w:val="single" w:sz="4" w:space="0" w:color="auto"/>
            </w:tcBorders>
            <w:noWrap/>
            <w:vAlign w:val="center"/>
          </w:tcPr>
          <w:p w14:paraId="349CBC1B" w14:textId="77777777" w:rsidR="00C33C0A" w:rsidRPr="00C33C0A" w:rsidRDefault="00C33C0A" w:rsidP="00C33C0A">
            <w:pPr>
              <w:spacing w:after="0" w:line="240" w:lineRule="auto"/>
              <w:jc w:val="right"/>
              <w:rPr>
                <w:rFonts w:ascii="Times New Roman" w:eastAsia="Times New Roman" w:hAnsi="Times New Roman" w:cs="Times New Roman"/>
                <w:szCs w:val="20"/>
                <w:highlight w:val="yellow"/>
                <w:lang w:eastAsia="hu-HU"/>
              </w:rPr>
            </w:pPr>
            <w:r w:rsidRPr="00C33C0A">
              <w:rPr>
                <w:rFonts w:ascii="Times New Roman" w:eastAsia="Times New Roman" w:hAnsi="Times New Roman" w:cs="Times New Roman"/>
                <w:color w:val="000000"/>
                <w:lang w:eastAsia="hu-HU"/>
              </w:rPr>
              <w:t>92,1</w:t>
            </w:r>
          </w:p>
        </w:tc>
        <w:tc>
          <w:tcPr>
            <w:tcW w:w="951" w:type="dxa"/>
            <w:tcBorders>
              <w:top w:val="single" w:sz="4" w:space="0" w:color="auto"/>
              <w:left w:val="single" w:sz="4" w:space="0" w:color="auto"/>
              <w:bottom w:val="single" w:sz="4" w:space="0" w:color="auto"/>
              <w:right w:val="single" w:sz="4" w:space="0" w:color="auto"/>
            </w:tcBorders>
            <w:noWrap/>
            <w:vAlign w:val="center"/>
          </w:tcPr>
          <w:p w14:paraId="7BE92787" w14:textId="77777777" w:rsidR="00C33C0A" w:rsidRPr="00C33C0A" w:rsidRDefault="00C33C0A" w:rsidP="00C33C0A">
            <w:pPr>
              <w:spacing w:after="0" w:line="240" w:lineRule="auto"/>
              <w:jc w:val="right"/>
              <w:rPr>
                <w:rFonts w:ascii="Times New Roman" w:eastAsia="Times New Roman" w:hAnsi="Times New Roman" w:cs="Times New Roman"/>
                <w:szCs w:val="20"/>
                <w:highlight w:val="yellow"/>
                <w:lang w:eastAsia="hu-HU"/>
              </w:rPr>
            </w:pPr>
            <w:r w:rsidRPr="00C33C0A">
              <w:rPr>
                <w:rFonts w:ascii="Times New Roman" w:eastAsia="Times New Roman" w:hAnsi="Times New Roman" w:cs="Times New Roman"/>
                <w:color w:val="000000"/>
                <w:lang w:eastAsia="hu-HU"/>
              </w:rPr>
              <w:t>107,3</w:t>
            </w:r>
          </w:p>
        </w:tc>
      </w:tr>
      <w:tr w:rsidR="00C33C0A" w:rsidRPr="00C33C0A" w14:paraId="1D1E2CB8" w14:textId="77777777" w:rsidTr="00144492">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6B4C3F0B" w14:textId="77777777" w:rsidR="00C33C0A" w:rsidRPr="00C33C0A" w:rsidRDefault="00C33C0A" w:rsidP="00C33C0A">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Kiutalás</w:t>
            </w:r>
          </w:p>
        </w:tc>
        <w:tc>
          <w:tcPr>
            <w:tcW w:w="1724" w:type="dxa"/>
            <w:tcBorders>
              <w:top w:val="single" w:sz="4" w:space="0" w:color="auto"/>
              <w:left w:val="single" w:sz="4" w:space="0" w:color="auto"/>
              <w:bottom w:val="single" w:sz="4" w:space="0" w:color="auto"/>
              <w:right w:val="single" w:sz="4" w:space="0" w:color="auto"/>
            </w:tcBorders>
            <w:noWrap/>
            <w:vAlign w:val="center"/>
          </w:tcPr>
          <w:p w14:paraId="671B7856" w14:textId="77777777" w:rsidR="00C33C0A" w:rsidRPr="00C33C0A" w:rsidRDefault="00C33C0A" w:rsidP="00C33C0A">
            <w:pPr>
              <w:spacing w:after="0" w:line="240" w:lineRule="auto"/>
              <w:jc w:val="right"/>
              <w:rPr>
                <w:rFonts w:ascii="Times New Roman" w:eastAsia="Times New Roman" w:hAnsi="Times New Roman" w:cs="Times New Roman"/>
                <w:szCs w:val="20"/>
                <w:highlight w:val="yellow"/>
                <w:lang w:eastAsia="hu-HU"/>
              </w:rPr>
            </w:pPr>
            <w:r w:rsidRPr="00C33C0A">
              <w:rPr>
                <w:rFonts w:ascii="Times New Roman" w:eastAsia="Times New Roman" w:hAnsi="Times New Roman" w:cs="Times New Roman"/>
                <w:color w:val="000000"/>
                <w:lang w:eastAsia="hu-HU"/>
              </w:rPr>
              <w:t xml:space="preserve">334,8 </w:t>
            </w:r>
          </w:p>
        </w:tc>
        <w:tc>
          <w:tcPr>
            <w:tcW w:w="1700" w:type="dxa"/>
            <w:tcBorders>
              <w:top w:val="single" w:sz="4" w:space="0" w:color="auto"/>
              <w:left w:val="single" w:sz="4" w:space="0" w:color="auto"/>
              <w:bottom w:val="single" w:sz="4" w:space="0" w:color="auto"/>
              <w:right w:val="single" w:sz="4" w:space="0" w:color="auto"/>
            </w:tcBorders>
            <w:noWrap/>
            <w:vAlign w:val="center"/>
          </w:tcPr>
          <w:p w14:paraId="23E47873" w14:textId="77777777" w:rsidR="00C33C0A" w:rsidRPr="00C33C0A" w:rsidRDefault="00C33C0A" w:rsidP="00C33C0A">
            <w:pPr>
              <w:spacing w:after="0" w:line="240" w:lineRule="auto"/>
              <w:jc w:val="right"/>
              <w:rPr>
                <w:rFonts w:ascii="Times New Roman" w:eastAsia="Times New Roman" w:hAnsi="Times New Roman" w:cs="Times New Roman"/>
                <w:szCs w:val="20"/>
                <w:highlight w:val="yellow"/>
                <w:lang w:eastAsia="hu-HU"/>
              </w:rPr>
            </w:pPr>
            <w:r w:rsidRPr="00C33C0A">
              <w:rPr>
                <w:rFonts w:ascii="Times New Roman" w:eastAsia="Times New Roman" w:hAnsi="Times New Roman" w:cs="Times New Roman"/>
                <w:color w:val="000000"/>
                <w:lang w:eastAsia="hu-HU"/>
              </w:rPr>
              <w:t>362,1</w:t>
            </w:r>
          </w:p>
        </w:tc>
        <w:tc>
          <w:tcPr>
            <w:tcW w:w="993" w:type="dxa"/>
            <w:tcBorders>
              <w:top w:val="single" w:sz="4" w:space="0" w:color="auto"/>
              <w:left w:val="single" w:sz="4" w:space="0" w:color="auto"/>
              <w:bottom w:val="single" w:sz="4" w:space="0" w:color="auto"/>
              <w:right w:val="single" w:sz="4" w:space="0" w:color="auto"/>
            </w:tcBorders>
            <w:noWrap/>
            <w:vAlign w:val="center"/>
          </w:tcPr>
          <w:p w14:paraId="0EED9B43" w14:textId="77777777" w:rsidR="00C33C0A" w:rsidRPr="00C33C0A" w:rsidRDefault="00C33C0A" w:rsidP="00C33C0A">
            <w:pPr>
              <w:spacing w:after="0" w:line="240" w:lineRule="auto"/>
              <w:jc w:val="right"/>
              <w:rPr>
                <w:rFonts w:ascii="Times New Roman" w:eastAsia="Times New Roman" w:hAnsi="Times New Roman" w:cs="Times New Roman"/>
                <w:szCs w:val="20"/>
                <w:highlight w:val="yellow"/>
                <w:lang w:eastAsia="hu-HU"/>
              </w:rPr>
            </w:pPr>
            <w:r w:rsidRPr="00C33C0A">
              <w:rPr>
                <w:rFonts w:ascii="Times New Roman" w:eastAsia="Times New Roman" w:hAnsi="Times New Roman" w:cs="Times New Roman"/>
                <w:color w:val="000000"/>
                <w:lang w:eastAsia="hu-HU"/>
              </w:rPr>
              <w:t>27,3</w:t>
            </w:r>
          </w:p>
        </w:tc>
        <w:tc>
          <w:tcPr>
            <w:tcW w:w="951" w:type="dxa"/>
            <w:tcBorders>
              <w:top w:val="single" w:sz="4" w:space="0" w:color="auto"/>
              <w:left w:val="single" w:sz="4" w:space="0" w:color="auto"/>
              <w:bottom w:val="single" w:sz="4" w:space="0" w:color="auto"/>
              <w:right w:val="single" w:sz="4" w:space="0" w:color="auto"/>
            </w:tcBorders>
            <w:noWrap/>
            <w:vAlign w:val="center"/>
          </w:tcPr>
          <w:p w14:paraId="4C6A17C1" w14:textId="77777777" w:rsidR="00C33C0A" w:rsidRPr="00C33C0A" w:rsidRDefault="00C33C0A" w:rsidP="00C33C0A">
            <w:pPr>
              <w:spacing w:after="0" w:line="240" w:lineRule="auto"/>
              <w:jc w:val="right"/>
              <w:rPr>
                <w:rFonts w:ascii="Times New Roman" w:eastAsia="Times New Roman" w:hAnsi="Times New Roman" w:cs="Times New Roman"/>
                <w:szCs w:val="20"/>
                <w:highlight w:val="yellow"/>
                <w:lang w:eastAsia="hu-HU"/>
              </w:rPr>
            </w:pPr>
            <w:r w:rsidRPr="00C33C0A">
              <w:rPr>
                <w:rFonts w:ascii="Times New Roman" w:eastAsia="Times New Roman" w:hAnsi="Times New Roman" w:cs="Times New Roman"/>
                <w:color w:val="000000"/>
                <w:lang w:eastAsia="hu-HU"/>
              </w:rPr>
              <w:t>108,2</w:t>
            </w:r>
          </w:p>
        </w:tc>
      </w:tr>
      <w:tr w:rsidR="00C33C0A" w:rsidRPr="00C33C0A" w14:paraId="774EC236" w14:textId="77777777" w:rsidTr="00144492">
        <w:trPr>
          <w:trHeight w:val="34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14:paraId="29A64E03" w14:textId="77777777" w:rsidR="00C33C0A" w:rsidRPr="00C33C0A" w:rsidRDefault="00C33C0A" w:rsidP="00C33C0A">
            <w:pPr>
              <w:spacing w:after="0" w:line="240" w:lineRule="auto"/>
              <w:jc w:val="both"/>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Egyenleg</w:t>
            </w:r>
          </w:p>
        </w:tc>
        <w:tc>
          <w:tcPr>
            <w:tcW w:w="1724" w:type="dxa"/>
            <w:tcBorders>
              <w:top w:val="single" w:sz="4" w:space="0" w:color="auto"/>
              <w:left w:val="single" w:sz="4" w:space="0" w:color="auto"/>
              <w:bottom w:val="single" w:sz="4" w:space="0" w:color="auto"/>
              <w:right w:val="single" w:sz="4" w:space="0" w:color="auto"/>
            </w:tcBorders>
            <w:noWrap/>
            <w:vAlign w:val="center"/>
          </w:tcPr>
          <w:p w14:paraId="6C0B8149" w14:textId="77777777" w:rsidR="00C33C0A" w:rsidRPr="00C33C0A" w:rsidRDefault="00C33C0A" w:rsidP="00C33C0A">
            <w:pPr>
              <w:spacing w:after="0" w:line="240" w:lineRule="auto"/>
              <w:jc w:val="right"/>
              <w:rPr>
                <w:rFonts w:ascii="Times New Roman" w:eastAsia="Times New Roman" w:hAnsi="Times New Roman" w:cs="Times New Roman"/>
                <w:b/>
                <w:bCs/>
                <w:szCs w:val="20"/>
                <w:highlight w:val="yellow"/>
                <w:lang w:eastAsia="hu-HU"/>
              </w:rPr>
            </w:pPr>
            <w:r w:rsidRPr="00C33C0A">
              <w:rPr>
                <w:rFonts w:ascii="Times New Roman" w:eastAsia="Times New Roman" w:hAnsi="Times New Roman" w:cs="Times New Roman"/>
                <w:b/>
                <w:bCs/>
                <w:color w:val="000000"/>
                <w:lang w:eastAsia="hu-HU"/>
              </w:rPr>
              <w:t xml:space="preserve">929,3 </w:t>
            </w:r>
          </w:p>
        </w:tc>
        <w:tc>
          <w:tcPr>
            <w:tcW w:w="1700" w:type="dxa"/>
            <w:tcBorders>
              <w:top w:val="single" w:sz="4" w:space="0" w:color="auto"/>
              <w:left w:val="single" w:sz="4" w:space="0" w:color="auto"/>
              <w:bottom w:val="single" w:sz="4" w:space="0" w:color="auto"/>
              <w:right w:val="single" w:sz="4" w:space="0" w:color="auto"/>
            </w:tcBorders>
            <w:noWrap/>
            <w:vAlign w:val="center"/>
          </w:tcPr>
          <w:p w14:paraId="106BB034" w14:textId="77777777" w:rsidR="00C33C0A" w:rsidRPr="00C33C0A" w:rsidRDefault="00C33C0A" w:rsidP="00C33C0A">
            <w:pPr>
              <w:spacing w:after="0" w:line="240" w:lineRule="auto"/>
              <w:jc w:val="right"/>
              <w:rPr>
                <w:rFonts w:ascii="Times New Roman" w:eastAsia="Times New Roman" w:hAnsi="Times New Roman" w:cs="Times New Roman"/>
                <w:b/>
                <w:bCs/>
                <w:szCs w:val="20"/>
                <w:highlight w:val="yellow"/>
                <w:lang w:eastAsia="hu-HU"/>
              </w:rPr>
            </w:pPr>
            <w:r w:rsidRPr="00C33C0A">
              <w:rPr>
                <w:rFonts w:ascii="Times New Roman" w:eastAsia="Times New Roman" w:hAnsi="Times New Roman" w:cs="Times New Roman"/>
                <w:b/>
                <w:bCs/>
                <w:color w:val="000000"/>
                <w:lang w:eastAsia="hu-HU"/>
              </w:rPr>
              <w:t>994,1</w:t>
            </w:r>
          </w:p>
        </w:tc>
        <w:tc>
          <w:tcPr>
            <w:tcW w:w="993" w:type="dxa"/>
            <w:tcBorders>
              <w:top w:val="single" w:sz="4" w:space="0" w:color="auto"/>
              <w:left w:val="single" w:sz="4" w:space="0" w:color="auto"/>
              <w:bottom w:val="single" w:sz="4" w:space="0" w:color="auto"/>
              <w:right w:val="single" w:sz="4" w:space="0" w:color="auto"/>
            </w:tcBorders>
            <w:noWrap/>
            <w:vAlign w:val="center"/>
          </w:tcPr>
          <w:p w14:paraId="0E5376E9" w14:textId="77777777" w:rsidR="00C33C0A" w:rsidRPr="00C33C0A" w:rsidRDefault="00C33C0A" w:rsidP="00C33C0A">
            <w:pPr>
              <w:spacing w:after="0" w:line="240" w:lineRule="auto"/>
              <w:jc w:val="right"/>
              <w:rPr>
                <w:rFonts w:ascii="Times New Roman" w:eastAsia="Times New Roman" w:hAnsi="Times New Roman" w:cs="Times New Roman"/>
                <w:szCs w:val="20"/>
                <w:highlight w:val="yellow"/>
                <w:lang w:eastAsia="hu-HU"/>
              </w:rPr>
            </w:pPr>
            <w:r w:rsidRPr="00C33C0A">
              <w:rPr>
                <w:rFonts w:ascii="Times New Roman" w:eastAsia="Times New Roman" w:hAnsi="Times New Roman" w:cs="Times New Roman"/>
                <w:b/>
                <w:bCs/>
                <w:color w:val="000000"/>
                <w:lang w:eastAsia="hu-HU"/>
              </w:rPr>
              <w:t>64,8</w:t>
            </w:r>
          </w:p>
        </w:tc>
        <w:tc>
          <w:tcPr>
            <w:tcW w:w="951" w:type="dxa"/>
            <w:tcBorders>
              <w:top w:val="single" w:sz="4" w:space="0" w:color="auto"/>
              <w:left w:val="single" w:sz="4" w:space="0" w:color="auto"/>
              <w:bottom w:val="single" w:sz="4" w:space="0" w:color="auto"/>
              <w:right w:val="single" w:sz="4" w:space="0" w:color="auto"/>
            </w:tcBorders>
            <w:noWrap/>
            <w:vAlign w:val="center"/>
          </w:tcPr>
          <w:p w14:paraId="33058F14" w14:textId="77777777" w:rsidR="00C33C0A" w:rsidRPr="00C33C0A" w:rsidRDefault="00C33C0A" w:rsidP="00C33C0A">
            <w:pPr>
              <w:spacing w:after="0" w:line="240" w:lineRule="auto"/>
              <w:jc w:val="right"/>
              <w:rPr>
                <w:rFonts w:ascii="Times New Roman" w:eastAsia="Times New Roman" w:hAnsi="Times New Roman" w:cs="Times New Roman"/>
                <w:szCs w:val="20"/>
                <w:highlight w:val="yellow"/>
                <w:lang w:eastAsia="hu-HU"/>
              </w:rPr>
            </w:pPr>
            <w:r w:rsidRPr="00C33C0A">
              <w:rPr>
                <w:rFonts w:ascii="Times New Roman" w:eastAsia="Times New Roman" w:hAnsi="Times New Roman" w:cs="Times New Roman"/>
                <w:b/>
                <w:bCs/>
                <w:color w:val="000000"/>
                <w:lang w:eastAsia="hu-HU"/>
              </w:rPr>
              <w:t>107,0</w:t>
            </w:r>
          </w:p>
        </w:tc>
      </w:tr>
    </w:tbl>
    <w:p w14:paraId="5D4A6DEA" w14:textId="08A4E3BA" w:rsidR="00C33C0A" w:rsidRPr="00C33C0A" w:rsidRDefault="00C33C0A" w:rsidP="00401009">
      <w:pPr>
        <w:spacing w:before="240"/>
        <w:jc w:val="both"/>
        <w:rPr>
          <w:rFonts w:ascii="Times New Roman" w:eastAsia="Times New Roman" w:hAnsi="Times New Roman" w:cs="Times New Roman"/>
          <w:sz w:val="26"/>
          <w:szCs w:val="20"/>
          <w:lang w:eastAsia="hu-HU"/>
        </w:rPr>
      </w:pPr>
      <w:r w:rsidRPr="00C33C0A">
        <w:rPr>
          <w:rFonts w:ascii="Times New Roman" w:eastAsia="Times New Roman" w:hAnsi="Times New Roman" w:cs="Times New Roman"/>
          <w:sz w:val="26"/>
          <w:szCs w:val="20"/>
          <w:lang w:eastAsia="hu-HU"/>
        </w:rPr>
        <w:t>A belföldi befizetések, valamint az import és a dohánytermékek utáni áfabevétel is növeked</w:t>
      </w:r>
      <w:r w:rsidR="00401009">
        <w:rPr>
          <w:rFonts w:ascii="Times New Roman" w:eastAsia="Times New Roman" w:hAnsi="Times New Roman" w:cs="Times New Roman"/>
          <w:sz w:val="26"/>
          <w:szCs w:val="20"/>
          <w:lang w:eastAsia="hu-HU"/>
        </w:rPr>
        <w:t>ett</w:t>
      </w:r>
      <w:r w:rsidRPr="00C33C0A">
        <w:rPr>
          <w:rFonts w:ascii="Times New Roman" w:eastAsia="Times New Roman" w:hAnsi="Times New Roman" w:cs="Times New Roman"/>
          <w:sz w:val="26"/>
          <w:szCs w:val="20"/>
          <w:lang w:eastAsia="hu-HU"/>
        </w:rPr>
        <w:t>. A belföldi befizetések növekedése elsősorban a kereskedelem ágazathoz köthető. Az import utáni befizetések növekedése hátterében a forgalom alakulása áll. A</w:t>
      </w:r>
      <w:r w:rsidR="00C75F9B">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0"/>
          <w:lang w:eastAsia="hu-HU"/>
        </w:rPr>
        <w:t>dohánytermékek utáni bevételek magasabb teljesülését a 2026. januári jövedéki adómérték-emelés magyarázza. A kiutalások alakulását a köztes ágazatok befizetése befolyásolja.</w:t>
      </w:r>
    </w:p>
    <w:p w14:paraId="6A4419C7" w14:textId="4F2466E9" w:rsidR="00CF551C" w:rsidRPr="00945E04" w:rsidRDefault="00C435AC" w:rsidP="009F5DC5">
      <w:pPr>
        <w:pStyle w:val="NormlWeb"/>
        <w:spacing w:before="0" w:beforeAutospacing="0" w:after="0" w:afterAutospacing="0"/>
        <w:jc w:val="center"/>
        <w:rPr>
          <w:sz w:val="22"/>
        </w:rPr>
      </w:pPr>
      <w:r>
        <w:rPr>
          <w:noProof/>
        </w:rPr>
        <w:lastRenderedPageBreak/>
        <w:drawing>
          <wp:inline distT="0" distB="0" distL="0" distR="0" wp14:anchorId="428CC838" wp14:editId="703EE5E4">
            <wp:extent cx="5218958" cy="3315829"/>
            <wp:effectExtent l="0" t="0" r="1270" b="0"/>
            <wp:docPr id="1634835330" name="Kép 1" descr="A képen szöveg, sor, Diagram, szá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35330" name="Kép 1" descr="A képen szöveg, sor, Diagram, szám látható&#10;&#10;Előfordulhat, hogy a mesterséges intelligencia által létrehozott tartalom helytelen."/>
                    <pic:cNvPicPr/>
                  </pic:nvPicPr>
                  <pic:blipFill rotWithShape="1">
                    <a:blip r:embed="rId15"/>
                    <a:srcRect t="5416"/>
                    <a:stretch/>
                  </pic:blipFill>
                  <pic:spPr bwMode="auto">
                    <a:xfrm>
                      <a:off x="0" y="0"/>
                      <a:ext cx="5246483" cy="3333317"/>
                    </a:xfrm>
                    <a:prstGeom prst="rect">
                      <a:avLst/>
                    </a:prstGeom>
                    <a:ln>
                      <a:noFill/>
                    </a:ln>
                    <a:extLst>
                      <a:ext uri="{53640926-AAD7-44D8-BBD7-CCE9431645EC}">
                        <a14:shadowObscured xmlns:a14="http://schemas.microsoft.com/office/drawing/2010/main"/>
                      </a:ext>
                    </a:extLst>
                  </pic:spPr>
                </pic:pic>
              </a:graphicData>
            </a:graphic>
          </wp:inline>
        </w:drawing>
      </w:r>
    </w:p>
    <w:p w14:paraId="54D7C308" w14:textId="7B47D06D" w:rsidR="00C33C0A" w:rsidRPr="00C33C0A" w:rsidRDefault="00C33C0A" w:rsidP="00401009">
      <w:pPr>
        <w:spacing w:before="120"/>
        <w:jc w:val="both"/>
        <w:rPr>
          <w:rFonts w:ascii="Times New Roman" w:eastAsia="Times New Roman" w:hAnsi="Times New Roman" w:cs="Times New Roman"/>
          <w:sz w:val="26"/>
          <w:szCs w:val="20"/>
          <w:lang w:eastAsia="hu-HU"/>
        </w:rPr>
      </w:pPr>
      <w:r w:rsidRPr="00C33C0A">
        <w:rPr>
          <w:rFonts w:ascii="Times New Roman" w:eastAsia="Times New Roman" w:hAnsi="Times New Roman" w:cs="Times New Roman"/>
          <w:sz w:val="26"/>
          <w:szCs w:val="20"/>
          <w:lang w:eastAsia="hu-HU"/>
        </w:rPr>
        <w:t xml:space="preserve">A </w:t>
      </w:r>
      <w:r w:rsidRPr="00C33C0A">
        <w:rPr>
          <w:rFonts w:ascii="Times New Roman" w:eastAsia="Times New Roman" w:hAnsi="Times New Roman" w:cs="Times New Roman"/>
          <w:b/>
          <w:sz w:val="26"/>
          <w:szCs w:val="20"/>
          <w:lang w:eastAsia="hu-HU"/>
        </w:rPr>
        <w:t>jövedéki adóból</w:t>
      </w:r>
      <w:r w:rsidRPr="00C33C0A">
        <w:rPr>
          <w:rFonts w:ascii="Times New Roman" w:eastAsia="Times New Roman" w:hAnsi="Times New Roman" w:cs="Times New Roman"/>
          <w:sz w:val="26"/>
          <w:szCs w:val="20"/>
          <w:lang w:eastAsia="hu-HU"/>
        </w:rPr>
        <w:t xml:space="preserve"> származó bevétel a 2026. év január hónapjában 185,9</w:t>
      </w:r>
      <w:r w:rsidRPr="00C33C0A">
        <w:rPr>
          <w:rFonts w:ascii="Times New Roman" w:eastAsia="Times New Roman" w:hAnsi="Times New Roman" w:cs="Times New Roman"/>
          <w:color w:val="000000"/>
          <w:sz w:val="26"/>
          <w:szCs w:val="20"/>
          <w:lang w:eastAsia="hu-HU"/>
        </w:rPr>
        <w:t> </w:t>
      </w:r>
      <w:r w:rsidRPr="00C33C0A">
        <w:rPr>
          <w:rFonts w:ascii="Times New Roman" w:eastAsia="Times New Roman" w:hAnsi="Times New Roman" w:cs="Times New Roman"/>
          <w:sz w:val="26"/>
          <w:szCs w:val="20"/>
          <w:lang w:eastAsia="hu-HU"/>
        </w:rPr>
        <w:t>milliárd forintot tett ki, amely 34,4 milliárd forinttal magasabb az egy évvel korábbi bevételnél. A</w:t>
      </w:r>
      <w:r w:rsidR="00C435AC">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0"/>
          <w:lang w:eastAsia="hu-HU"/>
        </w:rPr>
        <w:t>dohánytermékek utáni bevételek jelentős növekedésének hátterében a 2026. januári adómérték-emelésre adott piaci reakció, nagymértékű készletezési hatás áll. A</w:t>
      </w:r>
      <w:r w:rsidR="00C435AC">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0"/>
          <w:lang w:eastAsia="hu-HU"/>
        </w:rPr>
        <w:t>szeszesitalok és egyéb termékek esetében a bevételek alakulását a 2026. januári adómérték emelés, valamint a piaci reakciók magyarázzák. Az üzemanyagok utáni és az energiaadó bevételek csökkenése adónem elszámoláshoz köthető</w:t>
      </w:r>
      <w:r w:rsidRPr="00C33C0A">
        <w:rPr>
          <w:rFonts w:ascii="Arial" w:eastAsia="Times New Roman" w:hAnsi="Arial" w:cs="Arial"/>
          <w:sz w:val="26"/>
          <w:szCs w:val="20"/>
          <w:lang w:eastAsia="hu-HU"/>
        </w:rPr>
        <w:t>.</w:t>
      </w:r>
    </w:p>
    <w:tbl>
      <w:tblPr>
        <w:tblW w:w="7938" w:type="dxa"/>
        <w:jc w:val="center"/>
        <w:tblCellMar>
          <w:left w:w="70" w:type="dxa"/>
          <w:right w:w="70" w:type="dxa"/>
        </w:tblCellMar>
        <w:tblLook w:val="04A0" w:firstRow="1" w:lastRow="0" w:firstColumn="1" w:lastColumn="0" w:noHBand="0" w:noVBand="1"/>
      </w:tblPr>
      <w:tblGrid>
        <w:gridCol w:w="3402"/>
        <w:gridCol w:w="1134"/>
        <w:gridCol w:w="1134"/>
        <w:gridCol w:w="1134"/>
        <w:gridCol w:w="1134"/>
      </w:tblGrid>
      <w:tr w:rsidR="00C33C0A" w:rsidRPr="00C33C0A" w14:paraId="6A84C6E4" w14:textId="77777777" w:rsidTr="00144492">
        <w:trPr>
          <w:trHeight w:val="255"/>
          <w:jc w:val="center"/>
        </w:trPr>
        <w:tc>
          <w:tcPr>
            <w:tcW w:w="7938" w:type="dxa"/>
            <w:gridSpan w:val="5"/>
            <w:tcBorders>
              <w:top w:val="nil"/>
              <w:left w:val="nil"/>
              <w:bottom w:val="single" w:sz="4" w:space="0" w:color="auto"/>
              <w:right w:val="nil"/>
            </w:tcBorders>
            <w:noWrap/>
            <w:vAlign w:val="bottom"/>
            <w:hideMark/>
          </w:tcPr>
          <w:p w14:paraId="7461E46B" w14:textId="77777777" w:rsidR="00C33C0A" w:rsidRPr="00C33C0A" w:rsidRDefault="00C33C0A" w:rsidP="00C33C0A">
            <w:pPr>
              <w:spacing w:before="120" w:after="120" w:line="240" w:lineRule="auto"/>
              <w:jc w:val="center"/>
              <w:rPr>
                <w:rFonts w:ascii="Times New Roman" w:eastAsia="Times New Roman" w:hAnsi="Times New Roman" w:cs="Times New Roman"/>
                <w:b/>
                <w:bCs/>
                <w:sz w:val="26"/>
                <w:szCs w:val="20"/>
                <w:lang w:eastAsia="hu-HU"/>
              </w:rPr>
            </w:pPr>
            <w:r w:rsidRPr="00C33C0A">
              <w:rPr>
                <w:rFonts w:ascii="Times New Roman" w:eastAsia="Times New Roman" w:hAnsi="Times New Roman" w:cs="Times New Roman"/>
                <w:b/>
                <w:bCs/>
                <w:szCs w:val="20"/>
                <w:lang w:eastAsia="hu-HU"/>
              </w:rPr>
              <w:t>Jövedéki adó bevétel alakulása (milliárd forint)</w:t>
            </w:r>
          </w:p>
        </w:tc>
      </w:tr>
      <w:tr w:rsidR="00C33C0A" w:rsidRPr="00C33C0A" w14:paraId="3F4E942C" w14:textId="77777777" w:rsidTr="00C33C0A">
        <w:trPr>
          <w:trHeight w:val="34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2CF19EF"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Megnevezés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E229806"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2025.</w:t>
            </w:r>
          </w:p>
          <w:p w14:paraId="702F12D8"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I. hó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8F2D231"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2026.</w:t>
            </w:r>
          </w:p>
          <w:p w14:paraId="76768707"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I. hó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C270098"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Eltérés</w:t>
            </w:r>
          </w:p>
        </w:tc>
      </w:tr>
      <w:tr w:rsidR="00C33C0A" w:rsidRPr="00C33C0A" w14:paraId="2C36D825" w14:textId="77777777" w:rsidTr="00C33C0A">
        <w:trPr>
          <w:trHeight w:val="340"/>
          <w:jc w:val="center"/>
        </w:trPr>
        <w:tc>
          <w:tcPr>
            <w:tcW w:w="3402"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4497245D" w14:textId="77777777" w:rsidR="00C33C0A" w:rsidRPr="00C33C0A" w:rsidRDefault="00C33C0A" w:rsidP="00C33C0A">
            <w:pPr>
              <w:spacing w:after="0" w:line="240" w:lineRule="auto"/>
              <w:jc w:val="both"/>
              <w:rPr>
                <w:rFonts w:ascii="Times New Roman" w:eastAsia="Times New Roman" w:hAnsi="Times New Roman" w:cs="Times New Roman"/>
                <w:b/>
                <w:bCs/>
                <w:szCs w:val="20"/>
                <w:lang w:eastAsia="hu-HU"/>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755AEF74"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3CA13605"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p>
        </w:tc>
        <w:tc>
          <w:tcPr>
            <w:tcW w:w="1134"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FA2217B"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Mrd Ft</w:t>
            </w:r>
          </w:p>
        </w:tc>
        <w:tc>
          <w:tcPr>
            <w:tcW w:w="1134"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9EB1FFB"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w:t>
            </w:r>
          </w:p>
        </w:tc>
      </w:tr>
      <w:tr w:rsidR="00C33C0A" w:rsidRPr="00C33C0A" w14:paraId="2803D0ED" w14:textId="77777777" w:rsidTr="00144492">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4F0ED5DD" w14:textId="77777777" w:rsidR="00C33C0A" w:rsidRPr="00C33C0A" w:rsidRDefault="00C33C0A" w:rsidP="00C33C0A">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Üzemanyag jövedéki adó</w:t>
            </w:r>
          </w:p>
        </w:tc>
        <w:tc>
          <w:tcPr>
            <w:tcW w:w="1134" w:type="dxa"/>
            <w:tcBorders>
              <w:top w:val="single" w:sz="4" w:space="0" w:color="auto"/>
              <w:left w:val="single" w:sz="4" w:space="0" w:color="auto"/>
              <w:bottom w:val="single" w:sz="4" w:space="0" w:color="auto"/>
              <w:right w:val="single" w:sz="4" w:space="0" w:color="auto"/>
            </w:tcBorders>
            <w:noWrap/>
            <w:vAlign w:val="center"/>
          </w:tcPr>
          <w:p w14:paraId="072F51A3" w14:textId="77777777" w:rsidR="00C33C0A" w:rsidRPr="00C33C0A" w:rsidRDefault="00C33C0A" w:rsidP="00C33C0A">
            <w:pPr>
              <w:spacing w:after="0" w:line="240" w:lineRule="auto"/>
              <w:jc w:val="right"/>
              <w:rPr>
                <w:rFonts w:ascii="Times New Roman" w:eastAsia="Times New Roman" w:hAnsi="Times New Roman" w:cs="Times New Roman"/>
                <w:color w:val="000000"/>
                <w:lang w:eastAsia="hu-HU"/>
              </w:rPr>
            </w:pPr>
            <w:r w:rsidRPr="00C33C0A">
              <w:rPr>
                <w:rFonts w:ascii="Times New Roman" w:eastAsia="Times New Roman" w:hAnsi="Times New Roman" w:cs="Times New Roman"/>
                <w:color w:val="000000"/>
                <w:lang w:eastAsia="hu-HU"/>
              </w:rPr>
              <w:t>72,6</w:t>
            </w:r>
          </w:p>
        </w:tc>
        <w:tc>
          <w:tcPr>
            <w:tcW w:w="1134" w:type="dxa"/>
            <w:tcBorders>
              <w:top w:val="single" w:sz="4" w:space="0" w:color="auto"/>
              <w:left w:val="single" w:sz="4" w:space="0" w:color="auto"/>
              <w:bottom w:val="single" w:sz="4" w:space="0" w:color="auto"/>
              <w:right w:val="single" w:sz="4" w:space="0" w:color="auto"/>
            </w:tcBorders>
            <w:noWrap/>
            <w:vAlign w:val="center"/>
          </w:tcPr>
          <w:p w14:paraId="3D5B7F3B"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71,5</w:t>
            </w:r>
          </w:p>
        </w:tc>
        <w:tc>
          <w:tcPr>
            <w:tcW w:w="1134" w:type="dxa"/>
            <w:tcBorders>
              <w:top w:val="single" w:sz="4" w:space="0" w:color="auto"/>
              <w:left w:val="single" w:sz="4" w:space="0" w:color="auto"/>
              <w:bottom w:val="single" w:sz="4" w:space="0" w:color="auto"/>
              <w:right w:val="single" w:sz="4" w:space="0" w:color="auto"/>
            </w:tcBorders>
            <w:noWrap/>
            <w:vAlign w:val="center"/>
          </w:tcPr>
          <w:p w14:paraId="7A2CC9EE"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34BA4F3"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98,5</w:t>
            </w:r>
          </w:p>
        </w:tc>
      </w:tr>
      <w:tr w:rsidR="00C33C0A" w:rsidRPr="00C33C0A" w14:paraId="3B9C5438" w14:textId="77777777" w:rsidTr="00144492">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3572D4FD" w14:textId="77777777" w:rsidR="00C33C0A" w:rsidRPr="00C33C0A" w:rsidRDefault="00C33C0A" w:rsidP="00C33C0A">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Dohánygyártmány jövedéki adó</w:t>
            </w:r>
          </w:p>
        </w:tc>
        <w:tc>
          <w:tcPr>
            <w:tcW w:w="1134" w:type="dxa"/>
            <w:tcBorders>
              <w:top w:val="single" w:sz="4" w:space="0" w:color="auto"/>
              <w:left w:val="single" w:sz="4" w:space="0" w:color="auto"/>
              <w:bottom w:val="single" w:sz="4" w:space="0" w:color="auto"/>
              <w:right w:val="single" w:sz="4" w:space="0" w:color="auto"/>
            </w:tcBorders>
            <w:noWrap/>
            <w:vAlign w:val="center"/>
          </w:tcPr>
          <w:p w14:paraId="1161ACEE" w14:textId="77777777" w:rsidR="00C33C0A" w:rsidRPr="00C33C0A" w:rsidRDefault="00C33C0A" w:rsidP="00C33C0A">
            <w:pPr>
              <w:spacing w:after="0" w:line="240" w:lineRule="auto"/>
              <w:jc w:val="right"/>
              <w:rPr>
                <w:rFonts w:ascii="Times New Roman" w:eastAsia="Times New Roman" w:hAnsi="Times New Roman" w:cs="Times New Roman"/>
                <w:color w:val="000000"/>
                <w:lang w:eastAsia="hu-HU"/>
              </w:rPr>
            </w:pPr>
            <w:r w:rsidRPr="00C33C0A">
              <w:rPr>
                <w:rFonts w:ascii="Times New Roman" w:eastAsia="Times New Roman" w:hAnsi="Times New Roman" w:cs="Times New Roman"/>
                <w:color w:val="000000"/>
                <w:lang w:eastAsia="hu-HU"/>
              </w:rPr>
              <w:t>63,8</w:t>
            </w:r>
          </w:p>
        </w:tc>
        <w:tc>
          <w:tcPr>
            <w:tcW w:w="1134" w:type="dxa"/>
            <w:tcBorders>
              <w:top w:val="single" w:sz="4" w:space="0" w:color="auto"/>
              <w:left w:val="single" w:sz="4" w:space="0" w:color="auto"/>
              <w:bottom w:val="single" w:sz="4" w:space="0" w:color="auto"/>
              <w:right w:val="single" w:sz="4" w:space="0" w:color="auto"/>
            </w:tcBorders>
            <w:noWrap/>
            <w:vAlign w:val="center"/>
          </w:tcPr>
          <w:p w14:paraId="6B33D0B8" w14:textId="4CFA1E3C"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99</w:t>
            </w:r>
            <w:r w:rsidR="00401009">
              <w:rPr>
                <w:rFonts w:ascii="Times New Roman" w:eastAsia="Times New Roman" w:hAnsi="Times New Roman" w:cs="Times New Roman"/>
                <w:color w:val="000000"/>
                <w:lang w:eastAsia="hu-H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3DDB0DC4"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35,2</w:t>
            </w:r>
          </w:p>
        </w:tc>
        <w:tc>
          <w:tcPr>
            <w:tcW w:w="1134" w:type="dxa"/>
            <w:tcBorders>
              <w:top w:val="single" w:sz="4" w:space="0" w:color="auto"/>
              <w:left w:val="single" w:sz="4" w:space="0" w:color="auto"/>
              <w:bottom w:val="single" w:sz="4" w:space="0" w:color="auto"/>
              <w:right w:val="single" w:sz="4" w:space="0" w:color="auto"/>
            </w:tcBorders>
            <w:noWrap/>
            <w:vAlign w:val="center"/>
          </w:tcPr>
          <w:p w14:paraId="17ABF9D6"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155,2</w:t>
            </w:r>
          </w:p>
        </w:tc>
      </w:tr>
      <w:tr w:rsidR="00C33C0A" w:rsidRPr="00C33C0A" w14:paraId="0FE11734" w14:textId="77777777" w:rsidTr="00144492">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757BB23" w14:textId="77777777" w:rsidR="00C33C0A" w:rsidRPr="00C33C0A" w:rsidRDefault="00C33C0A" w:rsidP="00C33C0A">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Egyéb termék jövedéki adó</w:t>
            </w:r>
          </w:p>
        </w:tc>
        <w:tc>
          <w:tcPr>
            <w:tcW w:w="1134" w:type="dxa"/>
            <w:tcBorders>
              <w:top w:val="single" w:sz="4" w:space="0" w:color="auto"/>
              <w:left w:val="single" w:sz="4" w:space="0" w:color="auto"/>
              <w:bottom w:val="single" w:sz="4" w:space="0" w:color="auto"/>
              <w:right w:val="single" w:sz="4" w:space="0" w:color="auto"/>
            </w:tcBorders>
            <w:noWrap/>
            <w:vAlign w:val="center"/>
          </w:tcPr>
          <w:p w14:paraId="7BB322E6" w14:textId="77777777" w:rsidR="00C33C0A" w:rsidRPr="00C33C0A" w:rsidRDefault="00C33C0A" w:rsidP="00C33C0A">
            <w:pPr>
              <w:spacing w:after="0" w:line="240" w:lineRule="auto"/>
              <w:jc w:val="right"/>
              <w:rPr>
                <w:rFonts w:ascii="Times New Roman" w:eastAsia="Times New Roman" w:hAnsi="Times New Roman" w:cs="Times New Roman"/>
                <w:color w:val="000000"/>
                <w:lang w:eastAsia="hu-HU"/>
              </w:rPr>
            </w:pPr>
            <w:r w:rsidRPr="00C33C0A">
              <w:rPr>
                <w:rFonts w:ascii="Times New Roman" w:eastAsia="Times New Roman" w:hAnsi="Times New Roman" w:cs="Times New Roman"/>
                <w:color w:val="000000"/>
                <w:lang w:eastAsia="hu-HU"/>
              </w:rPr>
              <w:t>13,3</w:t>
            </w:r>
          </w:p>
        </w:tc>
        <w:tc>
          <w:tcPr>
            <w:tcW w:w="1134" w:type="dxa"/>
            <w:tcBorders>
              <w:top w:val="single" w:sz="4" w:space="0" w:color="auto"/>
              <w:left w:val="single" w:sz="4" w:space="0" w:color="auto"/>
              <w:bottom w:val="single" w:sz="4" w:space="0" w:color="auto"/>
              <w:right w:val="single" w:sz="4" w:space="0" w:color="auto"/>
            </w:tcBorders>
            <w:noWrap/>
            <w:vAlign w:val="center"/>
          </w:tcPr>
          <w:p w14:paraId="224ED50E"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13,7</w:t>
            </w:r>
          </w:p>
        </w:tc>
        <w:tc>
          <w:tcPr>
            <w:tcW w:w="1134" w:type="dxa"/>
            <w:tcBorders>
              <w:top w:val="single" w:sz="4" w:space="0" w:color="auto"/>
              <w:left w:val="single" w:sz="4" w:space="0" w:color="auto"/>
              <w:bottom w:val="single" w:sz="4" w:space="0" w:color="auto"/>
              <w:right w:val="single" w:sz="4" w:space="0" w:color="auto"/>
            </w:tcBorders>
            <w:noWrap/>
            <w:vAlign w:val="center"/>
          </w:tcPr>
          <w:p w14:paraId="45504B88"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0,4</w:t>
            </w:r>
          </w:p>
        </w:tc>
        <w:tc>
          <w:tcPr>
            <w:tcW w:w="1134" w:type="dxa"/>
            <w:tcBorders>
              <w:top w:val="single" w:sz="4" w:space="0" w:color="auto"/>
              <w:left w:val="single" w:sz="4" w:space="0" w:color="auto"/>
              <w:bottom w:val="single" w:sz="4" w:space="0" w:color="auto"/>
              <w:right w:val="single" w:sz="4" w:space="0" w:color="auto"/>
            </w:tcBorders>
            <w:noWrap/>
            <w:vAlign w:val="center"/>
          </w:tcPr>
          <w:p w14:paraId="346E8B41"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103,0</w:t>
            </w:r>
          </w:p>
        </w:tc>
      </w:tr>
      <w:tr w:rsidR="00C33C0A" w:rsidRPr="00C33C0A" w14:paraId="041FFB1F" w14:textId="77777777" w:rsidTr="00144492">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4943F085" w14:textId="77777777" w:rsidR="00C33C0A" w:rsidRPr="00C33C0A" w:rsidRDefault="00C33C0A" w:rsidP="00C33C0A">
            <w:pPr>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Import jövedéki adó és energiaadó</w:t>
            </w:r>
          </w:p>
        </w:tc>
        <w:tc>
          <w:tcPr>
            <w:tcW w:w="1134" w:type="dxa"/>
            <w:tcBorders>
              <w:top w:val="single" w:sz="4" w:space="0" w:color="auto"/>
              <w:left w:val="single" w:sz="4" w:space="0" w:color="auto"/>
              <w:bottom w:val="single" w:sz="4" w:space="0" w:color="auto"/>
              <w:right w:val="single" w:sz="4" w:space="0" w:color="auto"/>
            </w:tcBorders>
            <w:noWrap/>
            <w:vAlign w:val="center"/>
          </w:tcPr>
          <w:p w14:paraId="4E6EF4DC" w14:textId="77777777" w:rsidR="00C33C0A" w:rsidRPr="00C33C0A" w:rsidRDefault="00C33C0A" w:rsidP="00C33C0A">
            <w:pPr>
              <w:spacing w:after="0" w:line="240" w:lineRule="auto"/>
              <w:jc w:val="right"/>
              <w:rPr>
                <w:rFonts w:ascii="Times New Roman" w:eastAsia="Times New Roman" w:hAnsi="Times New Roman" w:cs="Times New Roman"/>
                <w:color w:val="000000"/>
                <w:lang w:eastAsia="hu-HU"/>
              </w:rPr>
            </w:pPr>
            <w:r w:rsidRPr="00C33C0A">
              <w:rPr>
                <w:rFonts w:ascii="Times New Roman" w:eastAsia="Times New Roman" w:hAnsi="Times New Roman" w:cs="Times New Roman"/>
                <w:color w:val="000000"/>
                <w:lang w:eastAsia="hu-HU"/>
              </w:rPr>
              <w:t>1,8</w:t>
            </w:r>
          </w:p>
        </w:tc>
        <w:tc>
          <w:tcPr>
            <w:tcW w:w="1134" w:type="dxa"/>
            <w:tcBorders>
              <w:top w:val="single" w:sz="4" w:space="0" w:color="auto"/>
              <w:left w:val="single" w:sz="4" w:space="0" w:color="auto"/>
              <w:bottom w:val="single" w:sz="4" w:space="0" w:color="auto"/>
              <w:right w:val="single" w:sz="4" w:space="0" w:color="auto"/>
            </w:tcBorders>
            <w:noWrap/>
            <w:vAlign w:val="center"/>
          </w:tcPr>
          <w:p w14:paraId="11B46DE6"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1,7</w:t>
            </w:r>
          </w:p>
        </w:tc>
        <w:tc>
          <w:tcPr>
            <w:tcW w:w="1134" w:type="dxa"/>
            <w:tcBorders>
              <w:top w:val="single" w:sz="4" w:space="0" w:color="auto"/>
              <w:left w:val="single" w:sz="4" w:space="0" w:color="auto"/>
              <w:bottom w:val="single" w:sz="4" w:space="0" w:color="auto"/>
              <w:right w:val="single" w:sz="4" w:space="0" w:color="auto"/>
            </w:tcBorders>
            <w:noWrap/>
            <w:vAlign w:val="center"/>
          </w:tcPr>
          <w:p w14:paraId="51E8B917"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-0,1</w:t>
            </w:r>
          </w:p>
        </w:tc>
        <w:tc>
          <w:tcPr>
            <w:tcW w:w="1134" w:type="dxa"/>
            <w:tcBorders>
              <w:top w:val="single" w:sz="4" w:space="0" w:color="auto"/>
              <w:left w:val="single" w:sz="4" w:space="0" w:color="auto"/>
              <w:bottom w:val="single" w:sz="4" w:space="0" w:color="auto"/>
              <w:right w:val="single" w:sz="4" w:space="0" w:color="auto"/>
            </w:tcBorders>
            <w:noWrap/>
            <w:vAlign w:val="center"/>
          </w:tcPr>
          <w:p w14:paraId="68118B75" w14:textId="77777777" w:rsidR="00C33C0A" w:rsidRPr="00C33C0A" w:rsidRDefault="00C33C0A" w:rsidP="00C33C0A">
            <w:pPr>
              <w:spacing w:after="0" w:line="240" w:lineRule="auto"/>
              <w:jc w:val="right"/>
              <w:rPr>
                <w:rFonts w:ascii="Times New Roman" w:eastAsia="Times New Roman" w:hAnsi="Times New Roman" w:cs="Times New Roman"/>
                <w:color w:val="000000"/>
                <w:highlight w:val="yellow"/>
                <w:lang w:eastAsia="hu-HU"/>
              </w:rPr>
            </w:pPr>
            <w:r w:rsidRPr="00C33C0A">
              <w:rPr>
                <w:rFonts w:ascii="Times New Roman" w:eastAsia="Times New Roman" w:hAnsi="Times New Roman" w:cs="Times New Roman"/>
                <w:color w:val="000000"/>
                <w:lang w:eastAsia="hu-HU"/>
              </w:rPr>
              <w:t>94,4</w:t>
            </w:r>
          </w:p>
        </w:tc>
      </w:tr>
      <w:tr w:rsidR="00C33C0A" w:rsidRPr="00C33C0A" w14:paraId="10A1BEFA" w14:textId="77777777" w:rsidTr="00144492">
        <w:trPr>
          <w:trHeight w:val="340"/>
          <w:jc w:val="center"/>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59F19227" w14:textId="77777777" w:rsidR="00C33C0A" w:rsidRPr="00C33C0A" w:rsidRDefault="00C33C0A" w:rsidP="00C33C0A">
            <w:pPr>
              <w:spacing w:after="0" w:line="240" w:lineRule="auto"/>
              <w:jc w:val="both"/>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Jövedéki adók összesen</w:t>
            </w:r>
          </w:p>
        </w:tc>
        <w:tc>
          <w:tcPr>
            <w:tcW w:w="1134" w:type="dxa"/>
            <w:tcBorders>
              <w:top w:val="single" w:sz="4" w:space="0" w:color="auto"/>
              <w:left w:val="single" w:sz="4" w:space="0" w:color="auto"/>
              <w:bottom w:val="single" w:sz="4" w:space="0" w:color="auto"/>
              <w:right w:val="single" w:sz="4" w:space="0" w:color="auto"/>
            </w:tcBorders>
            <w:noWrap/>
            <w:vAlign w:val="center"/>
          </w:tcPr>
          <w:p w14:paraId="2380BD5C" w14:textId="77777777" w:rsidR="00C33C0A" w:rsidRPr="00C33C0A" w:rsidRDefault="00C33C0A" w:rsidP="00C33C0A">
            <w:pPr>
              <w:spacing w:after="0" w:line="240" w:lineRule="auto"/>
              <w:jc w:val="right"/>
              <w:rPr>
                <w:rFonts w:ascii="Times New Roman" w:eastAsia="Times New Roman" w:hAnsi="Times New Roman" w:cs="Times New Roman"/>
                <w:b/>
                <w:bCs/>
                <w:color w:val="000000"/>
                <w:lang w:eastAsia="hu-HU"/>
              </w:rPr>
            </w:pPr>
            <w:r w:rsidRPr="00C33C0A">
              <w:rPr>
                <w:rFonts w:ascii="Times New Roman" w:eastAsia="Times New Roman" w:hAnsi="Times New Roman" w:cs="Times New Roman"/>
                <w:b/>
                <w:bCs/>
                <w:color w:val="000000"/>
                <w:lang w:eastAsia="hu-HU"/>
              </w:rPr>
              <w:t>151,5</w:t>
            </w:r>
          </w:p>
        </w:tc>
        <w:tc>
          <w:tcPr>
            <w:tcW w:w="1134" w:type="dxa"/>
            <w:tcBorders>
              <w:top w:val="single" w:sz="4" w:space="0" w:color="auto"/>
              <w:left w:val="single" w:sz="4" w:space="0" w:color="auto"/>
              <w:bottom w:val="single" w:sz="4" w:space="0" w:color="auto"/>
              <w:right w:val="single" w:sz="4" w:space="0" w:color="auto"/>
            </w:tcBorders>
            <w:noWrap/>
            <w:vAlign w:val="center"/>
          </w:tcPr>
          <w:p w14:paraId="1CED2813" w14:textId="77777777" w:rsidR="00C33C0A" w:rsidRPr="00C33C0A" w:rsidRDefault="00C33C0A" w:rsidP="00C33C0A">
            <w:pPr>
              <w:spacing w:after="0" w:line="240" w:lineRule="auto"/>
              <w:jc w:val="right"/>
              <w:rPr>
                <w:rFonts w:ascii="Times New Roman" w:eastAsia="Times New Roman" w:hAnsi="Times New Roman" w:cs="Times New Roman"/>
                <w:b/>
                <w:bCs/>
                <w:color w:val="000000"/>
                <w:highlight w:val="yellow"/>
                <w:lang w:eastAsia="hu-HU"/>
              </w:rPr>
            </w:pPr>
            <w:r w:rsidRPr="00C33C0A">
              <w:rPr>
                <w:rFonts w:ascii="Times New Roman" w:eastAsia="Times New Roman" w:hAnsi="Times New Roman" w:cs="Times New Roman"/>
                <w:b/>
                <w:bCs/>
                <w:color w:val="000000"/>
                <w:lang w:eastAsia="hu-HU"/>
              </w:rPr>
              <w:t>185,9</w:t>
            </w:r>
          </w:p>
        </w:tc>
        <w:tc>
          <w:tcPr>
            <w:tcW w:w="1134" w:type="dxa"/>
            <w:tcBorders>
              <w:top w:val="single" w:sz="4" w:space="0" w:color="auto"/>
              <w:left w:val="single" w:sz="4" w:space="0" w:color="auto"/>
              <w:bottom w:val="single" w:sz="4" w:space="0" w:color="auto"/>
              <w:right w:val="single" w:sz="4" w:space="0" w:color="auto"/>
            </w:tcBorders>
            <w:noWrap/>
            <w:vAlign w:val="center"/>
          </w:tcPr>
          <w:p w14:paraId="5127167A" w14:textId="77777777" w:rsidR="00C33C0A" w:rsidRPr="00C33C0A" w:rsidRDefault="00C33C0A" w:rsidP="00C33C0A">
            <w:pPr>
              <w:spacing w:after="0" w:line="240" w:lineRule="auto"/>
              <w:jc w:val="right"/>
              <w:rPr>
                <w:rFonts w:ascii="Times New Roman" w:eastAsia="Times New Roman" w:hAnsi="Times New Roman" w:cs="Times New Roman"/>
                <w:b/>
                <w:bCs/>
                <w:color w:val="000000"/>
                <w:highlight w:val="yellow"/>
                <w:lang w:eastAsia="hu-HU"/>
              </w:rPr>
            </w:pPr>
            <w:r w:rsidRPr="00C33C0A">
              <w:rPr>
                <w:rFonts w:ascii="Times New Roman" w:eastAsia="Times New Roman" w:hAnsi="Times New Roman" w:cs="Times New Roman"/>
                <w:b/>
                <w:bCs/>
                <w:color w:val="000000"/>
                <w:lang w:eastAsia="hu-HU"/>
              </w:rPr>
              <w:t>34,4</w:t>
            </w:r>
          </w:p>
        </w:tc>
        <w:tc>
          <w:tcPr>
            <w:tcW w:w="1134" w:type="dxa"/>
            <w:tcBorders>
              <w:top w:val="single" w:sz="4" w:space="0" w:color="auto"/>
              <w:left w:val="single" w:sz="4" w:space="0" w:color="auto"/>
              <w:bottom w:val="single" w:sz="4" w:space="0" w:color="auto"/>
              <w:right w:val="single" w:sz="4" w:space="0" w:color="auto"/>
            </w:tcBorders>
            <w:noWrap/>
            <w:vAlign w:val="center"/>
          </w:tcPr>
          <w:p w14:paraId="63961B4A" w14:textId="77777777" w:rsidR="00C33C0A" w:rsidRPr="00C33C0A" w:rsidRDefault="00C33C0A" w:rsidP="00C33C0A">
            <w:pPr>
              <w:spacing w:after="0" w:line="240" w:lineRule="auto"/>
              <w:jc w:val="right"/>
              <w:rPr>
                <w:rFonts w:ascii="Times New Roman" w:eastAsia="Times New Roman" w:hAnsi="Times New Roman" w:cs="Times New Roman"/>
                <w:b/>
                <w:bCs/>
                <w:color w:val="000000"/>
                <w:highlight w:val="yellow"/>
                <w:lang w:eastAsia="hu-HU"/>
              </w:rPr>
            </w:pPr>
            <w:r w:rsidRPr="00C33C0A">
              <w:rPr>
                <w:rFonts w:ascii="Times New Roman" w:eastAsia="Times New Roman" w:hAnsi="Times New Roman" w:cs="Times New Roman"/>
                <w:b/>
                <w:bCs/>
                <w:color w:val="000000"/>
                <w:lang w:eastAsia="hu-HU"/>
              </w:rPr>
              <w:t>122,7</w:t>
            </w:r>
          </w:p>
        </w:tc>
      </w:tr>
    </w:tbl>
    <w:p w14:paraId="28282F2D" w14:textId="4595E4C4" w:rsidR="00C33C0A" w:rsidRPr="00C33C0A" w:rsidRDefault="00C33C0A" w:rsidP="00F23B75">
      <w:pPr>
        <w:spacing w:before="160"/>
        <w:jc w:val="both"/>
        <w:rPr>
          <w:rFonts w:ascii="Times New Roman" w:eastAsia="Times New Roman" w:hAnsi="Times New Roman" w:cs="Times New Roman"/>
          <w:sz w:val="26"/>
          <w:szCs w:val="20"/>
          <w:highlight w:val="yellow"/>
          <w:lang w:eastAsia="hu-HU"/>
        </w:rPr>
      </w:pPr>
      <w:r w:rsidRPr="00C33C0A">
        <w:rPr>
          <w:rFonts w:ascii="Times New Roman" w:eastAsia="Times New Roman" w:hAnsi="Times New Roman" w:cs="Times New Roman"/>
          <w:b/>
          <w:sz w:val="26"/>
          <w:szCs w:val="20"/>
          <w:lang w:eastAsia="hu-HU"/>
        </w:rPr>
        <w:t>Pénzügyi tranzakciós illetékből</w:t>
      </w:r>
      <w:r w:rsidRPr="00C33C0A">
        <w:rPr>
          <w:rFonts w:ascii="Times New Roman" w:eastAsia="Times New Roman" w:hAnsi="Times New Roman" w:cs="Times New Roman"/>
          <w:sz w:val="26"/>
          <w:szCs w:val="20"/>
          <w:lang w:eastAsia="hu-HU"/>
        </w:rPr>
        <w:t xml:space="preserve"> </w:t>
      </w:r>
      <w:r w:rsidR="00F23B75">
        <w:rPr>
          <w:rFonts w:ascii="Times New Roman" w:eastAsia="Times New Roman" w:hAnsi="Times New Roman" w:cs="Times New Roman"/>
          <w:sz w:val="26"/>
          <w:szCs w:val="20"/>
          <w:lang w:eastAsia="hu-HU"/>
        </w:rPr>
        <w:t xml:space="preserve">a </w:t>
      </w:r>
      <w:r w:rsidRPr="00C33C0A">
        <w:rPr>
          <w:rFonts w:ascii="Times New Roman" w:eastAsia="Times New Roman" w:hAnsi="Times New Roman" w:cs="Times New Roman"/>
          <w:sz w:val="26"/>
          <w:szCs w:val="20"/>
          <w:lang w:eastAsia="hu-HU"/>
        </w:rPr>
        <w:t xml:space="preserve">2026. év január hónapjában 58,3 milliárd forint bevétele keletkezett a költségvetésnek, ami 1,1 milliárd forinttal haladta meg az egy évvel korábbi összeget. </w:t>
      </w:r>
    </w:p>
    <w:p w14:paraId="28A68739" w14:textId="53FC5A74" w:rsidR="00C33C0A" w:rsidRPr="00C33C0A" w:rsidRDefault="00C33C0A" w:rsidP="00F23B75">
      <w:pPr>
        <w:spacing w:before="160"/>
        <w:jc w:val="both"/>
        <w:rPr>
          <w:rFonts w:ascii="Times New Roman" w:eastAsia="Times New Roman" w:hAnsi="Times New Roman" w:cs="Times New Roman"/>
          <w:sz w:val="26"/>
          <w:szCs w:val="20"/>
          <w:lang w:eastAsia="hu-HU"/>
        </w:rPr>
      </w:pPr>
      <w:r w:rsidRPr="00C33C0A">
        <w:rPr>
          <w:rFonts w:ascii="Times New Roman" w:eastAsia="Times New Roman" w:hAnsi="Times New Roman" w:cs="Times New Roman"/>
          <w:sz w:val="26"/>
          <w:szCs w:val="20"/>
          <w:lang w:eastAsia="hu-HU"/>
        </w:rPr>
        <w:t xml:space="preserve">A </w:t>
      </w:r>
      <w:r w:rsidRPr="00C33C0A">
        <w:rPr>
          <w:rFonts w:ascii="Times New Roman" w:eastAsia="Times New Roman" w:hAnsi="Times New Roman" w:cs="Times New Roman"/>
          <w:b/>
          <w:sz w:val="26"/>
          <w:szCs w:val="20"/>
          <w:lang w:eastAsia="hu-HU"/>
        </w:rPr>
        <w:t xml:space="preserve">biztosítási adóból </w:t>
      </w:r>
      <w:r w:rsidRPr="00C33C0A">
        <w:rPr>
          <w:rFonts w:ascii="Times New Roman" w:eastAsia="Times New Roman" w:hAnsi="Times New Roman" w:cs="Times New Roman"/>
          <w:sz w:val="26"/>
          <w:szCs w:val="20"/>
          <w:lang w:eastAsia="hu-HU"/>
        </w:rPr>
        <w:t xml:space="preserve">származó bevétel </w:t>
      </w:r>
      <w:r w:rsidR="00F23B75">
        <w:rPr>
          <w:rFonts w:ascii="Times New Roman" w:eastAsia="Times New Roman" w:hAnsi="Times New Roman" w:cs="Times New Roman"/>
          <w:sz w:val="26"/>
          <w:szCs w:val="20"/>
          <w:lang w:eastAsia="hu-HU"/>
        </w:rPr>
        <w:t xml:space="preserve">a </w:t>
      </w:r>
      <w:r w:rsidRPr="00C33C0A">
        <w:rPr>
          <w:rFonts w:ascii="Times New Roman" w:eastAsia="Times New Roman" w:hAnsi="Times New Roman" w:cs="Times New Roman"/>
          <w:sz w:val="26"/>
          <w:szCs w:val="20"/>
          <w:lang w:eastAsia="hu-HU"/>
        </w:rPr>
        <w:t>2026. év első hónapjában 11,7 milliárd forintot tett ki, amely 6,1 milliárd forinttal alacsonyabb az egy évvel korábbi bevételnél. A</w:t>
      </w:r>
      <w:r w:rsidR="00F23B75">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0"/>
          <w:lang w:eastAsia="hu-HU"/>
        </w:rPr>
        <w:t>bevételek előző évhez viszonyított alacsonyabb teljesülését a 2024. évi biztosítási pótadó-kötelezettség 2025. januári elszámolásából fakadó bázisévi többletbevétel, valamint a 2025. évi pótadó-kötelezettség 2026. januári havi elszámolásának februárra tolódása magyarázza.</w:t>
      </w:r>
    </w:p>
    <w:p w14:paraId="31DCDA0B" w14:textId="370E62DC" w:rsidR="00C33C0A" w:rsidRPr="00C33C0A" w:rsidRDefault="00C33C0A" w:rsidP="00F23B75">
      <w:pPr>
        <w:spacing w:before="160"/>
        <w:jc w:val="both"/>
        <w:rPr>
          <w:rFonts w:ascii="Times New Roman" w:eastAsia="Times New Roman" w:hAnsi="Times New Roman" w:cs="Times New Roman"/>
          <w:color w:val="000000"/>
          <w:sz w:val="26"/>
          <w:szCs w:val="20"/>
          <w:lang w:eastAsia="hu-HU"/>
        </w:rPr>
      </w:pPr>
      <w:r w:rsidRPr="00C33C0A">
        <w:rPr>
          <w:rFonts w:ascii="Times New Roman" w:eastAsia="Times New Roman" w:hAnsi="Times New Roman" w:cs="Times New Roman"/>
          <w:color w:val="000000"/>
          <w:sz w:val="26"/>
          <w:szCs w:val="20"/>
          <w:lang w:eastAsia="hu-HU"/>
        </w:rPr>
        <w:lastRenderedPageBreak/>
        <w:t xml:space="preserve">A </w:t>
      </w:r>
      <w:r w:rsidRPr="00C33C0A">
        <w:rPr>
          <w:rFonts w:ascii="Times New Roman" w:eastAsia="Times New Roman" w:hAnsi="Times New Roman" w:cs="Times New Roman"/>
          <w:b/>
          <w:bCs/>
          <w:color w:val="000000"/>
          <w:sz w:val="26"/>
          <w:szCs w:val="20"/>
          <w:lang w:eastAsia="hu-HU"/>
        </w:rPr>
        <w:t>személyi jövedelemadó</w:t>
      </w:r>
      <w:r w:rsidRPr="00C33C0A">
        <w:rPr>
          <w:rFonts w:ascii="Times New Roman" w:eastAsia="Times New Roman" w:hAnsi="Times New Roman" w:cs="Times New Roman"/>
          <w:color w:val="000000"/>
          <w:sz w:val="26"/>
          <w:szCs w:val="20"/>
          <w:lang w:eastAsia="hu-HU"/>
        </w:rPr>
        <w:t xml:space="preserve"> bevétele 2026 első hónapjában 530</w:t>
      </w:r>
      <w:r w:rsidRPr="00C33C0A">
        <w:rPr>
          <w:rFonts w:ascii="Times New Roman" w:eastAsia="Times New Roman" w:hAnsi="Times New Roman" w:cs="Times New Roman"/>
          <w:sz w:val="26"/>
          <w:szCs w:val="20"/>
          <w:lang w:eastAsia="hu-HU"/>
        </w:rPr>
        <w:t>,8 </w:t>
      </w:r>
      <w:r w:rsidRPr="00C33C0A">
        <w:rPr>
          <w:rFonts w:ascii="Times New Roman" w:eastAsia="Times New Roman" w:hAnsi="Times New Roman" w:cs="Times New Roman"/>
          <w:color w:val="000000"/>
          <w:sz w:val="26"/>
          <w:szCs w:val="20"/>
          <w:lang w:eastAsia="hu-HU"/>
        </w:rPr>
        <w:t>milliárd</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color w:val="000000"/>
          <w:sz w:val="26"/>
          <w:szCs w:val="20"/>
          <w:lang w:eastAsia="hu-HU"/>
        </w:rPr>
        <w:t>forint volt, amely 40,7</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color w:val="000000"/>
          <w:sz w:val="26"/>
          <w:szCs w:val="20"/>
          <w:lang w:eastAsia="hu-HU"/>
        </w:rPr>
        <w:t>milliárd</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color w:val="000000"/>
          <w:sz w:val="26"/>
          <w:szCs w:val="20"/>
          <w:lang w:eastAsia="hu-HU"/>
        </w:rPr>
        <w:t>forinttal magasabb az egy évvel korábbi összegnél. Ennek oka a bértömeg növekedése.</w:t>
      </w:r>
    </w:p>
    <w:p w14:paraId="00A5B237" w14:textId="77777777" w:rsidR="00C33C0A" w:rsidRPr="00C33C0A" w:rsidRDefault="00C33C0A" w:rsidP="00C33C0A">
      <w:pPr>
        <w:keepNext/>
        <w:keepLines/>
        <w:spacing w:before="120" w:after="12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 xml:space="preserve">Személyi jövedelemadó bevétel alakulása (milliárd forint) </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9"/>
        <w:gridCol w:w="1645"/>
        <w:gridCol w:w="1701"/>
        <w:gridCol w:w="992"/>
        <w:gridCol w:w="992"/>
      </w:tblGrid>
      <w:tr w:rsidR="00C33C0A" w:rsidRPr="00C33C0A" w14:paraId="1B29C1F8" w14:textId="77777777" w:rsidTr="00C33C0A">
        <w:trPr>
          <w:trHeight w:val="283"/>
          <w:jc w:val="center"/>
        </w:trPr>
        <w:tc>
          <w:tcPr>
            <w:tcW w:w="1469" w:type="dxa"/>
            <w:vMerge w:val="restart"/>
            <w:shd w:val="clear" w:color="auto" w:fill="DBE5F1"/>
            <w:noWrap/>
            <w:vAlign w:val="center"/>
            <w:hideMark/>
          </w:tcPr>
          <w:p w14:paraId="6FB28FC4" w14:textId="77777777" w:rsidR="00C33C0A" w:rsidRPr="00C33C0A" w:rsidRDefault="00C33C0A" w:rsidP="00C33C0A">
            <w:pPr>
              <w:keepNext/>
              <w:keepLines/>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Megnevezés</w:t>
            </w:r>
          </w:p>
        </w:tc>
        <w:tc>
          <w:tcPr>
            <w:tcW w:w="1645" w:type="dxa"/>
            <w:vMerge w:val="restart"/>
            <w:shd w:val="clear" w:color="auto" w:fill="DBE5F1"/>
            <w:vAlign w:val="center"/>
            <w:hideMark/>
          </w:tcPr>
          <w:p w14:paraId="30423D5A"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 xml:space="preserve">2025. </w:t>
            </w:r>
            <w:r w:rsidRPr="00C33C0A">
              <w:rPr>
                <w:rFonts w:ascii="Times New Roman" w:eastAsia="Times New Roman" w:hAnsi="Times New Roman" w:cs="Times New Roman"/>
                <w:b/>
                <w:bCs/>
                <w:szCs w:val="20"/>
                <w:lang w:eastAsia="hu-HU"/>
              </w:rPr>
              <w:br/>
              <w:t>I. hó</w:t>
            </w:r>
          </w:p>
        </w:tc>
        <w:tc>
          <w:tcPr>
            <w:tcW w:w="1701" w:type="dxa"/>
            <w:vMerge w:val="restart"/>
            <w:shd w:val="clear" w:color="auto" w:fill="DBE5F1"/>
            <w:vAlign w:val="center"/>
            <w:hideMark/>
          </w:tcPr>
          <w:p w14:paraId="78388154"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2026.</w:t>
            </w:r>
            <w:r w:rsidRPr="00C33C0A">
              <w:rPr>
                <w:rFonts w:ascii="Times New Roman" w:eastAsia="Times New Roman" w:hAnsi="Times New Roman" w:cs="Times New Roman"/>
                <w:b/>
                <w:bCs/>
                <w:szCs w:val="20"/>
                <w:lang w:eastAsia="hu-HU"/>
              </w:rPr>
              <w:br/>
              <w:t>I. hó</w:t>
            </w:r>
          </w:p>
        </w:tc>
        <w:tc>
          <w:tcPr>
            <w:tcW w:w="1984" w:type="dxa"/>
            <w:gridSpan w:val="2"/>
            <w:shd w:val="clear" w:color="auto" w:fill="DBE5F1"/>
            <w:vAlign w:val="center"/>
            <w:hideMark/>
          </w:tcPr>
          <w:p w14:paraId="2AC67957" w14:textId="77777777" w:rsidR="00C33C0A" w:rsidRPr="00C33C0A" w:rsidRDefault="00C33C0A" w:rsidP="00C33C0A">
            <w:pPr>
              <w:keepNext/>
              <w:keepLines/>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Eltérés</w:t>
            </w:r>
          </w:p>
        </w:tc>
      </w:tr>
      <w:tr w:rsidR="00C33C0A" w:rsidRPr="00C33C0A" w14:paraId="61B17CE9" w14:textId="77777777" w:rsidTr="00C33C0A">
        <w:trPr>
          <w:trHeight w:val="283"/>
          <w:jc w:val="center"/>
        </w:trPr>
        <w:tc>
          <w:tcPr>
            <w:tcW w:w="1469" w:type="dxa"/>
            <w:vMerge/>
            <w:shd w:val="clear" w:color="auto" w:fill="DBE5F1"/>
            <w:noWrap/>
            <w:vAlign w:val="center"/>
          </w:tcPr>
          <w:p w14:paraId="2C0305E3" w14:textId="77777777" w:rsidR="00C33C0A" w:rsidRPr="00C33C0A" w:rsidRDefault="00C33C0A" w:rsidP="00C33C0A">
            <w:pPr>
              <w:keepNext/>
              <w:keepLines/>
              <w:spacing w:after="0" w:line="240" w:lineRule="auto"/>
              <w:jc w:val="center"/>
              <w:rPr>
                <w:rFonts w:ascii="Times New Roman" w:eastAsia="Times New Roman" w:hAnsi="Times New Roman" w:cs="Times New Roman"/>
                <w:b/>
                <w:bCs/>
                <w:szCs w:val="20"/>
                <w:lang w:eastAsia="hu-HU"/>
              </w:rPr>
            </w:pPr>
          </w:p>
        </w:tc>
        <w:tc>
          <w:tcPr>
            <w:tcW w:w="1645" w:type="dxa"/>
            <w:vMerge/>
            <w:shd w:val="clear" w:color="auto" w:fill="DBE5F1"/>
            <w:vAlign w:val="center"/>
          </w:tcPr>
          <w:p w14:paraId="0B059130"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p>
        </w:tc>
        <w:tc>
          <w:tcPr>
            <w:tcW w:w="1701" w:type="dxa"/>
            <w:vMerge/>
            <w:shd w:val="clear" w:color="auto" w:fill="DBE5F1"/>
            <w:vAlign w:val="center"/>
          </w:tcPr>
          <w:p w14:paraId="6F9F88FF" w14:textId="77777777" w:rsidR="00C33C0A" w:rsidRPr="00C33C0A" w:rsidRDefault="00C33C0A" w:rsidP="00C33C0A">
            <w:pPr>
              <w:spacing w:after="0" w:line="240" w:lineRule="auto"/>
              <w:jc w:val="center"/>
              <w:rPr>
                <w:rFonts w:ascii="Times New Roman" w:eastAsia="Times New Roman" w:hAnsi="Times New Roman" w:cs="Times New Roman"/>
                <w:b/>
                <w:bCs/>
                <w:szCs w:val="20"/>
                <w:lang w:eastAsia="hu-HU"/>
              </w:rPr>
            </w:pPr>
          </w:p>
        </w:tc>
        <w:tc>
          <w:tcPr>
            <w:tcW w:w="992" w:type="dxa"/>
            <w:shd w:val="clear" w:color="auto" w:fill="DBE5F1"/>
            <w:vAlign w:val="center"/>
          </w:tcPr>
          <w:p w14:paraId="56577F12" w14:textId="77777777" w:rsidR="00C33C0A" w:rsidRPr="00C33C0A" w:rsidRDefault="00C33C0A" w:rsidP="00C33C0A">
            <w:pPr>
              <w:keepNext/>
              <w:keepLines/>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Mrd Ft</w:t>
            </w:r>
          </w:p>
        </w:tc>
        <w:tc>
          <w:tcPr>
            <w:tcW w:w="992" w:type="dxa"/>
            <w:shd w:val="clear" w:color="auto" w:fill="DBE5F1"/>
          </w:tcPr>
          <w:p w14:paraId="75B2A6AF" w14:textId="77777777" w:rsidR="00C33C0A" w:rsidRPr="00C33C0A" w:rsidRDefault="00C33C0A" w:rsidP="00C33C0A">
            <w:pPr>
              <w:keepNext/>
              <w:keepLines/>
              <w:spacing w:after="0" w:line="240" w:lineRule="auto"/>
              <w:jc w:val="center"/>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w:t>
            </w:r>
          </w:p>
        </w:tc>
      </w:tr>
      <w:tr w:rsidR="00C33C0A" w:rsidRPr="00C33C0A" w14:paraId="73824A80" w14:textId="77777777" w:rsidTr="00144492">
        <w:trPr>
          <w:trHeight w:val="340"/>
          <w:jc w:val="center"/>
        </w:trPr>
        <w:tc>
          <w:tcPr>
            <w:tcW w:w="1469" w:type="dxa"/>
            <w:noWrap/>
            <w:vAlign w:val="center"/>
            <w:hideMark/>
          </w:tcPr>
          <w:p w14:paraId="7111E1DD" w14:textId="77777777" w:rsidR="00C33C0A" w:rsidRPr="00C33C0A" w:rsidRDefault="00C33C0A" w:rsidP="00C33C0A">
            <w:pPr>
              <w:keepNext/>
              <w:keepLines/>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Befizetés</w:t>
            </w:r>
          </w:p>
        </w:tc>
        <w:tc>
          <w:tcPr>
            <w:tcW w:w="1645" w:type="dxa"/>
            <w:noWrap/>
            <w:vAlign w:val="center"/>
          </w:tcPr>
          <w:p w14:paraId="5612D8B7" w14:textId="77777777" w:rsidR="00C33C0A" w:rsidRPr="00C33C0A" w:rsidRDefault="00C33C0A" w:rsidP="00C33C0A">
            <w:pPr>
              <w:keepNext/>
              <w:keepLines/>
              <w:spacing w:after="0" w:line="240" w:lineRule="auto"/>
              <w:jc w:val="right"/>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494,0</w:t>
            </w:r>
          </w:p>
        </w:tc>
        <w:tc>
          <w:tcPr>
            <w:tcW w:w="1701" w:type="dxa"/>
            <w:noWrap/>
            <w:vAlign w:val="center"/>
          </w:tcPr>
          <w:p w14:paraId="2C10C105" w14:textId="77777777" w:rsidR="00C33C0A" w:rsidRPr="00C33C0A" w:rsidRDefault="00C33C0A" w:rsidP="00C33C0A">
            <w:pPr>
              <w:keepNext/>
              <w:keepLines/>
              <w:spacing w:after="0" w:line="240" w:lineRule="auto"/>
              <w:jc w:val="right"/>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535,2</w:t>
            </w:r>
          </w:p>
        </w:tc>
        <w:tc>
          <w:tcPr>
            <w:tcW w:w="992" w:type="dxa"/>
            <w:noWrap/>
            <w:vAlign w:val="center"/>
          </w:tcPr>
          <w:p w14:paraId="19C99CCF" w14:textId="77777777" w:rsidR="00C33C0A" w:rsidRPr="00C33C0A" w:rsidRDefault="00C33C0A" w:rsidP="00C33C0A">
            <w:pPr>
              <w:keepNext/>
              <w:keepLines/>
              <w:spacing w:after="0" w:line="240" w:lineRule="auto"/>
              <w:jc w:val="right"/>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41,2</w:t>
            </w:r>
          </w:p>
        </w:tc>
        <w:tc>
          <w:tcPr>
            <w:tcW w:w="992" w:type="dxa"/>
            <w:vAlign w:val="center"/>
          </w:tcPr>
          <w:p w14:paraId="66916952" w14:textId="77777777" w:rsidR="00C33C0A" w:rsidRPr="00C33C0A" w:rsidRDefault="00C33C0A" w:rsidP="00C33C0A">
            <w:pPr>
              <w:keepNext/>
              <w:keepLines/>
              <w:spacing w:after="0" w:line="240" w:lineRule="auto"/>
              <w:jc w:val="right"/>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108,3</w:t>
            </w:r>
          </w:p>
        </w:tc>
      </w:tr>
      <w:tr w:rsidR="00C33C0A" w:rsidRPr="00C33C0A" w14:paraId="61DB8B32" w14:textId="77777777" w:rsidTr="00144492">
        <w:trPr>
          <w:trHeight w:val="340"/>
          <w:jc w:val="center"/>
        </w:trPr>
        <w:tc>
          <w:tcPr>
            <w:tcW w:w="1469" w:type="dxa"/>
            <w:noWrap/>
            <w:vAlign w:val="center"/>
            <w:hideMark/>
          </w:tcPr>
          <w:p w14:paraId="6870F6ED" w14:textId="77777777" w:rsidR="00C33C0A" w:rsidRPr="00C33C0A" w:rsidRDefault="00C33C0A" w:rsidP="00C33C0A">
            <w:pPr>
              <w:keepNext/>
              <w:keepLines/>
              <w:spacing w:after="0" w:line="240" w:lineRule="auto"/>
              <w:jc w:val="both"/>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Kiutalás</w:t>
            </w:r>
          </w:p>
        </w:tc>
        <w:tc>
          <w:tcPr>
            <w:tcW w:w="1645" w:type="dxa"/>
            <w:noWrap/>
            <w:vAlign w:val="center"/>
          </w:tcPr>
          <w:p w14:paraId="50BDC7A0" w14:textId="77777777" w:rsidR="00C33C0A" w:rsidRPr="00C33C0A" w:rsidRDefault="00C33C0A" w:rsidP="00C33C0A">
            <w:pPr>
              <w:keepNext/>
              <w:keepLines/>
              <w:spacing w:after="0" w:line="240" w:lineRule="auto"/>
              <w:jc w:val="right"/>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3,9</w:t>
            </w:r>
          </w:p>
        </w:tc>
        <w:tc>
          <w:tcPr>
            <w:tcW w:w="1701" w:type="dxa"/>
            <w:noWrap/>
            <w:vAlign w:val="center"/>
          </w:tcPr>
          <w:p w14:paraId="1BA023B0" w14:textId="77777777" w:rsidR="00C33C0A" w:rsidRPr="00C33C0A" w:rsidRDefault="00C33C0A" w:rsidP="00C33C0A">
            <w:pPr>
              <w:keepNext/>
              <w:keepLines/>
              <w:spacing w:after="0" w:line="240" w:lineRule="auto"/>
              <w:jc w:val="right"/>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4,4</w:t>
            </w:r>
          </w:p>
        </w:tc>
        <w:tc>
          <w:tcPr>
            <w:tcW w:w="992" w:type="dxa"/>
            <w:noWrap/>
            <w:vAlign w:val="center"/>
          </w:tcPr>
          <w:p w14:paraId="6985D341" w14:textId="77777777" w:rsidR="00C33C0A" w:rsidRPr="00C33C0A" w:rsidRDefault="00C33C0A" w:rsidP="00C33C0A">
            <w:pPr>
              <w:keepNext/>
              <w:keepLines/>
              <w:spacing w:after="0" w:line="240" w:lineRule="auto"/>
              <w:jc w:val="right"/>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0,5</w:t>
            </w:r>
          </w:p>
        </w:tc>
        <w:tc>
          <w:tcPr>
            <w:tcW w:w="992" w:type="dxa"/>
            <w:vAlign w:val="center"/>
          </w:tcPr>
          <w:p w14:paraId="4E0646EB" w14:textId="77777777" w:rsidR="00C33C0A" w:rsidRPr="00C33C0A" w:rsidRDefault="00C33C0A" w:rsidP="00C33C0A">
            <w:pPr>
              <w:keepNext/>
              <w:keepLines/>
              <w:spacing w:after="0" w:line="240" w:lineRule="auto"/>
              <w:jc w:val="right"/>
              <w:rPr>
                <w:rFonts w:ascii="Times New Roman" w:eastAsia="Times New Roman" w:hAnsi="Times New Roman" w:cs="Times New Roman"/>
                <w:szCs w:val="20"/>
                <w:lang w:eastAsia="hu-HU"/>
              </w:rPr>
            </w:pPr>
            <w:r w:rsidRPr="00C33C0A">
              <w:rPr>
                <w:rFonts w:ascii="Times New Roman" w:eastAsia="Times New Roman" w:hAnsi="Times New Roman" w:cs="Times New Roman"/>
                <w:szCs w:val="20"/>
                <w:lang w:eastAsia="hu-HU"/>
              </w:rPr>
              <w:t>112,8</w:t>
            </w:r>
          </w:p>
        </w:tc>
      </w:tr>
      <w:tr w:rsidR="00C33C0A" w:rsidRPr="00C33C0A" w14:paraId="1DA46D3C" w14:textId="77777777" w:rsidTr="00144492">
        <w:trPr>
          <w:trHeight w:val="340"/>
          <w:jc w:val="center"/>
        </w:trPr>
        <w:tc>
          <w:tcPr>
            <w:tcW w:w="1469" w:type="dxa"/>
            <w:noWrap/>
            <w:vAlign w:val="center"/>
            <w:hideMark/>
          </w:tcPr>
          <w:p w14:paraId="3E77F799" w14:textId="77777777" w:rsidR="00C33C0A" w:rsidRPr="00C33C0A" w:rsidRDefault="00C33C0A" w:rsidP="00C33C0A">
            <w:pPr>
              <w:widowControl w:val="0"/>
              <w:spacing w:after="0" w:line="240" w:lineRule="auto"/>
              <w:jc w:val="both"/>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Egyenleg</w:t>
            </w:r>
          </w:p>
        </w:tc>
        <w:tc>
          <w:tcPr>
            <w:tcW w:w="1645" w:type="dxa"/>
            <w:noWrap/>
            <w:vAlign w:val="center"/>
          </w:tcPr>
          <w:p w14:paraId="1B627AC8" w14:textId="77777777" w:rsidR="00C33C0A" w:rsidRPr="00C33C0A" w:rsidRDefault="00C33C0A" w:rsidP="00C33C0A">
            <w:pPr>
              <w:widowControl w:val="0"/>
              <w:spacing w:after="0" w:line="240" w:lineRule="auto"/>
              <w:jc w:val="right"/>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490,1</w:t>
            </w:r>
          </w:p>
        </w:tc>
        <w:tc>
          <w:tcPr>
            <w:tcW w:w="1701" w:type="dxa"/>
            <w:noWrap/>
            <w:vAlign w:val="center"/>
          </w:tcPr>
          <w:p w14:paraId="2C0D0819" w14:textId="77777777" w:rsidR="00C33C0A" w:rsidRPr="00C33C0A" w:rsidRDefault="00C33C0A" w:rsidP="00C33C0A">
            <w:pPr>
              <w:widowControl w:val="0"/>
              <w:spacing w:after="0" w:line="240" w:lineRule="auto"/>
              <w:jc w:val="right"/>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530,8</w:t>
            </w:r>
          </w:p>
        </w:tc>
        <w:tc>
          <w:tcPr>
            <w:tcW w:w="992" w:type="dxa"/>
            <w:noWrap/>
            <w:vAlign w:val="center"/>
          </w:tcPr>
          <w:p w14:paraId="0AFC7ED4" w14:textId="77777777" w:rsidR="00C33C0A" w:rsidRPr="00C33C0A" w:rsidRDefault="00C33C0A" w:rsidP="00C33C0A">
            <w:pPr>
              <w:widowControl w:val="0"/>
              <w:spacing w:after="0" w:line="240" w:lineRule="auto"/>
              <w:jc w:val="right"/>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40,7</w:t>
            </w:r>
          </w:p>
        </w:tc>
        <w:tc>
          <w:tcPr>
            <w:tcW w:w="992" w:type="dxa"/>
            <w:vAlign w:val="center"/>
          </w:tcPr>
          <w:p w14:paraId="139A3308" w14:textId="77777777" w:rsidR="00C33C0A" w:rsidRPr="00C33C0A" w:rsidRDefault="00C33C0A" w:rsidP="00C33C0A">
            <w:pPr>
              <w:widowControl w:val="0"/>
              <w:spacing w:after="0" w:line="240" w:lineRule="auto"/>
              <w:jc w:val="right"/>
              <w:rPr>
                <w:rFonts w:ascii="Times New Roman" w:eastAsia="Times New Roman" w:hAnsi="Times New Roman" w:cs="Times New Roman"/>
                <w:b/>
                <w:bCs/>
                <w:szCs w:val="20"/>
                <w:lang w:eastAsia="hu-HU"/>
              </w:rPr>
            </w:pPr>
            <w:r w:rsidRPr="00C33C0A">
              <w:rPr>
                <w:rFonts w:ascii="Times New Roman" w:eastAsia="Times New Roman" w:hAnsi="Times New Roman" w:cs="Times New Roman"/>
                <w:b/>
                <w:bCs/>
                <w:szCs w:val="20"/>
                <w:lang w:eastAsia="hu-HU"/>
              </w:rPr>
              <w:t>108,3</w:t>
            </w:r>
          </w:p>
        </w:tc>
      </w:tr>
    </w:tbl>
    <w:p w14:paraId="54234F12" w14:textId="54F8E267" w:rsidR="123EFD2F" w:rsidRPr="00381A54" w:rsidRDefault="1D3ABBAA" w:rsidP="1D3ABBAA">
      <w:pPr>
        <w:spacing w:before="240"/>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 </w:t>
      </w:r>
      <w:r w:rsidRPr="1D3ABBAA">
        <w:rPr>
          <w:rFonts w:ascii="Times New Roman" w:eastAsia="Times New Roman" w:hAnsi="Times New Roman" w:cs="Times New Roman"/>
          <w:b/>
          <w:bCs/>
          <w:sz w:val="26"/>
          <w:szCs w:val="26"/>
        </w:rPr>
        <w:t>Központi Maradványelszámolási Alapba</w:t>
      </w:r>
      <w:r w:rsidRPr="1D3ABBAA">
        <w:rPr>
          <w:rFonts w:ascii="Times New Roman" w:eastAsia="Times New Roman" w:hAnsi="Times New Roman" w:cs="Times New Roman"/>
          <w:sz w:val="26"/>
          <w:szCs w:val="26"/>
        </w:rPr>
        <w:t xml:space="preserve"> </w:t>
      </w:r>
      <w:r w:rsidRPr="1D3ABBAA">
        <w:rPr>
          <w:rFonts w:ascii="Times New Roman" w:eastAsia="Times New Roman" w:hAnsi="Times New Roman" w:cs="Times New Roman"/>
          <w:b/>
          <w:bCs/>
          <w:sz w:val="26"/>
          <w:szCs w:val="26"/>
        </w:rPr>
        <w:t>történő befizetések</w:t>
      </w:r>
      <w:r w:rsidRPr="1D3ABBAA">
        <w:rPr>
          <w:rFonts w:ascii="Times New Roman" w:eastAsia="Times New Roman" w:hAnsi="Times New Roman" w:cs="Times New Roman"/>
          <w:sz w:val="26"/>
          <w:szCs w:val="26"/>
        </w:rPr>
        <w:t xml:space="preserve"> mérlegsorra </w:t>
      </w:r>
      <w:r w:rsidR="00C74131">
        <w:rPr>
          <w:rFonts w:ascii="Times New Roman" w:eastAsia="Times New Roman" w:hAnsi="Times New Roman" w:cs="Times New Roman"/>
          <w:sz w:val="26"/>
          <w:szCs w:val="26"/>
        </w:rPr>
        <w:t>januárban</w:t>
      </w:r>
      <w:r w:rsidRPr="1D3ABBAA">
        <w:rPr>
          <w:rFonts w:ascii="Times New Roman" w:eastAsia="Times New Roman" w:hAnsi="Times New Roman" w:cs="Times New Roman"/>
          <w:sz w:val="26"/>
          <w:szCs w:val="26"/>
        </w:rPr>
        <w:t xml:space="preserve"> 225,1 milliárd forint maradvány került befizetésre, szemben az előző év azonos időszakában befolyt 27,1 millió forintos összeggel.</w:t>
      </w:r>
    </w:p>
    <w:p w14:paraId="25C427CE" w14:textId="50EB1BC9" w:rsidR="029C2633" w:rsidRPr="00381A54" w:rsidRDefault="1D3ABBAA" w:rsidP="1D3ABBAA">
      <w:pPr>
        <w:jc w:val="both"/>
        <w:rPr>
          <w:rFonts w:ascii="Times New Roman" w:eastAsia="Times New Roman" w:hAnsi="Times New Roman" w:cs="Times New Roman"/>
          <w:b/>
          <w:bCs/>
          <w:sz w:val="26"/>
          <w:szCs w:val="26"/>
        </w:rPr>
      </w:pPr>
      <w:r w:rsidRPr="1D3ABBAA">
        <w:rPr>
          <w:rFonts w:ascii="Times New Roman" w:eastAsia="Times New Roman" w:hAnsi="Times New Roman" w:cs="Times New Roman"/>
          <w:sz w:val="26"/>
          <w:szCs w:val="26"/>
        </w:rPr>
        <w:t xml:space="preserve">Az </w:t>
      </w:r>
      <w:r w:rsidRPr="1D3ABBAA">
        <w:rPr>
          <w:rFonts w:ascii="Times New Roman" w:eastAsia="Times New Roman" w:hAnsi="Times New Roman" w:cs="Times New Roman"/>
          <w:b/>
          <w:bCs/>
          <w:sz w:val="26"/>
          <w:szCs w:val="26"/>
        </w:rPr>
        <w:t xml:space="preserve">állami vagyonnal kapcsolatos befizetések </w:t>
      </w:r>
      <w:r w:rsidRPr="1D3ABBAA">
        <w:rPr>
          <w:rFonts w:ascii="Times New Roman" w:eastAsia="Times New Roman" w:hAnsi="Times New Roman" w:cs="Times New Roman"/>
          <w:sz w:val="26"/>
          <w:szCs w:val="26"/>
        </w:rPr>
        <w:t>januári összege 16,2 milliárd forint, amelynek meghatározó tétele az osztalékbefizetés volt.</w:t>
      </w:r>
      <w:r w:rsidRPr="1D3ABBAA">
        <w:rPr>
          <w:rFonts w:ascii="Times New Roman" w:eastAsia="Times New Roman" w:hAnsi="Times New Roman" w:cs="Times New Roman"/>
          <w:b/>
          <w:bCs/>
          <w:sz w:val="26"/>
          <w:szCs w:val="26"/>
        </w:rPr>
        <w:t xml:space="preserve"> </w:t>
      </w:r>
    </w:p>
    <w:p w14:paraId="0D0F2783" w14:textId="4E90206F" w:rsidR="009D55B4" w:rsidRPr="00377D59" w:rsidRDefault="00C435AC" w:rsidP="009D55B4">
      <w:pPr>
        <w:jc w:val="center"/>
        <w:rPr>
          <w:rFonts w:ascii="Times New Roman" w:eastAsia="Times New Roman" w:hAnsi="Times New Roman" w:cs="Times New Roman"/>
          <w:sz w:val="26"/>
          <w:szCs w:val="26"/>
        </w:rPr>
      </w:pPr>
      <w:r>
        <w:rPr>
          <w:noProof/>
        </w:rPr>
        <w:drawing>
          <wp:inline distT="0" distB="0" distL="0" distR="0" wp14:anchorId="0A39277B" wp14:editId="2953D038">
            <wp:extent cx="5826979" cy="3434524"/>
            <wp:effectExtent l="0" t="0" r="2540" b="0"/>
            <wp:docPr id="396696690" name="Kép 1" descr="A képen szöveg, képernyőkép, szám, so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96690" name="Kép 1" descr="A képen szöveg, képernyőkép, szám, sor látható&#10;&#10;Előfordulhat, hogy a mesterséges intelligencia által létrehozott tartalom helytelen."/>
                    <pic:cNvPicPr/>
                  </pic:nvPicPr>
                  <pic:blipFill>
                    <a:blip r:embed="rId16"/>
                    <a:stretch>
                      <a:fillRect/>
                    </a:stretch>
                  </pic:blipFill>
                  <pic:spPr>
                    <a:xfrm>
                      <a:off x="0" y="0"/>
                      <a:ext cx="5848366" cy="3447130"/>
                    </a:xfrm>
                    <a:prstGeom prst="rect">
                      <a:avLst/>
                    </a:prstGeom>
                  </pic:spPr>
                </pic:pic>
              </a:graphicData>
            </a:graphic>
          </wp:inline>
        </w:drawing>
      </w:r>
    </w:p>
    <w:p w14:paraId="23623F4E" w14:textId="2CB7FD9E" w:rsidR="5B67C7D7" w:rsidRPr="00920F4D" w:rsidRDefault="1D3ABBAA" w:rsidP="00D32B0C">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 költségvetés XLV. </w:t>
      </w:r>
      <w:r w:rsidRPr="1D3ABBAA">
        <w:rPr>
          <w:rFonts w:ascii="Times New Roman" w:eastAsia="Times New Roman" w:hAnsi="Times New Roman" w:cs="Times New Roman"/>
          <w:b/>
          <w:bCs/>
          <w:sz w:val="26"/>
          <w:szCs w:val="26"/>
        </w:rPr>
        <w:t>Állami beruházások</w:t>
      </w:r>
      <w:r w:rsidRPr="1D3ABBAA">
        <w:rPr>
          <w:rFonts w:ascii="Times New Roman" w:eastAsia="Times New Roman" w:hAnsi="Times New Roman" w:cs="Times New Roman"/>
          <w:sz w:val="26"/>
          <w:szCs w:val="26"/>
        </w:rPr>
        <w:t xml:space="preserve"> fejezetének bevételei 2026 január végéig 28,6 milliárd forintot tettek ki.</w:t>
      </w:r>
    </w:p>
    <w:p w14:paraId="4BE4CA6A" w14:textId="64066D6D" w:rsidR="39728167" w:rsidRDefault="1D3ABBAA" w:rsidP="00D32B0C">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Az uniós bevételek főszabály szerint a XLII. A költségvetés közvetlen bevételei és kiadásai fejezetbe érkeznek, ezek kimutatására szolgál az </w:t>
      </w:r>
      <w:r w:rsidRPr="1D3ABBAA">
        <w:rPr>
          <w:rFonts w:ascii="Times New Roman" w:eastAsia="Times New Roman" w:hAnsi="Times New Roman" w:cs="Times New Roman"/>
          <w:b/>
          <w:bCs/>
          <w:sz w:val="26"/>
          <w:szCs w:val="26"/>
        </w:rPr>
        <w:t>Uniós programok bevételei</w:t>
      </w:r>
      <w:r w:rsidR="00D32B0C">
        <w:rPr>
          <w:rFonts w:ascii="Times New Roman" w:eastAsia="Times New Roman" w:hAnsi="Times New Roman" w:cs="Times New Roman"/>
          <w:sz w:val="26"/>
          <w:szCs w:val="26"/>
        </w:rPr>
        <w:t>,</w:t>
      </w:r>
      <w:r w:rsidRPr="1D3ABBAA">
        <w:rPr>
          <w:rFonts w:ascii="Times New Roman" w:eastAsia="Times New Roman" w:hAnsi="Times New Roman" w:cs="Times New Roman"/>
          <w:sz w:val="26"/>
          <w:szCs w:val="26"/>
        </w:rPr>
        <w:t xml:space="preserve"> az </w:t>
      </w:r>
      <w:r w:rsidRPr="1D3ABBAA">
        <w:rPr>
          <w:rFonts w:ascii="Times New Roman" w:eastAsia="Times New Roman" w:hAnsi="Times New Roman" w:cs="Times New Roman"/>
          <w:b/>
          <w:bCs/>
          <w:sz w:val="26"/>
          <w:szCs w:val="26"/>
        </w:rPr>
        <w:t>Egyéb uniós bevételek</w:t>
      </w:r>
      <w:r w:rsidRPr="1D3ABBAA">
        <w:rPr>
          <w:rFonts w:ascii="Times New Roman" w:eastAsia="Times New Roman" w:hAnsi="Times New Roman" w:cs="Times New Roman"/>
          <w:sz w:val="26"/>
          <w:szCs w:val="26"/>
        </w:rPr>
        <w:t xml:space="preserve">, valamint az </w:t>
      </w:r>
      <w:r w:rsidRPr="1D3ABBAA">
        <w:rPr>
          <w:rFonts w:ascii="Times New Roman" w:eastAsia="Times New Roman" w:hAnsi="Times New Roman" w:cs="Times New Roman"/>
          <w:b/>
          <w:bCs/>
          <w:sz w:val="26"/>
          <w:szCs w:val="26"/>
        </w:rPr>
        <w:t>Uniós támogatások utólagos megtérülése</w:t>
      </w:r>
      <w:r w:rsidRPr="1D3ABBAA">
        <w:rPr>
          <w:rFonts w:ascii="Times New Roman" w:eastAsia="Times New Roman" w:hAnsi="Times New Roman" w:cs="Times New Roman"/>
          <w:sz w:val="26"/>
          <w:szCs w:val="26"/>
        </w:rPr>
        <w:t xml:space="preserve"> mérlegsor.</w:t>
      </w:r>
    </w:p>
    <w:p w14:paraId="1A94A750" w14:textId="77777777" w:rsidR="00D32B0C" w:rsidRPr="00377D59" w:rsidRDefault="00D32B0C" w:rsidP="00D32B0C">
      <w:pPr>
        <w:jc w:val="both"/>
        <w:rPr>
          <w:rFonts w:ascii="Times New Roman" w:hAnsi="Times New Roman" w:cs="Times New Roman"/>
        </w:rPr>
      </w:pPr>
    </w:p>
    <w:p w14:paraId="3C3A66C8" w14:textId="2ACD8016" w:rsidR="74B9DF17" w:rsidRDefault="1D3ABBAA" w:rsidP="00D32B0C">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Az </w:t>
      </w:r>
      <w:r w:rsidRPr="1D3ABBAA">
        <w:rPr>
          <w:rFonts w:ascii="Times New Roman" w:eastAsia="Times New Roman" w:hAnsi="Times New Roman" w:cs="Times New Roman"/>
          <w:b/>
          <w:bCs/>
          <w:sz w:val="26"/>
          <w:szCs w:val="26"/>
        </w:rPr>
        <w:t>Uniós programok bevételei</w:t>
      </w:r>
      <w:r w:rsidRPr="1D3ABBAA">
        <w:rPr>
          <w:rFonts w:ascii="Times New Roman" w:eastAsia="Times New Roman" w:hAnsi="Times New Roman" w:cs="Times New Roman"/>
          <w:sz w:val="26"/>
          <w:szCs w:val="26"/>
        </w:rPr>
        <w:t xml:space="preserve"> mérlegsoron 2026. január végéig 240,3</w:t>
      </w:r>
      <w:r w:rsidR="00CA5425">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 xml:space="preserve">milliárd forint bevétel keletkezett. Ez az összeg a törvényi előirányzat (1894,0 milliárd forint) 12,7%-át teszi ki. A teljesült bevételből 235,3 milliárd forint </w:t>
      </w:r>
      <w:proofErr w:type="gramStart"/>
      <w:r w:rsidRPr="1D3ABBAA">
        <w:rPr>
          <w:rFonts w:ascii="Times New Roman" w:eastAsia="Times New Roman" w:hAnsi="Times New Roman" w:cs="Times New Roman"/>
          <w:sz w:val="26"/>
          <w:szCs w:val="26"/>
        </w:rPr>
        <w:t>az uniós</w:t>
      </w:r>
      <w:r w:rsidR="00D32B0C">
        <w:rPr>
          <w:rFonts w:ascii="Times New Roman" w:eastAsia="Times New Roman" w:hAnsi="Times New Roman" w:cs="Times New Roman"/>
          <w:sz w:val="26"/>
          <w:szCs w:val="26"/>
        </w:rPr>
        <w:t>,</w:t>
      </w:r>
      <w:proofErr w:type="gramEnd"/>
      <w:r w:rsidRPr="1D3ABBAA">
        <w:rPr>
          <w:rFonts w:ascii="Times New Roman" w:eastAsia="Times New Roman" w:hAnsi="Times New Roman" w:cs="Times New Roman"/>
          <w:sz w:val="26"/>
          <w:szCs w:val="26"/>
        </w:rPr>
        <w:t xml:space="preserve"> és 5,0 milliárd forint az egyéb </w:t>
      </w:r>
      <w:r w:rsidRPr="1D3ABBAA">
        <w:rPr>
          <w:rFonts w:ascii="Times New Roman" w:eastAsia="Times New Roman" w:hAnsi="Times New Roman" w:cs="Times New Roman"/>
          <w:sz w:val="26"/>
          <w:szCs w:val="26"/>
        </w:rPr>
        <w:lastRenderedPageBreak/>
        <w:t>bevételekhez tartozik</w:t>
      </w:r>
      <w:r w:rsidR="00A34FE1">
        <w:rPr>
          <w:rFonts w:ascii="Times New Roman" w:eastAsia="Times New Roman" w:hAnsi="Times New Roman" w:cs="Times New Roman"/>
          <w:sz w:val="26"/>
          <w:szCs w:val="26"/>
        </w:rPr>
        <w:t>.</w:t>
      </w:r>
      <w:r w:rsidRPr="1D3ABBAA">
        <w:rPr>
          <w:rFonts w:ascii="Times New Roman" w:eastAsia="Times New Roman" w:hAnsi="Times New Roman" w:cs="Times New Roman"/>
          <w:sz w:val="26"/>
          <w:szCs w:val="26"/>
        </w:rPr>
        <w:t xml:space="preserve"> A mérlegsorhoz tartozik még az uniós támogatások utólagos megtérülése, melyen január végéig nem keletkezett bevétel.</w:t>
      </w:r>
    </w:p>
    <w:p w14:paraId="040E2327" w14:textId="5358FC6F" w:rsidR="74B9DF17" w:rsidRPr="00FE12D5" w:rsidRDefault="1D3ABBAA" w:rsidP="00D32B0C">
      <w:pPr>
        <w:jc w:val="both"/>
        <w:rPr>
          <w:rFonts w:ascii="Times New Roman" w:hAnsi="Times New Roman" w:cs="Times New Roman"/>
        </w:rPr>
      </w:pPr>
      <w:r w:rsidRPr="1D3ABBAA">
        <w:rPr>
          <w:rFonts w:ascii="Times New Roman" w:eastAsia="Times New Roman" w:hAnsi="Times New Roman" w:cs="Times New Roman"/>
          <w:sz w:val="26"/>
          <w:szCs w:val="26"/>
        </w:rPr>
        <w:t xml:space="preserve">A </w:t>
      </w:r>
      <w:r w:rsidR="00194CD1">
        <w:rPr>
          <w:rFonts w:ascii="Times New Roman" w:eastAsia="Times New Roman" w:hAnsi="Times New Roman" w:cs="Times New Roman"/>
          <w:b/>
          <w:bCs/>
          <w:sz w:val="26"/>
          <w:szCs w:val="26"/>
        </w:rPr>
        <w:t>v</w:t>
      </w:r>
      <w:r w:rsidRPr="1D3ABBAA">
        <w:rPr>
          <w:rFonts w:ascii="Times New Roman" w:eastAsia="Times New Roman" w:hAnsi="Times New Roman" w:cs="Times New Roman"/>
          <w:b/>
          <w:bCs/>
          <w:sz w:val="26"/>
          <w:szCs w:val="26"/>
        </w:rPr>
        <w:t xml:space="preserve">ámbeszedési költség megtérítése </w:t>
      </w:r>
      <w:r w:rsidRPr="1D3ABBAA">
        <w:rPr>
          <w:rFonts w:ascii="Times New Roman" w:eastAsia="Times New Roman" w:hAnsi="Times New Roman" w:cs="Times New Roman"/>
          <w:sz w:val="26"/>
          <w:szCs w:val="26"/>
        </w:rPr>
        <w:t>mérlegsoron 3,1 milliárd forint bevétel jelentkezett 2026 január végéig. Ez az összeg a törvényi előirányzat 9</w:t>
      </w:r>
      <w:r w:rsidR="00D32B0C">
        <w:rPr>
          <w:rFonts w:ascii="Times New Roman" w:eastAsia="Times New Roman" w:hAnsi="Times New Roman" w:cs="Times New Roman"/>
          <w:sz w:val="26"/>
          <w:szCs w:val="26"/>
        </w:rPr>
        <w:t>,0</w:t>
      </w:r>
      <w:r w:rsidRPr="1D3ABBAA">
        <w:rPr>
          <w:rFonts w:ascii="Times New Roman" w:eastAsia="Times New Roman" w:hAnsi="Times New Roman" w:cs="Times New Roman"/>
          <w:sz w:val="26"/>
          <w:szCs w:val="26"/>
        </w:rPr>
        <w:t>%-a</w:t>
      </w:r>
      <w:r w:rsidR="00D32B0C">
        <w:rPr>
          <w:rFonts w:ascii="Times New Roman" w:eastAsia="Times New Roman" w:hAnsi="Times New Roman" w:cs="Times New Roman"/>
          <w:sz w:val="26"/>
          <w:szCs w:val="26"/>
        </w:rPr>
        <w:t>,</w:t>
      </w:r>
      <w:r w:rsidRPr="1D3ABBAA">
        <w:rPr>
          <w:rFonts w:ascii="Times New Roman" w:eastAsia="Times New Roman" w:hAnsi="Times New Roman" w:cs="Times New Roman"/>
          <w:sz w:val="26"/>
          <w:szCs w:val="26"/>
        </w:rPr>
        <w:t xml:space="preserve"> és 0,6</w:t>
      </w:r>
      <w:r w:rsidR="00194CD1">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milliárd forinttal haladja meg a 2025. év azonos időszakában keletkezett bevételt.</w:t>
      </w:r>
    </w:p>
    <w:p w14:paraId="2914513D" w14:textId="0CF352A1" w:rsidR="00C33C0A" w:rsidRPr="00C33C0A" w:rsidRDefault="00C33C0A" w:rsidP="00D32B0C">
      <w:pPr>
        <w:jc w:val="both"/>
        <w:rPr>
          <w:rFonts w:ascii="Times New Roman" w:eastAsia="Calibri" w:hAnsi="Times New Roman" w:cs="Times New Roman"/>
          <w:sz w:val="26"/>
          <w:szCs w:val="26"/>
          <w:lang w:eastAsia="hu-HU"/>
        </w:rPr>
      </w:pPr>
      <w:r w:rsidRPr="00C33C0A">
        <w:rPr>
          <w:rFonts w:ascii="Times New Roman" w:eastAsia="Calibri" w:hAnsi="Times New Roman" w:cs="Times New Roman"/>
          <w:sz w:val="26"/>
          <w:szCs w:val="26"/>
          <w:lang w:eastAsia="hu-HU"/>
        </w:rPr>
        <w:t>A befizetett társadalombiztosítási járulék 8,1%-át az állami adóhatóság a foglalkoztatási programokkal kapcsolatos elkülönített állami pénzalapnak utalja át.</w:t>
      </w:r>
      <w:r w:rsidR="00CF171E">
        <w:rPr>
          <w:rFonts w:ascii="Times New Roman" w:eastAsia="Calibri" w:hAnsi="Times New Roman" w:cs="Times New Roman"/>
          <w:sz w:val="26"/>
          <w:szCs w:val="26"/>
          <w:lang w:eastAsia="hu-HU"/>
        </w:rPr>
        <w:t xml:space="preserve"> </w:t>
      </w:r>
      <w:r w:rsidRPr="00C33C0A">
        <w:rPr>
          <w:rFonts w:ascii="Times New Roman" w:eastAsia="Calibri" w:hAnsi="Times New Roman" w:cs="Times New Roman"/>
          <w:sz w:val="26"/>
          <w:szCs w:val="26"/>
          <w:lang w:eastAsia="hu-HU"/>
        </w:rPr>
        <w:t>2026</w:t>
      </w:r>
      <w:r w:rsidR="00CF171E">
        <w:rPr>
          <w:rFonts w:ascii="Times New Roman" w:eastAsia="Calibri" w:hAnsi="Times New Roman" w:cs="Times New Roman"/>
          <w:sz w:val="26"/>
          <w:szCs w:val="26"/>
          <w:lang w:eastAsia="hu-HU"/>
        </w:rPr>
        <w:t xml:space="preserve"> januárjá</w:t>
      </w:r>
      <w:r w:rsidRPr="00C33C0A">
        <w:rPr>
          <w:rFonts w:ascii="Times New Roman" w:eastAsia="Calibri" w:hAnsi="Times New Roman" w:cs="Times New Roman"/>
          <w:sz w:val="26"/>
          <w:szCs w:val="26"/>
          <w:lang w:eastAsia="hu-HU"/>
        </w:rPr>
        <w:t xml:space="preserve">ban a </w:t>
      </w:r>
      <w:r w:rsidRPr="00C33C0A">
        <w:rPr>
          <w:rFonts w:ascii="Times New Roman" w:eastAsia="Calibri" w:hAnsi="Times New Roman" w:cs="Times New Roman"/>
          <w:b/>
          <w:bCs/>
          <w:sz w:val="26"/>
          <w:szCs w:val="26"/>
          <w:lang w:eastAsia="hu-HU"/>
        </w:rPr>
        <w:t xml:space="preserve">társadalombiztosítási járulék </w:t>
      </w:r>
      <w:r w:rsidRPr="00C33C0A">
        <w:rPr>
          <w:rFonts w:ascii="Times New Roman" w:eastAsia="Times New Roman" w:hAnsi="Times New Roman" w:cs="Times New Roman"/>
          <w:b/>
          <w:bCs/>
          <w:sz w:val="26"/>
          <w:szCs w:val="26"/>
          <w:lang w:eastAsia="hu-HU"/>
        </w:rPr>
        <w:t xml:space="preserve">Nemzeti Foglalkoztatási </w:t>
      </w:r>
      <w:r w:rsidRPr="00C33C0A">
        <w:rPr>
          <w:rFonts w:ascii="Times New Roman" w:eastAsia="Calibri" w:hAnsi="Times New Roman" w:cs="Times New Roman"/>
          <w:b/>
          <w:bCs/>
          <w:sz w:val="26"/>
          <w:szCs w:val="26"/>
          <w:lang w:eastAsia="hu-HU"/>
        </w:rPr>
        <w:t xml:space="preserve">Alapot megillető része </w:t>
      </w:r>
      <w:r w:rsidRPr="00C33C0A">
        <w:rPr>
          <w:rFonts w:ascii="Times New Roman" w:eastAsia="Calibri" w:hAnsi="Times New Roman" w:cs="Times New Roman"/>
          <w:bCs/>
          <w:sz w:val="26"/>
          <w:szCs w:val="26"/>
          <w:lang w:eastAsia="hu-HU"/>
        </w:rPr>
        <w:t>42,4</w:t>
      </w:r>
      <w:r w:rsidRPr="00C33C0A">
        <w:rPr>
          <w:rFonts w:ascii="Times New Roman" w:eastAsia="Calibri" w:hAnsi="Times New Roman" w:cs="Times New Roman"/>
          <w:sz w:val="26"/>
          <w:szCs w:val="26"/>
          <w:lang w:eastAsia="hu-HU"/>
        </w:rPr>
        <w:t> milliárd</w:t>
      </w:r>
      <w:r w:rsidRPr="00C33C0A">
        <w:rPr>
          <w:rFonts w:ascii="Times New Roman" w:eastAsia="Times New Roman" w:hAnsi="Times New Roman" w:cs="Times New Roman"/>
          <w:sz w:val="26"/>
          <w:szCs w:val="20"/>
          <w:lang w:eastAsia="hu-HU"/>
        </w:rPr>
        <w:t> </w:t>
      </w:r>
      <w:r w:rsidRPr="00C33C0A">
        <w:rPr>
          <w:rFonts w:ascii="Times New Roman" w:eastAsia="Calibri" w:hAnsi="Times New Roman" w:cs="Times New Roman"/>
          <w:sz w:val="26"/>
          <w:szCs w:val="26"/>
          <w:lang w:eastAsia="hu-HU"/>
        </w:rPr>
        <w:t>forintban teljesült, amely az előző év januárjában befolyt bevételt 4,9</w:t>
      </w:r>
      <w:r w:rsidRPr="00C33C0A">
        <w:rPr>
          <w:rFonts w:ascii="Times New Roman" w:eastAsia="Times New Roman" w:hAnsi="Times New Roman" w:cs="Times New Roman"/>
          <w:sz w:val="26"/>
          <w:szCs w:val="20"/>
          <w:lang w:eastAsia="hu-HU"/>
        </w:rPr>
        <w:t> </w:t>
      </w:r>
      <w:r w:rsidRPr="00C33C0A">
        <w:rPr>
          <w:rFonts w:ascii="Times New Roman" w:eastAsia="Calibri" w:hAnsi="Times New Roman" w:cs="Times New Roman"/>
          <w:sz w:val="26"/>
          <w:szCs w:val="26"/>
          <w:lang w:eastAsia="hu-HU"/>
        </w:rPr>
        <w:t>milliárd</w:t>
      </w:r>
      <w:r w:rsidRPr="00C33C0A">
        <w:rPr>
          <w:rFonts w:ascii="Times New Roman" w:eastAsia="Times New Roman" w:hAnsi="Times New Roman" w:cs="Times New Roman"/>
          <w:sz w:val="26"/>
          <w:szCs w:val="20"/>
          <w:lang w:eastAsia="hu-HU"/>
        </w:rPr>
        <w:t> </w:t>
      </w:r>
      <w:r w:rsidRPr="00C33C0A">
        <w:rPr>
          <w:rFonts w:ascii="Times New Roman" w:eastAsia="Calibri" w:hAnsi="Times New Roman" w:cs="Times New Roman"/>
          <w:sz w:val="26"/>
          <w:szCs w:val="26"/>
          <w:lang w:eastAsia="hu-HU"/>
        </w:rPr>
        <w:t>forinttal haladta meg. A bevételnövekedés oka a járulékköteles jövedelmek növekedése</w:t>
      </w:r>
      <w:r w:rsidRPr="00C33C0A">
        <w:rPr>
          <w:rFonts w:ascii="Times New Roman" w:eastAsia="Times New Roman" w:hAnsi="Times New Roman" w:cs="Times New Roman"/>
          <w:color w:val="000000"/>
          <w:sz w:val="26"/>
          <w:szCs w:val="20"/>
          <w:lang w:eastAsia="hu-HU"/>
        </w:rPr>
        <w:t>.</w:t>
      </w:r>
    </w:p>
    <w:p w14:paraId="0B7D5161" w14:textId="46EAEE33" w:rsidR="00C33C0A" w:rsidRPr="00C33C0A" w:rsidRDefault="00C33C0A" w:rsidP="00D32B0C">
      <w:pPr>
        <w:jc w:val="both"/>
        <w:rPr>
          <w:rFonts w:ascii="Times New Roman" w:eastAsia="Times New Roman" w:hAnsi="Times New Roman" w:cs="Times New Roman"/>
          <w:sz w:val="26"/>
          <w:szCs w:val="26"/>
          <w:lang w:eastAsia="hu-HU"/>
        </w:rPr>
      </w:pPr>
      <w:r w:rsidRPr="00C33C0A">
        <w:rPr>
          <w:rFonts w:ascii="Times New Roman" w:eastAsia="Times New Roman" w:hAnsi="Times New Roman" w:cs="Times New Roman"/>
          <w:sz w:val="26"/>
          <w:szCs w:val="26"/>
          <w:lang w:eastAsia="hu-HU"/>
        </w:rPr>
        <w:t xml:space="preserve">2026-ban a szociális hozzájárulási adó megfizetett összegének 82,81%-a </w:t>
      </w:r>
      <w:proofErr w:type="spellStart"/>
      <w:r w:rsidRPr="00C33C0A">
        <w:rPr>
          <w:rFonts w:ascii="Times New Roman" w:eastAsia="Times New Roman" w:hAnsi="Times New Roman" w:cs="Times New Roman"/>
          <w:sz w:val="26"/>
          <w:szCs w:val="26"/>
          <w:lang w:eastAsia="hu-HU"/>
        </w:rPr>
        <w:t>a</w:t>
      </w:r>
      <w:proofErr w:type="spellEnd"/>
      <w:r w:rsidR="00D252B3">
        <w:rPr>
          <w:rFonts w:ascii="Times New Roman" w:eastAsia="Times New Roman" w:hAnsi="Times New Roman" w:cs="Times New Roman"/>
          <w:sz w:val="26"/>
          <w:szCs w:val="26"/>
          <w:lang w:eastAsia="hu-HU"/>
        </w:rPr>
        <w:t> </w:t>
      </w:r>
      <w:r w:rsidRPr="00C33C0A">
        <w:rPr>
          <w:rFonts w:ascii="Times New Roman" w:eastAsia="Times New Roman" w:hAnsi="Times New Roman" w:cs="Times New Roman"/>
          <w:sz w:val="26"/>
          <w:szCs w:val="26"/>
          <w:lang w:eastAsia="hu-HU"/>
        </w:rPr>
        <w:t xml:space="preserve">Nyugdíjbiztosítási Alapot illeti meg. A </w:t>
      </w:r>
      <w:r w:rsidRPr="00C33C0A">
        <w:rPr>
          <w:rFonts w:ascii="Times New Roman" w:eastAsia="Times New Roman" w:hAnsi="Times New Roman" w:cs="Times New Roman"/>
          <w:b/>
          <w:bCs/>
          <w:sz w:val="26"/>
          <w:szCs w:val="26"/>
          <w:lang w:eastAsia="hu-HU"/>
        </w:rPr>
        <w:t xml:space="preserve">szociális hozzájárulási adó Nyugdíjbiztosítási Alapot megillető része </w:t>
      </w:r>
      <w:r w:rsidRPr="00C33C0A">
        <w:rPr>
          <w:rFonts w:ascii="Times New Roman" w:eastAsia="Times New Roman" w:hAnsi="Times New Roman" w:cs="Times New Roman"/>
          <w:bCs/>
          <w:sz w:val="26"/>
          <w:szCs w:val="26"/>
          <w:lang w:eastAsia="hu-HU"/>
        </w:rPr>
        <w:t>202</w:t>
      </w:r>
      <w:r w:rsidR="00194CD1">
        <w:rPr>
          <w:rFonts w:ascii="Times New Roman" w:eastAsia="Times New Roman" w:hAnsi="Times New Roman" w:cs="Times New Roman"/>
          <w:bCs/>
          <w:sz w:val="26"/>
          <w:szCs w:val="26"/>
          <w:lang w:eastAsia="hu-HU"/>
        </w:rPr>
        <w:t>6</w:t>
      </w:r>
      <w:r w:rsidRPr="00C33C0A">
        <w:rPr>
          <w:rFonts w:ascii="Times New Roman" w:eastAsia="Times New Roman" w:hAnsi="Times New Roman" w:cs="Times New Roman"/>
          <w:bCs/>
          <w:sz w:val="26"/>
          <w:szCs w:val="26"/>
          <w:lang w:eastAsia="hu-HU"/>
        </w:rPr>
        <w:t xml:space="preserve"> első hónapjában </w:t>
      </w:r>
      <w:r w:rsidRPr="00C33C0A">
        <w:rPr>
          <w:rFonts w:ascii="Times New Roman" w:eastAsia="Times New Roman" w:hAnsi="Times New Roman" w:cs="Times New Roman"/>
          <w:sz w:val="26"/>
          <w:szCs w:val="26"/>
          <w:lang w:eastAsia="hu-HU"/>
        </w:rPr>
        <w:t>294,2</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6"/>
          <w:lang w:eastAsia="hu-HU"/>
        </w:rPr>
        <w:t>milliárd</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6"/>
          <w:lang w:eastAsia="hu-HU"/>
        </w:rPr>
        <w:t>forintban teljesült, amely 26,0</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6"/>
          <w:lang w:eastAsia="hu-HU"/>
        </w:rPr>
        <w:t>milliárd</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6"/>
          <w:lang w:eastAsia="hu-HU"/>
        </w:rPr>
        <w:t>forinttal haladta meg az előző év</w:t>
      </w:r>
      <w:r w:rsidRPr="00C33C0A">
        <w:rPr>
          <w:rFonts w:ascii="Times New Roman" w:eastAsia="Calibri" w:hAnsi="Times New Roman" w:cs="Times New Roman"/>
          <w:sz w:val="26"/>
          <w:szCs w:val="26"/>
          <w:lang w:eastAsia="hu-HU"/>
        </w:rPr>
        <w:t xml:space="preserve"> januárjában </w:t>
      </w:r>
      <w:r w:rsidRPr="00C33C0A">
        <w:rPr>
          <w:rFonts w:ascii="Times New Roman" w:eastAsia="Times New Roman" w:hAnsi="Times New Roman" w:cs="Times New Roman"/>
          <w:sz w:val="26"/>
          <w:szCs w:val="26"/>
          <w:lang w:eastAsia="hu-HU"/>
        </w:rPr>
        <w:t>befolyt bevételt. A bevétel változása az adóköteles jövedelmek növekedésével és az alapok közötti megoszlási arány változásával</w:t>
      </w:r>
      <w:r w:rsidRPr="00C33C0A">
        <w:rPr>
          <w:rFonts w:ascii="Times New Roman" w:eastAsia="Times New Roman" w:hAnsi="Times New Roman" w:cs="Times New Roman"/>
          <w:color w:val="000000"/>
          <w:sz w:val="26"/>
          <w:szCs w:val="20"/>
          <w:lang w:eastAsia="hu-HU"/>
        </w:rPr>
        <w:t xml:space="preserve"> magyarázható.</w:t>
      </w:r>
    </w:p>
    <w:p w14:paraId="60B2091C" w14:textId="4B1A622C" w:rsidR="00C33C0A" w:rsidRDefault="00C33C0A" w:rsidP="00D32B0C">
      <w:pPr>
        <w:jc w:val="both"/>
        <w:rPr>
          <w:rFonts w:ascii="Times New Roman" w:eastAsia="Calibri" w:hAnsi="Times New Roman" w:cs="Times New Roman"/>
          <w:sz w:val="26"/>
          <w:szCs w:val="26"/>
          <w:lang w:eastAsia="hu-HU"/>
        </w:rPr>
      </w:pPr>
      <w:r w:rsidRPr="00C33C0A">
        <w:rPr>
          <w:rFonts w:ascii="Times New Roman" w:eastAsia="Times New Roman" w:hAnsi="Times New Roman" w:cs="Times New Roman"/>
          <w:sz w:val="26"/>
          <w:szCs w:val="26"/>
          <w:lang w:eastAsia="hu-HU"/>
        </w:rPr>
        <w:t>A befizetett társadalombiztosítási járulék 54%-át az állami adóhatóság a Nyugdíjbiztosítási Alapnak utalja át. 2026</w:t>
      </w:r>
      <w:r w:rsidR="00194CD1">
        <w:rPr>
          <w:rFonts w:ascii="Times New Roman" w:eastAsia="Times New Roman" w:hAnsi="Times New Roman" w:cs="Times New Roman"/>
          <w:sz w:val="26"/>
          <w:szCs w:val="26"/>
          <w:lang w:eastAsia="hu-HU"/>
        </w:rPr>
        <w:t xml:space="preserve"> első</w:t>
      </w:r>
      <w:r w:rsidRPr="00C33C0A">
        <w:rPr>
          <w:rFonts w:ascii="Times New Roman" w:eastAsia="Times New Roman" w:hAnsi="Times New Roman" w:cs="Times New Roman"/>
          <w:sz w:val="26"/>
          <w:szCs w:val="26"/>
          <w:lang w:eastAsia="hu-HU"/>
        </w:rPr>
        <w:t xml:space="preserve"> hónapjában a </w:t>
      </w:r>
      <w:r w:rsidRPr="00C33C0A">
        <w:rPr>
          <w:rFonts w:ascii="Times New Roman" w:eastAsia="Times New Roman" w:hAnsi="Times New Roman" w:cs="Times New Roman"/>
          <w:b/>
          <w:bCs/>
          <w:sz w:val="26"/>
          <w:szCs w:val="26"/>
          <w:lang w:eastAsia="hu-HU"/>
        </w:rPr>
        <w:t>társadalombiztosítási járulék Nyugdíjbiztosítási Alapot megillető része és nyugdíjjárulék</w:t>
      </w:r>
      <w:r w:rsidRPr="00C33C0A">
        <w:rPr>
          <w:rFonts w:ascii="Times New Roman" w:eastAsia="Times New Roman" w:hAnsi="Times New Roman" w:cs="Times New Roman"/>
          <w:sz w:val="26"/>
          <w:szCs w:val="26"/>
          <w:lang w:eastAsia="hu-HU"/>
        </w:rPr>
        <w:t xml:space="preserve"> 289,5</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6"/>
          <w:lang w:eastAsia="hu-HU"/>
        </w:rPr>
        <w:t>milliárd</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6"/>
          <w:lang w:eastAsia="hu-HU"/>
        </w:rPr>
        <w:t xml:space="preserve">forintban teljesült, amely az előző </w:t>
      </w:r>
      <w:r w:rsidRPr="00C33C0A">
        <w:rPr>
          <w:rFonts w:ascii="Times New Roman" w:eastAsia="Calibri" w:hAnsi="Times New Roman" w:cs="Times New Roman"/>
          <w:sz w:val="26"/>
          <w:szCs w:val="26"/>
          <w:lang w:eastAsia="hu-HU"/>
        </w:rPr>
        <w:t>év januárjában</w:t>
      </w:r>
      <w:r w:rsidRPr="00C33C0A">
        <w:rPr>
          <w:rFonts w:ascii="Times New Roman" w:eastAsia="Times New Roman" w:hAnsi="Times New Roman" w:cs="Times New Roman"/>
          <w:sz w:val="26"/>
          <w:szCs w:val="26"/>
          <w:lang w:eastAsia="hu-HU"/>
        </w:rPr>
        <w:t xml:space="preserve"> befolyt bevételt 32,5</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6"/>
          <w:lang w:eastAsia="hu-HU"/>
        </w:rPr>
        <w:t>milliárd</w:t>
      </w:r>
      <w:r w:rsidRPr="00C33C0A">
        <w:rPr>
          <w:rFonts w:ascii="Times New Roman" w:eastAsia="Times New Roman" w:hAnsi="Times New Roman" w:cs="Times New Roman"/>
          <w:sz w:val="26"/>
          <w:szCs w:val="20"/>
          <w:lang w:eastAsia="hu-HU"/>
        </w:rPr>
        <w:t> </w:t>
      </w:r>
      <w:r w:rsidRPr="00C33C0A">
        <w:rPr>
          <w:rFonts w:ascii="Times New Roman" w:eastAsia="Times New Roman" w:hAnsi="Times New Roman" w:cs="Times New Roman"/>
          <w:sz w:val="26"/>
          <w:szCs w:val="26"/>
          <w:lang w:eastAsia="hu-HU"/>
        </w:rPr>
        <w:t xml:space="preserve">forinttal haladta meg. </w:t>
      </w:r>
      <w:r w:rsidRPr="00C33C0A">
        <w:rPr>
          <w:rFonts w:ascii="Times New Roman" w:eastAsia="Calibri" w:hAnsi="Times New Roman" w:cs="Times New Roman"/>
          <w:sz w:val="26"/>
          <w:szCs w:val="26"/>
          <w:lang w:eastAsia="hu-HU"/>
        </w:rPr>
        <w:t>A bevételnövekedés oka a járulékköteles jövedelmek növekedése</w:t>
      </w:r>
      <w:r w:rsidRPr="00C33C0A">
        <w:rPr>
          <w:rFonts w:ascii="Times New Roman" w:eastAsia="Times New Roman" w:hAnsi="Times New Roman" w:cs="Times New Roman"/>
          <w:color w:val="000000"/>
          <w:sz w:val="26"/>
          <w:szCs w:val="20"/>
          <w:lang w:eastAsia="hu-HU"/>
        </w:rPr>
        <w:t>.</w:t>
      </w:r>
    </w:p>
    <w:p w14:paraId="0858CB79" w14:textId="661E97C9" w:rsidR="00A76FE3" w:rsidRDefault="1D3ABBAA" w:rsidP="00D32B0C">
      <w:pPr>
        <w:jc w:val="both"/>
      </w:pPr>
      <w:r w:rsidRPr="1D3ABBAA">
        <w:rPr>
          <w:rFonts w:ascii="Times New Roman" w:eastAsia="Times New Roman" w:hAnsi="Times New Roman" w:cs="Times New Roman"/>
          <w:sz w:val="26"/>
          <w:szCs w:val="26"/>
        </w:rPr>
        <w:t xml:space="preserve">A </w:t>
      </w:r>
      <w:r w:rsidRPr="1D3ABBAA">
        <w:rPr>
          <w:rFonts w:ascii="Times New Roman" w:eastAsia="Times New Roman" w:hAnsi="Times New Roman" w:cs="Times New Roman"/>
          <w:b/>
          <w:bCs/>
          <w:sz w:val="26"/>
          <w:szCs w:val="26"/>
        </w:rPr>
        <w:t>Nyugdíjbiztosítási Alap</w:t>
      </w:r>
      <w:r w:rsidRPr="1D3ABBAA">
        <w:rPr>
          <w:rFonts w:ascii="Times New Roman" w:eastAsia="Times New Roman" w:hAnsi="Times New Roman" w:cs="Times New Roman"/>
          <w:sz w:val="26"/>
          <w:szCs w:val="26"/>
        </w:rPr>
        <w:t xml:space="preserve"> 2026. évi költségvetése az ellátási kiadások támogatására 626</w:t>
      </w:r>
      <w:r w:rsidR="00194CD1">
        <w:rPr>
          <w:rFonts w:ascii="Times New Roman" w:eastAsia="Times New Roman" w:hAnsi="Times New Roman" w:cs="Times New Roman"/>
          <w:sz w:val="26"/>
          <w:szCs w:val="26"/>
        </w:rPr>
        <w:t>,0</w:t>
      </w:r>
      <w:r w:rsidRPr="1D3ABBAA">
        <w:rPr>
          <w:rFonts w:ascii="Times New Roman" w:eastAsia="Times New Roman" w:hAnsi="Times New Roman" w:cs="Times New Roman"/>
          <w:sz w:val="26"/>
          <w:szCs w:val="26"/>
        </w:rPr>
        <w:t xml:space="preserve"> milliárd forint </w:t>
      </w:r>
      <w:r w:rsidRPr="1D3ABBAA">
        <w:rPr>
          <w:rFonts w:ascii="Times New Roman" w:eastAsia="Times New Roman" w:hAnsi="Times New Roman" w:cs="Times New Roman"/>
          <w:b/>
          <w:bCs/>
          <w:sz w:val="26"/>
          <w:szCs w:val="26"/>
        </w:rPr>
        <w:t>központi költségvetési hozzájárulás</w:t>
      </w:r>
      <w:r w:rsidRPr="1D3ABBAA">
        <w:rPr>
          <w:rFonts w:ascii="Times New Roman" w:eastAsia="Times New Roman" w:hAnsi="Times New Roman" w:cs="Times New Roman"/>
          <w:sz w:val="26"/>
          <w:szCs w:val="26"/>
        </w:rPr>
        <w:t>t tartalmaz, ami 61,5 milliárd forinttal magasabb az előző évi előirányzat összegénél.</w:t>
      </w:r>
    </w:p>
    <w:p w14:paraId="6AC8A7EE" w14:textId="0414075B" w:rsidR="00A76FE3" w:rsidRDefault="1D3ABBAA" w:rsidP="00D32B0C">
      <w:pPr>
        <w:jc w:val="both"/>
      </w:pPr>
      <w:r w:rsidRPr="1D3ABBAA">
        <w:rPr>
          <w:rFonts w:ascii="Times New Roman" w:eastAsia="Times New Roman" w:hAnsi="Times New Roman" w:cs="Times New Roman"/>
          <w:sz w:val="26"/>
          <w:szCs w:val="26"/>
        </w:rPr>
        <w:t>A költségvetési hozzájárulás előirányzataiból 70 milliárd forintot pénzeszközátadás útján biztosít az alap részére, és 556 milliárd forintot – a 13. havi nyugdíj, illetve a</w:t>
      </w:r>
      <w:r w:rsidR="00D252B3">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nyugdíjprémium fedezeteként – címzett támogatás formájában. A 13. havi nyugdíj és a</w:t>
      </w:r>
      <w:r w:rsidR="00D252B3">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nyugdíjprémium támogatásának előirányzatai év közben előirányzat-módosítás nélkül túlléphetők.</w:t>
      </w:r>
    </w:p>
    <w:p w14:paraId="6BF2F156" w14:textId="150CF768" w:rsidR="00A76FE3" w:rsidRDefault="1D3ABBAA" w:rsidP="00D32B0C">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 </w:t>
      </w:r>
      <w:r w:rsidRPr="1D3ABBAA">
        <w:rPr>
          <w:rFonts w:ascii="Times New Roman" w:eastAsia="Times New Roman" w:hAnsi="Times New Roman" w:cs="Times New Roman"/>
          <w:b/>
          <w:bCs/>
          <w:sz w:val="26"/>
          <w:szCs w:val="26"/>
        </w:rPr>
        <w:t>Nyugdíjbiztosítási Alap</w:t>
      </w:r>
      <w:r w:rsidRPr="1D3ABBAA">
        <w:rPr>
          <w:rFonts w:ascii="Times New Roman" w:eastAsia="Times New Roman" w:hAnsi="Times New Roman" w:cs="Times New Roman"/>
          <w:sz w:val="26"/>
          <w:szCs w:val="26"/>
        </w:rPr>
        <w:t xml:space="preserve"> részére 2026. januárban a Magyar Államkincstár a</w:t>
      </w:r>
      <w:r w:rsidR="00D252B3">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költségvetési törvény előirányzatainak figyelembevételével jóváhagyásra benyújtott éves előirányzat-felhasználási terv ütemezésének megfelelően 5,8</w:t>
      </w:r>
      <w:r w:rsidR="00194CD1">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 xml:space="preserve">milliárd forint </w:t>
      </w:r>
      <w:r w:rsidRPr="1D3ABBAA">
        <w:rPr>
          <w:rFonts w:ascii="Times New Roman" w:eastAsia="Times New Roman" w:hAnsi="Times New Roman" w:cs="Times New Roman"/>
          <w:b/>
          <w:bCs/>
          <w:sz w:val="26"/>
          <w:szCs w:val="26"/>
        </w:rPr>
        <w:t>központi támogatást</w:t>
      </w:r>
      <w:r w:rsidRPr="1D3ABBAA">
        <w:rPr>
          <w:rFonts w:ascii="Times New Roman" w:eastAsia="Times New Roman" w:hAnsi="Times New Roman" w:cs="Times New Roman"/>
          <w:sz w:val="26"/>
          <w:szCs w:val="26"/>
        </w:rPr>
        <w:t xml:space="preserve"> utalt át pénzeszköz-átadás jogcímen, ami az előző év azonos időszakában folyósított havi támogatás összegénél 0,</w:t>
      </w:r>
      <w:r w:rsidR="00B965D7">
        <w:rPr>
          <w:rFonts w:ascii="Times New Roman" w:eastAsia="Times New Roman" w:hAnsi="Times New Roman" w:cs="Times New Roman"/>
          <w:sz w:val="26"/>
          <w:szCs w:val="26"/>
        </w:rPr>
        <w:t>7</w:t>
      </w:r>
      <w:r w:rsidRPr="1D3ABBAA">
        <w:rPr>
          <w:rFonts w:ascii="Times New Roman" w:eastAsia="Times New Roman" w:hAnsi="Times New Roman" w:cs="Times New Roman"/>
          <w:sz w:val="26"/>
          <w:szCs w:val="26"/>
        </w:rPr>
        <w:t xml:space="preserve"> milliárd </w:t>
      </w:r>
      <w:r w:rsidR="00194CD1">
        <w:rPr>
          <w:rFonts w:ascii="Times New Roman" w:eastAsia="Times New Roman" w:hAnsi="Times New Roman" w:cs="Times New Roman"/>
          <w:sz w:val="26"/>
          <w:szCs w:val="26"/>
        </w:rPr>
        <w:t>forint</w:t>
      </w:r>
      <w:r w:rsidRPr="1D3ABBAA">
        <w:rPr>
          <w:rFonts w:ascii="Times New Roman" w:eastAsia="Times New Roman" w:hAnsi="Times New Roman" w:cs="Times New Roman"/>
          <w:sz w:val="26"/>
          <w:szCs w:val="26"/>
        </w:rPr>
        <w:t>tal kevesebb. A pénzeszköz-átadás az alap költségvetési egyensúlyának biztosítását szolgálja.</w:t>
      </w:r>
    </w:p>
    <w:p w14:paraId="1E5039D7" w14:textId="69E10911" w:rsidR="475F3A1A" w:rsidRDefault="00C435AC" w:rsidP="005861AE">
      <w:pPr>
        <w:jc w:val="center"/>
        <w:rPr>
          <w:rFonts w:ascii="Times New Roman" w:eastAsia="Times New Roman" w:hAnsi="Times New Roman" w:cs="Times New Roman"/>
          <w:sz w:val="26"/>
          <w:szCs w:val="26"/>
        </w:rPr>
      </w:pPr>
      <w:r>
        <w:rPr>
          <w:noProof/>
        </w:rPr>
        <w:lastRenderedPageBreak/>
        <w:drawing>
          <wp:inline distT="0" distB="0" distL="0" distR="0" wp14:anchorId="7925B9D9" wp14:editId="2953561D">
            <wp:extent cx="5940425" cy="2681605"/>
            <wp:effectExtent l="0" t="0" r="3175" b="4445"/>
            <wp:docPr id="1986670783" name="Kép 1" descr="A képen szöveg, képernyőkép, diagram, kö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70783" name="Kép 1" descr="A képen szöveg, képernyőkép, diagram, kör látható&#10;&#10;Előfordulhat, hogy a mesterséges intelligencia által létrehozott tartalom helytelen."/>
                    <pic:cNvPicPr/>
                  </pic:nvPicPr>
                  <pic:blipFill>
                    <a:blip r:embed="rId17"/>
                    <a:stretch>
                      <a:fillRect/>
                    </a:stretch>
                  </pic:blipFill>
                  <pic:spPr>
                    <a:xfrm>
                      <a:off x="0" y="0"/>
                      <a:ext cx="5940425" cy="2681605"/>
                    </a:xfrm>
                    <a:prstGeom prst="rect">
                      <a:avLst/>
                    </a:prstGeom>
                  </pic:spPr>
                </pic:pic>
              </a:graphicData>
            </a:graphic>
          </wp:inline>
        </w:drawing>
      </w:r>
    </w:p>
    <w:p w14:paraId="241F012E" w14:textId="6C01B7B3" w:rsidR="00C33C0A" w:rsidRPr="00C33C0A" w:rsidRDefault="00C33C0A" w:rsidP="00194CD1">
      <w:pPr>
        <w:jc w:val="both"/>
        <w:rPr>
          <w:rFonts w:ascii="Times New Roman" w:eastAsia="Times New Roman" w:hAnsi="Times New Roman" w:cs="Times New Roman"/>
          <w:sz w:val="26"/>
          <w:szCs w:val="26"/>
          <w:lang w:eastAsia="hu-HU"/>
        </w:rPr>
      </w:pPr>
      <w:r w:rsidRPr="00C33C0A">
        <w:rPr>
          <w:rFonts w:ascii="Times New Roman" w:eastAsia="Calibri" w:hAnsi="Times New Roman" w:cs="Times New Roman"/>
          <w:sz w:val="26"/>
          <w:szCs w:val="26"/>
          <w:lang w:eastAsia="hu-HU"/>
        </w:rPr>
        <w:t>2026-ban a szociális hozzájárulási adó megfizetett összegének 17,19%-a az</w:t>
      </w:r>
      <w:r w:rsidR="00CE17C9">
        <w:rPr>
          <w:rFonts w:ascii="Times New Roman" w:eastAsia="Calibri" w:hAnsi="Times New Roman" w:cs="Times New Roman"/>
          <w:sz w:val="26"/>
          <w:szCs w:val="26"/>
          <w:lang w:eastAsia="hu-HU"/>
        </w:rPr>
        <w:t> </w:t>
      </w:r>
      <w:r w:rsidRPr="00C33C0A">
        <w:rPr>
          <w:rFonts w:ascii="Times New Roman" w:eastAsia="Calibri" w:hAnsi="Times New Roman" w:cs="Times New Roman"/>
          <w:sz w:val="26"/>
          <w:szCs w:val="26"/>
          <w:lang w:eastAsia="hu-HU"/>
        </w:rPr>
        <w:t xml:space="preserve">Egészségbiztosítási Alapot illeti meg. 2026 első hónapjában a </w:t>
      </w:r>
      <w:r w:rsidRPr="00C33C0A">
        <w:rPr>
          <w:rFonts w:ascii="Times New Roman" w:eastAsia="Calibri" w:hAnsi="Times New Roman" w:cs="Times New Roman"/>
          <w:b/>
          <w:bCs/>
          <w:sz w:val="26"/>
          <w:szCs w:val="26"/>
          <w:lang w:eastAsia="hu-HU"/>
        </w:rPr>
        <w:t>szociális hozzájárulási adó Egészségbiztosítási Alapot megillető része</w:t>
      </w:r>
      <w:r w:rsidRPr="00C33C0A">
        <w:rPr>
          <w:rFonts w:ascii="Times New Roman" w:eastAsia="Calibri" w:hAnsi="Times New Roman" w:cs="Times New Roman"/>
          <w:sz w:val="26"/>
          <w:szCs w:val="26"/>
          <w:lang w:eastAsia="hu-HU"/>
        </w:rPr>
        <w:t xml:space="preserve"> 61,1</w:t>
      </w:r>
      <w:r w:rsidRPr="00C33C0A">
        <w:rPr>
          <w:rFonts w:ascii="Times New Roman" w:eastAsia="Times New Roman" w:hAnsi="Times New Roman" w:cs="Times New Roman"/>
          <w:sz w:val="26"/>
          <w:szCs w:val="20"/>
          <w:lang w:eastAsia="hu-HU"/>
        </w:rPr>
        <w:t> </w:t>
      </w:r>
      <w:r w:rsidRPr="00C33C0A">
        <w:rPr>
          <w:rFonts w:ascii="Times New Roman" w:eastAsia="Calibri" w:hAnsi="Times New Roman" w:cs="Times New Roman"/>
          <w:sz w:val="26"/>
          <w:szCs w:val="26"/>
          <w:lang w:eastAsia="hu-HU"/>
        </w:rPr>
        <w:t>milliárd</w:t>
      </w:r>
      <w:r w:rsidRPr="00C33C0A">
        <w:rPr>
          <w:rFonts w:ascii="Times New Roman" w:eastAsia="Times New Roman" w:hAnsi="Times New Roman" w:cs="Times New Roman"/>
          <w:sz w:val="26"/>
          <w:szCs w:val="20"/>
          <w:lang w:eastAsia="hu-HU"/>
        </w:rPr>
        <w:t> </w:t>
      </w:r>
      <w:r w:rsidRPr="00C33C0A">
        <w:rPr>
          <w:rFonts w:ascii="Times New Roman" w:eastAsia="Calibri" w:hAnsi="Times New Roman" w:cs="Times New Roman"/>
          <w:sz w:val="26"/>
          <w:szCs w:val="26"/>
          <w:lang w:eastAsia="hu-HU"/>
        </w:rPr>
        <w:t>forintban teljesült, amely 20,9</w:t>
      </w:r>
      <w:r w:rsidRPr="00C33C0A">
        <w:rPr>
          <w:rFonts w:ascii="Times New Roman" w:eastAsia="Times New Roman" w:hAnsi="Times New Roman" w:cs="Times New Roman"/>
          <w:sz w:val="26"/>
          <w:szCs w:val="20"/>
          <w:lang w:eastAsia="hu-HU"/>
        </w:rPr>
        <w:t> </w:t>
      </w:r>
      <w:r w:rsidRPr="00C33C0A">
        <w:rPr>
          <w:rFonts w:ascii="Times New Roman" w:eastAsia="Calibri" w:hAnsi="Times New Roman" w:cs="Times New Roman"/>
          <w:sz w:val="26"/>
          <w:szCs w:val="26"/>
          <w:lang w:eastAsia="hu-HU"/>
        </w:rPr>
        <w:t>milliárd</w:t>
      </w:r>
      <w:r w:rsidRPr="00C33C0A">
        <w:rPr>
          <w:rFonts w:ascii="Times New Roman" w:eastAsia="Times New Roman" w:hAnsi="Times New Roman" w:cs="Times New Roman"/>
          <w:sz w:val="26"/>
          <w:szCs w:val="20"/>
          <w:lang w:eastAsia="hu-HU"/>
        </w:rPr>
        <w:t> </w:t>
      </w:r>
      <w:r w:rsidRPr="00C33C0A">
        <w:rPr>
          <w:rFonts w:ascii="Times New Roman" w:eastAsia="Calibri" w:hAnsi="Times New Roman" w:cs="Times New Roman"/>
          <w:sz w:val="26"/>
          <w:szCs w:val="26"/>
          <w:lang w:eastAsia="hu-HU"/>
        </w:rPr>
        <w:t xml:space="preserve">forinttal </w:t>
      </w:r>
      <w:r w:rsidRPr="00C33C0A">
        <w:rPr>
          <w:rFonts w:ascii="Times New Roman" w:eastAsia="Times New Roman" w:hAnsi="Times New Roman" w:cs="Times New Roman"/>
          <w:sz w:val="26"/>
          <w:szCs w:val="26"/>
          <w:lang w:eastAsia="hu-HU"/>
        </w:rPr>
        <w:t xml:space="preserve">haladta meg az előző </w:t>
      </w:r>
      <w:r w:rsidRPr="00C33C0A">
        <w:rPr>
          <w:rFonts w:ascii="Times New Roman" w:eastAsia="Calibri" w:hAnsi="Times New Roman" w:cs="Times New Roman"/>
          <w:sz w:val="26"/>
          <w:szCs w:val="26"/>
          <w:lang w:eastAsia="hu-HU"/>
        </w:rPr>
        <w:t>év januárjában</w:t>
      </w:r>
      <w:r w:rsidRPr="00C33C0A">
        <w:rPr>
          <w:rFonts w:ascii="Times New Roman" w:eastAsia="Times New Roman" w:hAnsi="Times New Roman" w:cs="Times New Roman"/>
          <w:sz w:val="26"/>
          <w:szCs w:val="26"/>
          <w:lang w:eastAsia="hu-HU"/>
        </w:rPr>
        <w:t xml:space="preserve"> befolyt bevételt</w:t>
      </w:r>
      <w:r w:rsidRPr="00C33C0A">
        <w:rPr>
          <w:rFonts w:ascii="Times New Roman" w:eastAsia="Calibri" w:hAnsi="Times New Roman" w:cs="Times New Roman"/>
          <w:sz w:val="26"/>
          <w:szCs w:val="26"/>
          <w:lang w:eastAsia="hu-HU"/>
        </w:rPr>
        <w:t xml:space="preserve">. </w:t>
      </w:r>
      <w:r w:rsidRPr="00C33C0A">
        <w:rPr>
          <w:rFonts w:ascii="Times New Roman" w:eastAsia="Times New Roman" w:hAnsi="Times New Roman" w:cs="Times New Roman"/>
          <w:sz w:val="26"/>
          <w:szCs w:val="26"/>
          <w:lang w:eastAsia="hu-HU"/>
        </w:rPr>
        <w:t>A bevétel változása az adóköteles jövedelmek növekedésével és az alapok közötti megoszlási arány változásának együttes hatásával magyarázható</w:t>
      </w:r>
      <w:r w:rsidRPr="00C33C0A">
        <w:rPr>
          <w:rFonts w:ascii="Times New Roman" w:eastAsia="Times New Roman" w:hAnsi="Times New Roman" w:cs="Times New Roman"/>
          <w:color w:val="000000"/>
          <w:sz w:val="26"/>
          <w:szCs w:val="20"/>
          <w:lang w:eastAsia="hu-HU"/>
        </w:rPr>
        <w:t>.</w:t>
      </w:r>
    </w:p>
    <w:p w14:paraId="287ED0DA" w14:textId="5C5216A8" w:rsidR="00C33C0A" w:rsidRDefault="00C33C0A" w:rsidP="00194CD1">
      <w:pPr>
        <w:jc w:val="both"/>
        <w:rPr>
          <w:rFonts w:ascii="Times New Roman" w:eastAsia="Calibri" w:hAnsi="Times New Roman" w:cs="Times New Roman"/>
          <w:sz w:val="26"/>
          <w:szCs w:val="26"/>
          <w:lang w:eastAsia="hu-HU"/>
        </w:rPr>
      </w:pPr>
      <w:r w:rsidRPr="00C33C0A">
        <w:rPr>
          <w:rFonts w:ascii="Times New Roman" w:eastAsia="Calibri" w:hAnsi="Times New Roman" w:cs="Times New Roman"/>
          <w:sz w:val="26"/>
          <w:szCs w:val="26"/>
          <w:lang w:eastAsia="hu-HU"/>
        </w:rPr>
        <w:t>A befizetett társadalombiztosítási járulék 37,9%-át az állami adóhatóság az</w:t>
      </w:r>
      <w:r w:rsidR="00CE17C9">
        <w:rPr>
          <w:rFonts w:ascii="Times New Roman" w:eastAsia="Calibri" w:hAnsi="Times New Roman" w:cs="Times New Roman"/>
          <w:sz w:val="26"/>
          <w:szCs w:val="26"/>
          <w:lang w:eastAsia="hu-HU"/>
        </w:rPr>
        <w:t> </w:t>
      </w:r>
      <w:r w:rsidRPr="00C33C0A">
        <w:rPr>
          <w:rFonts w:ascii="Times New Roman" w:eastAsia="Calibri" w:hAnsi="Times New Roman" w:cs="Times New Roman"/>
          <w:sz w:val="26"/>
          <w:szCs w:val="26"/>
          <w:lang w:eastAsia="hu-HU"/>
        </w:rPr>
        <w:t xml:space="preserve">Egészségbiztosítási Alapnak utalja át. 2026 első hónapjában a </w:t>
      </w:r>
      <w:r w:rsidRPr="00C33C0A">
        <w:rPr>
          <w:rFonts w:ascii="Times New Roman" w:eastAsia="Calibri" w:hAnsi="Times New Roman" w:cs="Times New Roman"/>
          <w:b/>
          <w:bCs/>
          <w:sz w:val="26"/>
          <w:szCs w:val="26"/>
          <w:lang w:eastAsia="hu-HU"/>
        </w:rPr>
        <w:t>társadalombiztosítási járulék Egészségbiztosítási Alapot megillető része és egészségbiztosítási járulék</w:t>
      </w:r>
      <w:r w:rsidRPr="00C33C0A">
        <w:rPr>
          <w:rFonts w:ascii="Times New Roman" w:eastAsia="Calibri" w:hAnsi="Times New Roman" w:cs="Times New Roman"/>
          <w:sz w:val="26"/>
          <w:szCs w:val="26"/>
          <w:lang w:eastAsia="hu-HU"/>
        </w:rPr>
        <w:t xml:space="preserve"> 197,3</w:t>
      </w:r>
      <w:r w:rsidRPr="00C33C0A">
        <w:rPr>
          <w:rFonts w:ascii="Times New Roman" w:eastAsia="Times New Roman" w:hAnsi="Times New Roman" w:cs="Times New Roman"/>
          <w:sz w:val="26"/>
          <w:szCs w:val="20"/>
          <w:lang w:eastAsia="hu-HU"/>
        </w:rPr>
        <w:t> </w:t>
      </w:r>
      <w:r w:rsidRPr="00C33C0A">
        <w:rPr>
          <w:rFonts w:ascii="Times New Roman" w:eastAsia="Calibri" w:hAnsi="Times New Roman" w:cs="Times New Roman"/>
          <w:sz w:val="26"/>
          <w:szCs w:val="26"/>
          <w:lang w:eastAsia="hu-HU"/>
        </w:rPr>
        <w:t>milliárd</w:t>
      </w:r>
      <w:r w:rsidRPr="00C33C0A">
        <w:rPr>
          <w:rFonts w:ascii="Times New Roman" w:eastAsia="Times New Roman" w:hAnsi="Times New Roman" w:cs="Times New Roman"/>
          <w:sz w:val="26"/>
          <w:szCs w:val="20"/>
          <w:lang w:eastAsia="hu-HU"/>
        </w:rPr>
        <w:t> </w:t>
      </w:r>
      <w:r w:rsidRPr="00C33C0A">
        <w:rPr>
          <w:rFonts w:ascii="Times New Roman" w:eastAsia="Calibri" w:hAnsi="Times New Roman" w:cs="Times New Roman"/>
          <w:sz w:val="26"/>
          <w:szCs w:val="26"/>
          <w:lang w:eastAsia="hu-HU"/>
        </w:rPr>
        <w:t xml:space="preserve">forintban teljesült, </w:t>
      </w:r>
      <w:r w:rsidRPr="00C33C0A">
        <w:rPr>
          <w:rFonts w:ascii="Times New Roman" w:eastAsia="Times New Roman" w:hAnsi="Times New Roman" w:cs="Times New Roman"/>
          <w:sz w:val="26"/>
          <w:szCs w:val="26"/>
          <w:lang w:eastAsia="hu-HU"/>
        </w:rPr>
        <w:t xml:space="preserve">amely az előző </w:t>
      </w:r>
      <w:r w:rsidRPr="00C33C0A">
        <w:rPr>
          <w:rFonts w:ascii="Times New Roman" w:eastAsia="Calibri" w:hAnsi="Times New Roman" w:cs="Times New Roman"/>
          <w:sz w:val="26"/>
          <w:szCs w:val="26"/>
          <w:lang w:eastAsia="hu-HU"/>
        </w:rPr>
        <w:t>év januárjában</w:t>
      </w:r>
      <w:r w:rsidRPr="00C33C0A">
        <w:rPr>
          <w:rFonts w:ascii="Times New Roman" w:eastAsia="Times New Roman" w:hAnsi="Times New Roman" w:cs="Times New Roman"/>
          <w:sz w:val="26"/>
          <w:szCs w:val="26"/>
          <w:lang w:eastAsia="hu-HU"/>
        </w:rPr>
        <w:t xml:space="preserve"> befolyt bevételt</w:t>
      </w:r>
      <w:r w:rsidRPr="00C33C0A">
        <w:rPr>
          <w:rFonts w:ascii="Times New Roman" w:eastAsia="Calibri" w:hAnsi="Times New Roman" w:cs="Times New Roman"/>
          <w:sz w:val="26"/>
          <w:szCs w:val="26"/>
          <w:lang w:eastAsia="hu-HU"/>
        </w:rPr>
        <w:t xml:space="preserve"> 22,5 milliárd</w:t>
      </w:r>
      <w:r w:rsidRPr="00C33C0A">
        <w:rPr>
          <w:rFonts w:ascii="Times New Roman" w:eastAsia="Times New Roman" w:hAnsi="Times New Roman" w:cs="Times New Roman"/>
          <w:sz w:val="26"/>
          <w:szCs w:val="20"/>
          <w:lang w:eastAsia="hu-HU"/>
        </w:rPr>
        <w:t> </w:t>
      </w:r>
      <w:r w:rsidRPr="00C33C0A">
        <w:rPr>
          <w:rFonts w:ascii="Times New Roman" w:eastAsia="Calibri" w:hAnsi="Times New Roman" w:cs="Times New Roman"/>
          <w:sz w:val="26"/>
          <w:szCs w:val="26"/>
          <w:lang w:eastAsia="hu-HU"/>
        </w:rPr>
        <w:t>forinttal haladta meg. A bevételnövekedés oka a járulékköteles jövedelmek növekedése</w:t>
      </w:r>
      <w:r w:rsidRPr="00C33C0A">
        <w:rPr>
          <w:rFonts w:ascii="Times New Roman" w:eastAsia="Times New Roman" w:hAnsi="Times New Roman" w:cs="Times New Roman"/>
          <w:color w:val="000000"/>
          <w:sz w:val="26"/>
          <w:szCs w:val="20"/>
          <w:lang w:eastAsia="hu-HU"/>
        </w:rPr>
        <w:t>.</w:t>
      </w:r>
    </w:p>
    <w:p w14:paraId="754C440E" w14:textId="65632B3E" w:rsidR="00B325C4" w:rsidRDefault="7E8CEE34" w:rsidP="00194CD1">
      <w:pPr>
        <w:jc w:val="both"/>
        <w:rPr>
          <w:rFonts w:ascii="Times New Roman" w:hAnsi="Times New Roman" w:cs="Times New Roman"/>
          <w:sz w:val="26"/>
          <w:szCs w:val="26"/>
        </w:rPr>
      </w:pPr>
      <w:r w:rsidRPr="7E8CEE34">
        <w:rPr>
          <w:rFonts w:ascii="Times New Roman" w:hAnsi="Times New Roman" w:cs="Times New Roman"/>
          <w:sz w:val="26"/>
          <w:szCs w:val="26"/>
        </w:rPr>
        <w:t xml:space="preserve">Az </w:t>
      </w:r>
      <w:r w:rsidRPr="7E8CEE34">
        <w:rPr>
          <w:rFonts w:ascii="Times New Roman" w:hAnsi="Times New Roman" w:cs="Times New Roman"/>
          <w:b/>
          <w:bCs/>
          <w:sz w:val="26"/>
          <w:szCs w:val="26"/>
        </w:rPr>
        <w:t>Egészségbiztosítási Alap költségvetési hozzájárulásai</w:t>
      </w:r>
      <w:r w:rsidRPr="7E8CEE34">
        <w:rPr>
          <w:rFonts w:ascii="Times New Roman" w:hAnsi="Times New Roman" w:cs="Times New Roman"/>
          <w:sz w:val="26"/>
          <w:szCs w:val="26"/>
        </w:rPr>
        <w:t xml:space="preserve"> 2026 első hónapjában összesen 142,7 milliárd forintot tettek ki, amely 14,7 milliárd forinttal alacsonyabb, mint az előző év januárjában átutalt összeg. 2026 január végéig az Egészségbiztosítási Alap járulék címen átvett pénzeszközként 60,9 milliárd forint támogatást kapott, szemben az előző év januárjában átutalt 57,7 milliárd forint összeggel. Az alap kiadásainak támogatására szolgáló tervezett pénzeszköz-átvétel és az egészségügyi feladatok ellátásával kapcsolatos hozzájárulás együttes összege 2026. januárban 81,8 milliárd forintot tett ki, amely 17,9 milliárd forinttal elmarad az előző év januárjában átutalt összegtől.</w:t>
      </w:r>
    </w:p>
    <w:p w14:paraId="52DBA44B" w14:textId="4F3AC17D" w:rsidR="00AB3A4C" w:rsidRDefault="00B325C4" w:rsidP="00B325C4">
      <w:pPr>
        <w:rPr>
          <w:rFonts w:ascii="Times New Roman" w:hAnsi="Times New Roman" w:cs="Times New Roman"/>
          <w:sz w:val="26"/>
          <w:szCs w:val="26"/>
        </w:rPr>
      </w:pPr>
      <w:r>
        <w:rPr>
          <w:rFonts w:ascii="Times New Roman" w:hAnsi="Times New Roman" w:cs="Times New Roman"/>
          <w:sz w:val="26"/>
          <w:szCs w:val="26"/>
        </w:rPr>
        <w:br w:type="page"/>
      </w:r>
    </w:p>
    <w:p w14:paraId="51F08DF7" w14:textId="6FA8B559" w:rsidR="009E34AE" w:rsidRPr="00377D59" w:rsidRDefault="1D3ABBAA" w:rsidP="1D3ABBAA">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1D3ABBAA">
        <w:rPr>
          <w:rFonts w:ascii="Times New Roman" w:eastAsia="Times New Roman" w:hAnsi="Times New Roman" w:cs="Times New Roman"/>
          <w:b/>
          <w:bCs/>
          <w:smallCaps/>
          <w:sz w:val="28"/>
          <w:szCs w:val="28"/>
          <w:lang w:eastAsia="hu-HU"/>
        </w:rPr>
        <w:lastRenderedPageBreak/>
        <w:t xml:space="preserve">A főbb kiadások </w:t>
      </w:r>
    </w:p>
    <w:p w14:paraId="3A4B14EB" w14:textId="6CF22857" w:rsidR="003E05FC" w:rsidRPr="003E05FC" w:rsidRDefault="1D3ABBAA" w:rsidP="003E05FC">
      <w:pPr>
        <w:jc w:val="both"/>
        <w:rPr>
          <w:rFonts w:ascii="Times New Roman" w:eastAsia="Times New Roman" w:hAnsi="Times New Roman" w:cs="Times New Roman"/>
          <w:b/>
          <w:bCs/>
          <w:sz w:val="26"/>
          <w:szCs w:val="26"/>
          <w:lang w:eastAsia="hu-HU"/>
        </w:rPr>
      </w:pPr>
      <w:r w:rsidRPr="1D3ABBAA">
        <w:rPr>
          <w:rFonts w:ascii="Times New Roman" w:eastAsia="Times New Roman" w:hAnsi="Times New Roman" w:cs="Times New Roman"/>
          <w:b/>
          <w:bCs/>
          <w:sz w:val="26"/>
          <w:szCs w:val="26"/>
          <w:lang w:eastAsia="hu-HU"/>
        </w:rPr>
        <w:t xml:space="preserve">A központi alrendszer </w:t>
      </w:r>
      <w:r w:rsidR="003E05FC" w:rsidRPr="003E05FC">
        <w:rPr>
          <w:rFonts w:ascii="Times New Roman" w:eastAsia="Times New Roman" w:hAnsi="Times New Roman" w:cs="Times New Roman"/>
          <w:b/>
          <w:bCs/>
          <w:sz w:val="26"/>
          <w:szCs w:val="26"/>
          <w:lang w:eastAsia="hu-HU"/>
        </w:rPr>
        <w:t>január végi 4022,5</w:t>
      </w:r>
      <w:r w:rsidR="003E05FC">
        <w:rPr>
          <w:rFonts w:ascii="Times New Roman" w:eastAsia="Times New Roman" w:hAnsi="Times New Roman" w:cs="Times New Roman"/>
          <w:b/>
          <w:bCs/>
          <w:sz w:val="26"/>
          <w:szCs w:val="26"/>
          <w:lang w:eastAsia="hu-HU"/>
        </w:rPr>
        <w:t> </w:t>
      </w:r>
      <w:r w:rsidR="003E05FC" w:rsidRPr="003E05FC">
        <w:rPr>
          <w:rFonts w:ascii="Times New Roman" w:eastAsia="Times New Roman" w:hAnsi="Times New Roman" w:cs="Times New Roman"/>
          <w:b/>
          <w:bCs/>
          <w:sz w:val="26"/>
          <w:szCs w:val="26"/>
          <w:lang w:eastAsia="hu-HU"/>
        </w:rPr>
        <w:t>milliárd forint összegű kiadásai 674,3</w:t>
      </w:r>
      <w:r w:rsidR="003E05FC">
        <w:rPr>
          <w:rFonts w:ascii="Times New Roman" w:eastAsia="Times New Roman" w:hAnsi="Times New Roman" w:cs="Times New Roman"/>
          <w:b/>
          <w:bCs/>
          <w:sz w:val="26"/>
          <w:szCs w:val="26"/>
          <w:lang w:eastAsia="hu-HU"/>
        </w:rPr>
        <w:t> </w:t>
      </w:r>
      <w:r w:rsidR="003E05FC" w:rsidRPr="003E05FC">
        <w:rPr>
          <w:rFonts w:ascii="Times New Roman" w:eastAsia="Times New Roman" w:hAnsi="Times New Roman" w:cs="Times New Roman"/>
          <w:b/>
          <w:bCs/>
          <w:sz w:val="26"/>
          <w:szCs w:val="26"/>
          <w:lang w:eastAsia="hu-HU"/>
        </w:rPr>
        <w:t xml:space="preserve">milliárd forinttal, 20,1%-kal haladták meg az előző év azonos időszaki adatát. </w:t>
      </w:r>
    </w:p>
    <w:p w14:paraId="6D6E5F66" w14:textId="260114E0" w:rsidR="003E05FC" w:rsidRPr="003E05FC" w:rsidRDefault="003E05FC" w:rsidP="003E05FC">
      <w:pPr>
        <w:jc w:val="both"/>
        <w:rPr>
          <w:rFonts w:ascii="Times New Roman" w:eastAsia="Times New Roman" w:hAnsi="Times New Roman" w:cs="Times New Roman"/>
          <w:b/>
          <w:bCs/>
          <w:sz w:val="26"/>
          <w:szCs w:val="26"/>
          <w:lang w:eastAsia="hu-HU"/>
        </w:rPr>
      </w:pPr>
      <w:r w:rsidRPr="003E05FC">
        <w:rPr>
          <w:rFonts w:ascii="Times New Roman" w:eastAsia="Times New Roman" w:hAnsi="Times New Roman" w:cs="Times New Roman"/>
          <w:b/>
          <w:bCs/>
          <w:sz w:val="26"/>
          <w:szCs w:val="26"/>
          <w:lang w:eastAsia="hu-HU"/>
        </w:rPr>
        <w:t>Magasabban teljesültek az egy évvel korábbihoz képest többek között a költségvetési szervek kiadásai, a szakmai fejezeti kezelésű előirányzatok kiadásai, a</w:t>
      </w:r>
      <w:r>
        <w:rPr>
          <w:rFonts w:ascii="Times New Roman" w:eastAsia="Times New Roman" w:hAnsi="Times New Roman" w:cs="Times New Roman"/>
          <w:b/>
          <w:bCs/>
          <w:sz w:val="26"/>
          <w:szCs w:val="26"/>
          <w:lang w:eastAsia="hu-HU"/>
        </w:rPr>
        <w:t> </w:t>
      </w:r>
      <w:r w:rsidRPr="003E05FC">
        <w:rPr>
          <w:rFonts w:ascii="Times New Roman" w:eastAsia="Times New Roman" w:hAnsi="Times New Roman" w:cs="Times New Roman"/>
          <w:b/>
          <w:bCs/>
          <w:sz w:val="26"/>
          <w:szCs w:val="26"/>
          <w:lang w:eastAsia="hu-HU"/>
        </w:rPr>
        <w:t>lakástámogatások és az állami beruházási fejezet kiadásai.</w:t>
      </w:r>
    </w:p>
    <w:p w14:paraId="1660E392" w14:textId="2233ADA3" w:rsidR="00F46F72" w:rsidRPr="00AA3374" w:rsidRDefault="003E05FC" w:rsidP="003E05FC">
      <w:pPr>
        <w:jc w:val="both"/>
        <w:rPr>
          <w:rFonts w:ascii="Times New Roman" w:hAnsi="Times New Roman" w:cs="Times New Roman"/>
          <w:b/>
          <w:bCs/>
          <w:sz w:val="26"/>
          <w:szCs w:val="26"/>
        </w:rPr>
      </w:pPr>
      <w:r w:rsidRPr="003E05FC">
        <w:rPr>
          <w:rFonts w:ascii="Times New Roman" w:eastAsia="Times New Roman" w:hAnsi="Times New Roman" w:cs="Times New Roman"/>
          <w:b/>
          <w:bCs/>
          <w:sz w:val="26"/>
          <w:szCs w:val="26"/>
          <w:lang w:eastAsia="hu-HU"/>
        </w:rPr>
        <w:t xml:space="preserve">Meghaladták az egy évvel korábbi kifizetést a nyugellátásokra és a gyógyító-megelőző ellátásra fordított összegek is. </w:t>
      </w:r>
      <w:r w:rsidR="006B6725" w:rsidRPr="006B6725">
        <w:rPr>
          <w:rFonts w:ascii="Times New Roman" w:eastAsia="Times New Roman" w:hAnsi="Times New Roman" w:cs="Times New Roman"/>
          <w:b/>
          <w:bCs/>
          <w:sz w:val="26"/>
          <w:szCs w:val="26"/>
          <w:lang w:eastAsia="hu-HU"/>
        </w:rPr>
        <w:t xml:space="preserve">Nyugellátásokra és nyugdíjszerű ellátásokra </w:t>
      </w:r>
      <w:r w:rsidR="006B6725">
        <w:rPr>
          <w:rFonts w:ascii="Times New Roman" w:eastAsia="Times New Roman" w:hAnsi="Times New Roman" w:cs="Times New Roman"/>
          <w:b/>
          <w:bCs/>
          <w:sz w:val="26"/>
          <w:szCs w:val="26"/>
          <w:lang w:eastAsia="hu-HU"/>
        </w:rPr>
        <w:t>593,3 </w:t>
      </w:r>
      <w:r w:rsidRPr="003E05FC">
        <w:rPr>
          <w:rFonts w:ascii="Times New Roman" w:eastAsia="Times New Roman" w:hAnsi="Times New Roman" w:cs="Times New Roman"/>
          <w:b/>
          <w:bCs/>
          <w:sz w:val="26"/>
          <w:szCs w:val="26"/>
          <w:lang w:eastAsia="hu-HU"/>
        </w:rPr>
        <w:t>milliárd forint, míg a gyógyító-megelőző ellátásra 232,4 milliárd forint került kifizetésre január végéig</w:t>
      </w:r>
      <w:r w:rsidR="1D3ABBAA" w:rsidRPr="1D3ABBAA">
        <w:rPr>
          <w:rFonts w:ascii="Times New Roman" w:hAnsi="Times New Roman" w:cs="Times New Roman"/>
          <w:b/>
          <w:bCs/>
          <w:sz w:val="26"/>
          <w:szCs w:val="26"/>
        </w:rPr>
        <w:t>.</w:t>
      </w:r>
    </w:p>
    <w:p w14:paraId="71AFDEF8" w14:textId="3B5B65E0" w:rsidR="00C35E13" w:rsidRDefault="003E05FC" w:rsidP="003415FE">
      <w:pPr>
        <w:pStyle w:val="NormlWeb"/>
        <w:spacing w:after="0" w:afterAutospacing="0"/>
        <w:jc w:val="center"/>
      </w:pPr>
      <w:r>
        <w:rPr>
          <w:noProof/>
        </w:rPr>
        <w:drawing>
          <wp:inline distT="0" distB="0" distL="0" distR="0" wp14:anchorId="3C602522" wp14:editId="51863F60">
            <wp:extent cx="5940124" cy="2371898"/>
            <wp:effectExtent l="0" t="0" r="3810" b="9525"/>
            <wp:docPr id="444176172" name="Kép 1" descr="A képen diagram, kör, képernyőkép, so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76172" name="Kép 1" descr="A képen diagram, kör, képernyőkép, sor látható&#10;&#10;Előfordulhat, hogy a mesterséges intelligencia által létrehozott tartalom helytelen."/>
                    <pic:cNvPicPr/>
                  </pic:nvPicPr>
                  <pic:blipFill>
                    <a:blip r:embed="rId18"/>
                    <a:stretch>
                      <a:fillRect/>
                    </a:stretch>
                  </pic:blipFill>
                  <pic:spPr>
                    <a:xfrm>
                      <a:off x="0" y="0"/>
                      <a:ext cx="5951475" cy="2376430"/>
                    </a:xfrm>
                    <a:prstGeom prst="rect">
                      <a:avLst/>
                    </a:prstGeom>
                  </pic:spPr>
                </pic:pic>
              </a:graphicData>
            </a:graphic>
          </wp:inline>
        </w:drawing>
      </w:r>
    </w:p>
    <w:p w14:paraId="53EF96F0" w14:textId="20507426" w:rsidR="00371825"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Az </w:t>
      </w:r>
      <w:r w:rsidRPr="1D3ABBAA">
        <w:rPr>
          <w:rFonts w:ascii="Times New Roman" w:eastAsia="Times New Roman" w:hAnsi="Times New Roman" w:cs="Times New Roman"/>
          <w:b/>
          <w:bCs/>
          <w:sz w:val="26"/>
          <w:szCs w:val="26"/>
        </w:rPr>
        <w:t>úthálózat rendelkezésre állási díjak</w:t>
      </w:r>
      <w:r w:rsidRPr="1D3ABBAA">
        <w:rPr>
          <w:rFonts w:ascii="Times New Roman" w:eastAsia="Times New Roman" w:hAnsi="Times New Roman" w:cs="Times New Roman"/>
          <w:sz w:val="26"/>
          <w:szCs w:val="26"/>
        </w:rPr>
        <w:t xml:space="preserve"> mérlegsor tartalmazza az M5, M6 autópálya rendelkezésre állási díjak, valamint a gyorsforgalmi úthálózat rendelkezésre állási díj előirányzatok kiadásait, amelynek összege 2026 első hónapjában 21,4 milliárd forint volt, ami 0,6 milliárd forinttal magasabban alakult a 2025. év azonos időszakához képest.</w:t>
      </w:r>
    </w:p>
    <w:p w14:paraId="182A3A7A" w14:textId="7651A5C8" w:rsidR="1EBF714E" w:rsidRPr="003772C6"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 </w:t>
      </w:r>
      <w:r w:rsidRPr="1D3ABBAA">
        <w:rPr>
          <w:rFonts w:ascii="Times New Roman" w:eastAsia="Times New Roman" w:hAnsi="Times New Roman" w:cs="Times New Roman"/>
          <w:b/>
          <w:bCs/>
          <w:sz w:val="26"/>
          <w:szCs w:val="26"/>
        </w:rPr>
        <w:t>közösségi közlekedés költségtérítés és támogatás</w:t>
      </w:r>
      <w:r w:rsidRPr="1D3ABBAA">
        <w:rPr>
          <w:rFonts w:ascii="Times New Roman" w:eastAsia="Times New Roman" w:hAnsi="Times New Roman" w:cs="Times New Roman"/>
          <w:sz w:val="26"/>
          <w:szCs w:val="26"/>
        </w:rPr>
        <w:t xml:space="preserve"> mérlegsor kiadásai 2026. január végéig 13,7 milliárd forintot tettek ki, amely nagyságrendileg megegyezik a megelőző év azonos időszaki teljesítésével.  A mérlegsoron belül kifizetés - mint a tavalyi évi hasonló időszakában - kizárólag a szociálpolitikai menetdíj támogatás vonatkozásában történt. Ennek oka, hogy a közlekedési közszolgáltatások költségtérítésének folyósítása még nem kezdődött meg. </w:t>
      </w:r>
    </w:p>
    <w:p w14:paraId="3B52873E" w14:textId="1BDC5196" w:rsidR="008D3E76"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 </w:t>
      </w:r>
      <w:r w:rsidRPr="1D3ABBAA">
        <w:rPr>
          <w:rFonts w:ascii="Times New Roman" w:eastAsia="Times New Roman" w:hAnsi="Times New Roman" w:cs="Times New Roman"/>
          <w:b/>
          <w:bCs/>
          <w:sz w:val="26"/>
          <w:szCs w:val="26"/>
        </w:rPr>
        <w:t>közüzemi szolgáltatások támogatása</w:t>
      </w:r>
      <w:r w:rsidRPr="1D3ABBAA">
        <w:rPr>
          <w:rFonts w:ascii="Times New Roman" w:eastAsia="Times New Roman" w:hAnsi="Times New Roman" w:cs="Times New Roman"/>
          <w:sz w:val="26"/>
          <w:szCs w:val="26"/>
        </w:rPr>
        <w:t xml:space="preserve"> mérlegsor tartalmazza a lakossági energia rezsivédelmi szolgáltatás, a rezsivédelmi készletezési szolgáltatás és a távhőszolgáltatók kompenzációjával kapcsolatos kiadásokat, valamint a Víziközmű-fejlesztési és Ellentételezési Alap kiadásait is. A közüzemi szolgáltatások támogatására fordított kiadások 2026. január végéig 56,4 milliárd forintot tettek ki. A mérlegsor jelenlegi teljesítése 125,2 milliárd forinttal alacsonyabb, mint a 2025. év azonos időszakában a közüzemi szolgáltatások teljesítésére fordított 181,6 milliárd forint, amely a kifizetések eltérő ütemezéséből fakadt.</w:t>
      </w:r>
    </w:p>
    <w:p w14:paraId="79E44A54" w14:textId="3419FB82" w:rsidR="0F03D9E1"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b/>
          <w:bCs/>
          <w:sz w:val="26"/>
          <w:szCs w:val="26"/>
          <w:lang w:eastAsia="hu-HU"/>
        </w:rPr>
        <w:lastRenderedPageBreak/>
        <w:t xml:space="preserve">Lakástámogatásokra </w:t>
      </w:r>
      <w:r w:rsidRPr="1D3ABBAA">
        <w:rPr>
          <w:rFonts w:ascii="Times New Roman" w:eastAsia="Times New Roman" w:hAnsi="Times New Roman" w:cs="Times New Roman"/>
          <w:sz w:val="26"/>
          <w:szCs w:val="26"/>
        </w:rPr>
        <w:t>fordított kiadások összege január végéig 24,1 milliárd forint volt, mely az előző év azonos időszakához viszonyítva 11,5 milliárd forinttal teljesült magasabban.</w:t>
      </w:r>
    </w:p>
    <w:p w14:paraId="671B8652" w14:textId="0AECDBF2" w:rsidR="1D3ABBAA" w:rsidRDefault="7E8CEE34" w:rsidP="1D3ABBAA">
      <w:pPr>
        <w:jc w:val="both"/>
      </w:pPr>
      <w:r w:rsidRPr="7E8CEE34">
        <w:rPr>
          <w:rFonts w:ascii="Times New Roman" w:eastAsia="Times New Roman" w:hAnsi="Times New Roman" w:cs="Times New Roman"/>
          <w:sz w:val="26"/>
          <w:szCs w:val="26"/>
        </w:rPr>
        <w:t xml:space="preserve">A </w:t>
      </w:r>
      <w:r w:rsidRPr="7E8CEE34">
        <w:rPr>
          <w:rFonts w:ascii="Times New Roman" w:eastAsia="Times New Roman" w:hAnsi="Times New Roman" w:cs="Times New Roman"/>
          <w:b/>
          <w:bCs/>
          <w:sz w:val="26"/>
          <w:szCs w:val="26"/>
        </w:rPr>
        <w:t>Nemzeti Család- és Szociálpolitikai Alap</w:t>
      </w:r>
      <w:r w:rsidRPr="7E8CEE34">
        <w:rPr>
          <w:rFonts w:ascii="Times New Roman" w:eastAsia="Times New Roman" w:hAnsi="Times New Roman" w:cs="Times New Roman"/>
          <w:sz w:val="26"/>
          <w:szCs w:val="26"/>
        </w:rPr>
        <w:t xml:space="preserve"> a családi támogatásokat, a korhatár alatti ellátásokat, a jövedelempótló és jövedelemkiegészítő szociális támogatásokat, valamint a</w:t>
      </w:r>
      <w:r w:rsidR="00D252B3">
        <w:rPr>
          <w:rFonts w:ascii="Times New Roman" w:eastAsia="Times New Roman" w:hAnsi="Times New Roman" w:cs="Times New Roman"/>
          <w:sz w:val="26"/>
          <w:szCs w:val="26"/>
        </w:rPr>
        <w:t> </w:t>
      </w:r>
      <w:r w:rsidRPr="7E8CEE34">
        <w:rPr>
          <w:rFonts w:ascii="Times New Roman" w:eastAsia="Times New Roman" w:hAnsi="Times New Roman" w:cs="Times New Roman"/>
          <w:sz w:val="26"/>
          <w:szCs w:val="26"/>
        </w:rPr>
        <w:t>különféle jogcímen adott térítéseket tartalmazza. A főbb támogatásokat a következő táblázat részletezi:</w:t>
      </w:r>
    </w:p>
    <w:p w14:paraId="46398944" w14:textId="2D482933" w:rsidR="00621840" w:rsidRDefault="1D3ABBAA" w:rsidP="003E05FC">
      <w:pPr>
        <w:spacing w:after="240"/>
        <w:jc w:val="center"/>
        <w:rPr>
          <w:rFonts w:ascii="Times New Roman" w:hAnsi="Times New Roman" w:cs="Times New Roman"/>
          <w:b/>
          <w:bCs/>
          <w:color w:val="000000" w:themeColor="text1"/>
        </w:rPr>
      </w:pPr>
      <w:r w:rsidRPr="1D3ABBAA">
        <w:rPr>
          <w:rFonts w:ascii="Times New Roman" w:hAnsi="Times New Roman" w:cs="Times New Roman"/>
          <w:b/>
          <w:bCs/>
          <w:color w:val="000000" w:themeColor="text1"/>
        </w:rPr>
        <w:t>A Nemzeti Család- és Szociálpolitikai Alap kiadásainak alakulása (milliárd forint)</w:t>
      </w:r>
    </w:p>
    <w:tbl>
      <w:tblPr>
        <w:tblW w:w="9238" w:type="dxa"/>
        <w:tblInd w:w="-5" w:type="dxa"/>
        <w:tblCellMar>
          <w:left w:w="70" w:type="dxa"/>
          <w:right w:w="70" w:type="dxa"/>
        </w:tblCellMar>
        <w:tblLook w:val="04A0" w:firstRow="1" w:lastRow="0" w:firstColumn="1" w:lastColumn="0" w:noHBand="0" w:noVBand="1"/>
      </w:tblPr>
      <w:tblGrid>
        <w:gridCol w:w="5720"/>
        <w:gridCol w:w="944"/>
        <w:gridCol w:w="991"/>
        <w:gridCol w:w="850"/>
        <w:gridCol w:w="733"/>
      </w:tblGrid>
      <w:tr w:rsidR="002E70D5" w:rsidRPr="002E70D5" w14:paraId="39BECF1A" w14:textId="77777777" w:rsidTr="7E8CEE34">
        <w:trPr>
          <w:trHeight w:val="280"/>
        </w:trPr>
        <w:tc>
          <w:tcPr>
            <w:tcW w:w="572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CB091D6" w14:textId="77777777" w:rsidR="002E70D5" w:rsidRPr="002E70D5" w:rsidRDefault="1D3ABBAA" w:rsidP="1D3ABBAA">
            <w:pPr>
              <w:spacing w:after="0"/>
              <w:jc w:val="center"/>
              <w:rPr>
                <w:rFonts w:ascii="Times New Roman" w:hAnsi="Times New Roman" w:cs="Times New Roman"/>
                <w:b/>
                <w:bCs/>
                <w:color w:val="000000" w:themeColor="text1"/>
              </w:rPr>
            </w:pPr>
            <w:r w:rsidRPr="1D3ABBAA">
              <w:rPr>
                <w:rFonts w:ascii="Times New Roman" w:hAnsi="Times New Roman" w:cs="Times New Roman"/>
                <w:b/>
                <w:bCs/>
                <w:color w:val="000000" w:themeColor="text1"/>
              </w:rPr>
              <w:t>Megnevezés</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6018B19" w14:textId="69784843" w:rsidR="002E70D5" w:rsidRPr="00212111" w:rsidRDefault="7E8CEE34" w:rsidP="1D3ABBAA">
            <w:pPr>
              <w:spacing w:after="0"/>
              <w:jc w:val="center"/>
            </w:pPr>
            <w:r w:rsidRPr="7E8CEE34">
              <w:rPr>
                <w:rFonts w:ascii="Times New Roman" w:eastAsia="Times New Roman" w:hAnsi="Times New Roman" w:cs="Times New Roman"/>
                <w:b/>
                <w:bCs/>
                <w:sz w:val="24"/>
                <w:szCs w:val="24"/>
              </w:rPr>
              <w:t xml:space="preserve">2025. </w:t>
            </w:r>
          </w:p>
          <w:p w14:paraId="3CD792E3" w14:textId="3ECAAB5D" w:rsidR="002E70D5" w:rsidRPr="00212111" w:rsidRDefault="7E8CEE34" w:rsidP="1D3ABBAA">
            <w:pPr>
              <w:spacing w:after="0"/>
              <w:jc w:val="center"/>
              <w:rPr>
                <w:rFonts w:ascii="Times New Roman" w:hAnsi="Times New Roman" w:cs="Times New Roman"/>
                <w:b/>
                <w:bCs/>
                <w:color w:val="000000" w:themeColor="text1"/>
              </w:rPr>
            </w:pPr>
            <w:r w:rsidRPr="7E8CEE34">
              <w:rPr>
                <w:rFonts w:ascii="Times New Roman" w:eastAsia="Times New Roman" w:hAnsi="Times New Roman" w:cs="Times New Roman"/>
                <w:b/>
                <w:bCs/>
                <w:sz w:val="24"/>
                <w:szCs w:val="24"/>
              </w:rPr>
              <w:t>I. hó</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2AE7A1" w14:textId="5BCDD6FD" w:rsidR="002E70D5" w:rsidRPr="00212111" w:rsidRDefault="7E8CEE34" w:rsidP="1D3ABBAA">
            <w:pPr>
              <w:spacing w:after="0"/>
              <w:jc w:val="center"/>
              <w:rPr>
                <w:rFonts w:ascii="Times New Roman" w:hAnsi="Times New Roman" w:cs="Times New Roman"/>
                <w:b/>
                <w:bCs/>
                <w:color w:val="000000" w:themeColor="text1"/>
              </w:rPr>
            </w:pPr>
            <w:r w:rsidRPr="7E8CEE34">
              <w:rPr>
                <w:rFonts w:ascii="Times New Roman" w:eastAsia="Times New Roman" w:hAnsi="Times New Roman" w:cs="Times New Roman"/>
                <w:b/>
                <w:bCs/>
                <w:sz w:val="24"/>
                <w:szCs w:val="24"/>
              </w:rPr>
              <w:t>2026.</w:t>
            </w:r>
            <w:r w:rsidR="1D3ABBAA">
              <w:br/>
            </w:r>
            <w:r w:rsidRPr="7E8CEE34">
              <w:rPr>
                <w:rFonts w:ascii="Times New Roman" w:eastAsia="Times New Roman" w:hAnsi="Times New Roman" w:cs="Times New Roman"/>
                <w:b/>
                <w:bCs/>
                <w:sz w:val="24"/>
                <w:szCs w:val="24"/>
              </w:rPr>
              <w:t xml:space="preserve"> I. hó</w:t>
            </w:r>
          </w:p>
        </w:tc>
        <w:tc>
          <w:tcPr>
            <w:tcW w:w="1583"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A04EB2C" w14:textId="77777777" w:rsidR="002E70D5" w:rsidRPr="00212111" w:rsidRDefault="1D3ABBAA" w:rsidP="1D3ABBAA">
            <w:pPr>
              <w:spacing w:after="0"/>
              <w:jc w:val="center"/>
              <w:rPr>
                <w:rFonts w:ascii="Times New Roman" w:hAnsi="Times New Roman" w:cs="Times New Roman"/>
                <w:b/>
                <w:bCs/>
                <w:color w:val="000000" w:themeColor="text1"/>
              </w:rPr>
            </w:pPr>
            <w:r w:rsidRPr="1D3ABBAA">
              <w:rPr>
                <w:rFonts w:ascii="Times New Roman" w:hAnsi="Times New Roman" w:cs="Times New Roman"/>
                <w:b/>
                <w:bCs/>
                <w:color w:val="000000" w:themeColor="text1"/>
              </w:rPr>
              <w:t>Eltérés</w:t>
            </w:r>
          </w:p>
        </w:tc>
      </w:tr>
      <w:tr w:rsidR="002E70D5" w:rsidRPr="002E70D5" w14:paraId="6BE2994C" w14:textId="77777777" w:rsidTr="7E8CEE34">
        <w:trPr>
          <w:trHeight w:val="473"/>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681BE34C" w14:textId="77777777" w:rsidR="002E70D5" w:rsidRPr="002E70D5" w:rsidRDefault="002E70D5" w:rsidP="00554C64">
            <w:pPr>
              <w:spacing w:after="0"/>
              <w:rPr>
                <w:rFonts w:ascii="Times New Roman" w:hAnsi="Times New Roman" w:cs="Times New Roman"/>
                <w:b/>
                <w:bCs/>
                <w:color w:val="000000"/>
              </w:rPr>
            </w:pPr>
          </w:p>
        </w:tc>
        <w:tc>
          <w:tcPr>
            <w:tcW w:w="944" w:type="dxa"/>
            <w:vMerge/>
            <w:tcBorders>
              <w:top w:val="single" w:sz="4" w:space="0" w:color="auto"/>
              <w:left w:val="single" w:sz="4" w:space="0" w:color="auto"/>
              <w:bottom w:val="single" w:sz="4" w:space="0" w:color="000000"/>
              <w:right w:val="single" w:sz="4" w:space="0" w:color="auto"/>
            </w:tcBorders>
            <w:vAlign w:val="center"/>
            <w:hideMark/>
          </w:tcPr>
          <w:p w14:paraId="10EBC60F" w14:textId="77777777" w:rsidR="002E70D5" w:rsidRPr="00212111" w:rsidRDefault="002E70D5" w:rsidP="00554C64">
            <w:pPr>
              <w:spacing w:after="0"/>
              <w:rPr>
                <w:rFonts w:ascii="Times New Roman" w:hAnsi="Times New Roman" w:cs="Times New Roman"/>
                <w:b/>
                <w:bCs/>
                <w:color w:val="00000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019F30F" w14:textId="77777777" w:rsidR="002E70D5" w:rsidRPr="00212111" w:rsidRDefault="002E70D5" w:rsidP="00554C64">
            <w:pPr>
              <w:spacing w:after="0"/>
              <w:rPr>
                <w:rFonts w:ascii="Times New Roman" w:hAnsi="Times New Roman" w:cs="Times New Roman"/>
                <w:b/>
                <w:bCs/>
                <w:color w:val="000000"/>
              </w:rPr>
            </w:pPr>
          </w:p>
        </w:tc>
        <w:tc>
          <w:tcPr>
            <w:tcW w:w="85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E8E5679" w14:textId="77777777" w:rsidR="002E70D5" w:rsidRPr="00212111" w:rsidRDefault="1D3ABBAA" w:rsidP="1D3ABBAA">
            <w:pPr>
              <w:spacing w:after="0"/>
              <w:jc w:val="center"/>
              <w:rPr>
                <w:rFonts w:ascii="Times New Roman" w:hAnsi="Times New Roman" w:cs="Times New Roman"/>
                <w:b/>
                <w:bCs/>
                <w:color w:val="000000" w:themeColor="text1"/>
              </w:rPr>
            </w:pPr>
            <w:r w:rsidRPr="1D3ABBAA">
              <w:rPr>
                <w:rFonts w:ascii="Times New Roman" w:hAnsi="Times New Roman" w:cs="Times New Roman"/>
                <w:b/>
                <w:bCs/>
                <w:color w:val="000000" w:themeColor="text1"/>
              </w:rPr>
              <w:t>Mrd Ft</w:t>
            </w:r>
          </w:p>
        </w:tc>
        <w:tc>
          <w:tcPr>
            <w:tcW w:w="73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598397E" w14:textId="77777777" w:rsidR="002E70D5" w:rsidRPr="00212111" w:rsidRDefault="1D3ABBAA" w:rsidP="1D3ABBAA">
            <w:pPr>
              <w:spacing w:after="0"/>
              <w:jc w:val="center"/>
              <w:rPr>
                <w:rFonts w:ascii="Times New Roman" w:hAnsi="Times New Roman" w:cs="Times New Roman"/>
                <w:b/>
                <w:bCs/>
                <w:color w:val="000000" w:themeColor="text1"/>
              </w:rPr>
            </w:pPr>
            <w:r w:rsidRPr="1D3ABBAA">
              <w:rPr>
                <w:rFonts w:ascii="Times New Roman" w:hAnsi="Times New Roman" w:cs="Times New Roman"/>
                <w:b/>
                <w:bCs/>
                <w:color w:val="000000" w:themeColor="text1"/>
              </w:rPr>
              <w:t>%</w:t>
            </w:r>
          </w:p>
        </w:tc>
      </w:tr>
      <w:tr w:rsidR="00374988" w:rsidRPr="002E70D5" w14:paraId="79BDD8E7"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6F1FE2A1" w14:textId="77777777" w:rsidR="00374988" w:rsidRPr="002E70D5" w:rsidRDefault="1D3ABBAA" w:rsidP="1D3ABBAA">
            <w:pPr>
              <w:spacing w:after="0"/>
              <w:rPr>
                <w:rFonts w:ascii="Times New Roman" w:hAnsi="Times New Roman" w:cs="Times New Roman"/>
                <w:b/>
                <w:bCs/>
                <w:color w:val="000000" w:themeColor="text1"/>
                <w:sz w:val="20"/>
                <w:szCs w:val="20"/>
              </w:rPr>
            </w:pPr>
            <w:r w:rsidRPr="1D3ABBAA">
              <w:rPr>
                <w:rFonts w:ascii="Times New Roman" w:hAnsi="Times New Roman" w:cs="Times New Roman"/>
                <w:b/>
                <w:bCs/>
                <w:color w:val="000000" w:themeColor="text1"/>
                <w:sz w:val="20"/>
                <w:szCs w:val="20"/>
              </w:rPr>
              <w:t>Családi támogatások</w:t>
            </w:r>
          </w:p>
        </w:tc>
        <w:tc>
          <w:tcPr>
            <w:tcW w:w="944" w:type="dxa"/>
            <w:tcBorders>
              <w:top w:val="single" w:sz="4" w:space="0" w:color="auto"/>
              <w:left w:val="single" w:sz="4" w:space="0" w:color="auto"/>
              <w:bottom w:val="single" w:sz="4" w:space="0" w:color="auto"/>
              <w:right w:val="single" w:sz="4" w:space="0" w:color="auto"/>
            </w:tcBorders>
            <w:noWrap/>
            <w:vAlign w:val="bottom"/>
            <w:hideMark/>
          </w:tcPr>
          <w:p w14:paraId="35463B97" w14:textId="6891D234" w:rsidR="00374988" w:rsidRPr="00374988" w:rsidRDefault="7E8CEE34" w:rsidP="1D3ABBAA">
            <w:pPr>
              <w:spacing w:after="0"/>
              <w:jc w:val="right"/>
              <w:rPr>
                <w:rFonts w:ascii="Times New Roman" w:hAnsi="Times New Roman" w:cs="Times New Roman"/>
                <w:b/>
                <w:bCs/>
                <w:sz w:val="20"/>
                <w:szCs w:val="20"/>
              </w:rPr>
            </w:pPr>
            <w:r w:rsidRPr="7E8CEE34">
              <w:rPr>
                <w:rFonts w:ascii="Times New Roman" w:hAnsi="Times New Roman" w:cs="Times New Roman"/>
                <w:b/>
                <w:bCs/>
                <w:sz w:val="20"/>
                <w:szCs w:val="20"/>
              </w:rPr>
              <w:t>32,7</w:t>
            </w:r>
          </w:p>
        </w:tc>
        <w:tc>
          <w:tcPr>
            <w:tcW w:w="991" w:type="dxa"/>
            <w:tcBorders>
              <w:top w:val="single" w:sz="4" w:space="0" w:color="auto"/>
              <w:left w:val="nil"/>
              <w:bottom w:val="single" w:sz="4" w:space="0" w:color="auto"/>
              <w:right w:val="single" w:sz="4" w:space="0" w:color="auto"/>
            </w:tcBorders>
            <w:noWrap/>
            <w:vAlign w:val="bottom"/>
            <w:hideMark/>
          </w:tcPr>
          <w:p w14:paraId="6268E87E" w14:textId="383CECF7" w:rsidR="00374988" w:rsidRPr="00374988" w:rsidRDefault="7E8CEE34" w:rsidP="1D3ABBAA">
            <w:pPr>
              <w:spacing w:after="0"/>
              <w:jc w:val="right"/>
              <w:rPr>
                <w:rFonts w:ascii="Times New Roman" w:hAnsi="Times New Roman" w:cs="Times New Roman"/>
                <w:b/>
                <w:bCs/>
                <w:sz w:val="20"/>
                <w:szCs w:val="20"/>
              </w:rPr>
            </w:pPr>
            <w:r w:rsidRPr="7E8CEE34">
              <w:rPr>
                <w:rFonts w:ascii="Times New Roman" w:hAnsi="Times New Roman" w:cs="Times New Roman"/>
                <w:b/>
                <w:bCs/>
                <w:sz w:val="20"/>
                <w:szCs w:val="20"/>
              </w:rPr>
              <w:t>31,9</w:t>
            </w:r>
          </w:p>
        </w:tc>
        <w:tc>
          <w:tcPr>
            <w:tcW w:w="850" w:type="dxa"/>
            <w:tcBorders>
              <w:top w:val="single" w:sz="4" w:space="0" w:color="auto"/>
              <w:left w:val="nil"/>
              <w:bottom w:val="single" w:sz="4" w:space="0" w:color="auto"/>
              <w:right w:val="single" w:sz="4" w:space="0" w:color="auto"/>
            </w:tcBorders>
            <w:noWrap/>
            <w:vAlign w:val="bottom"/>
            <w:hideMark/>
          </w:tcPr>
          <w:p w14:paraId="6DAC2567" w14:textId="76497FB0"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-0,8</w:t>
            </w:r>
          </w:p>
        </w:tc>
        <w:tc>
          <w:tcPr>
            <w:tcW w:w="733" w:type="dxa"/>
            <w:tcBorders>
              <w:top w:val="single" w:sz="4" w:space="0" w:color="auto"/>
              <w:left w:val="nil"/>
              <w:bottom w:val="single" w:sz="4" w:space="0" w:color="auto"/>
              <w:right w:val="single" w:sz="4" w:space="0" w:color="auto"/>
            </w:tcBorders>
            <w:noWrap/>
            <w:vAlign w:val="bottom"/>
            <w:hideMark/>
          </w:tcPr>
          <w:p w14:paraId="0023D563" w14:textId="43804250"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97,6</w:t>
            </w:r>
          </w:p>
        </w:tc>
      </w:tr>
      <w:tr w:rsidR="00374988" w:rsidRPr="002E70D5" w14:paraId="5AF1064F"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033720FE" w14:textId="77777777" w:rsidR="00374988" w:rsidRPr="002E70D5" w:rsidRDefault="1D3ABBAA" w:rsidP="1D3ABBAA">
            <w:pPr>
              <w:spacing w:after="0"/>
              <w:ind w:firstLineChars="100" w:firstLine="2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Ebből:</w:t>
            </w:r>
          </w:p>
        </w:tc>
        <w:tc>
          <w:tcPr>
            <w:tcW w:w="944" w:type="dxa"/>
            <w:tcBorders>
              <w:top w:val="nil"/>
              <w:left w:val="single" w:sz="4" w:space="0" w:color="auto"/>
              <w:bottom w:val="single" w:sz="4" w:space="0" w:color="auto"/>
              <w:right w:val="single" w:sz="4" w:space="0" w:color="auto"/>
            </w:tcBorders>
            <w:noWrap/>
            <w:vAlign w:val="bottom"/>
            <w:hideMark/>
          </w:tcPr>
          <w:p w14:paraId="74F95091" w14:textId="4590963A"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 </w:t>
            </w:r>
          </w:p>
        </w:tc>
        <w:tc>
          <w:tcPr>
            <w:tcW w:w="991" w:type="dxa"/>
            <w:tcBorders>
              <w:top w:val="nil"/>
              <w:left w:val="nil"/>
              <w:bottom w:val="single" w:sz="4" w:space="0" w:color="auto"/>
              <w:right w:val="single" w:sz="4" w:space="0" w:color="auto"/>
            </w:tcBorders>
            <w:noWrap/>
            <w:vAlign w:val="bottom"/>
            <w:hideMark/>
          </w:tcPr>
          <w:p w14:paraId="1B94AF89" w14:textId="6913A339"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noWrap/>
            <w:vAlign w:val="bottom"/>
            <w:hideMark/>
          </w:tcPr>
          <w:p w14:paraId="321ED1B1" w14:textId="3F4F8FB1"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 </w:t>
            </w:r>
          </w:p>
        </w:tc>
        <w:tc>
          <w:tcPr>
            <w:tcW w:w="733" w:type="dxa"/>
            <w:tcBorders>
              <w:top w:val="nil"/>
              <w:left w:val="nil"/>
              <w:bottom w:val="single" w:sz="4" w:space="0" w:color="auto"/>
              <w:right w:val="single" w:sz="4" w:space="0" w:color="auto"/>
            </w:tcBorders>
            <w:noWrap/>
            <w:vAlign w:val="bottom"/>
            <w:hideMark/>
          </w:tcPr>
          <w:p w14:paraId="635F529C" w14:textId="7134DA12"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 </w:t>
            </w:r>
          </w:p>
        </w:tc>
      </w:tr>
      <w:tr w:rsidR="00374988" w:rsidRPr="002E70D5" w14:paraId="189AA6D7"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6B8BE428" w14:textId="77777777" w:rsidR="00374988" w:rsidRPr="002E70D5" w:rsidRDefault="1D3ABBAA" w:rsidP="1D3ABBAA">
            <w:pPr>
              <w:spacing w:after="0"/>
              <w:ind w:firstLineChars="400" w:firstLine="8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családi pótlék</w:t>
            </w:r>
          </w:p>
        </w:tc>
        <w:tc>
          <w:tcPr>
            <w:tcW w:w="944" w:type="dxa"/>
            <w:tcBorders>
              <w:top w:val="nil"/>
              <w:left w:val="single" w:sz="4" w:space="0" w:color="auto"/>
              <w:bottom w:val="single" w:sz="4" w:space="0" w:color="auto"/>
              <w:right w:val="single" w:sz="4" w:space="0" w:color="auto"/>
            </w:tcBorders>
            <w:noWrap/>
            <w:vAlign w:val="bottom"/>
            <w:hideMark/>
          </w:tcPr>
          <w:p w14:paraId="70BCBC1A" w14:textId="0A9BEC4E"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25,1</w:t>
            </w:r>
          </w:p>
        </w:tc>
        <w:tc>
          <w:tcPr>
            <w:tcW w:w="991" w:type="dxa"/>
            <w:tcBorders>
              <w:top w:val="nil"/>
              <w:left w:val="nil"/>
              <w:bottom w:val="single" w:sz="4" w:space="0" w:color="auto"/>
              <w:right w:val="single" w:sz="4" w:space="0" w:color="auto"/>
            </w:tcBorders>
            <w:noWrap/>
            <w:vAlign w:val="bottom"/>
            <w:hideMark/>
          </w:tcPr>
          <w:p w14:paraId="13892F1A" w14:textId="0452E7EF"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24,7</w:t>
            </w:r>
          </w:p>
        </w:tc>
        <w:tc>
          <w:tcPr>
            <w:tcW w:w="850" w:type="dxa"/>
            <w:tcBorders>
              <w:top w:val="nil"/>
              <w:left w:val="nil"/>
              <w:bottom w:val="single" w:sz="4" w:space="0" w:color="auto"/>
              <w:right w:val="single" w:sz="4" w:space="0" w:color="auto"/>
            </w:tcBorders>
            <w:noWrap/>
            <w:vAlign w:val="bottom"/>
            <w:hideMark/>
          </w:tcPr>
          <w:p w14:paraId="10E0C374" w14:textId="3E868810"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-0,4</w:t>
            </w:r>
          </w:p>
        </w:tc>
        <w:tc>
          <w:tcPr>
            <w:tcW w:w="733" w:type="dxa"/>
            <w:tcBorders>
              <w:top w:val="nil"/>
              <w:left w:val="nil"/>
              <w:bottom w:val="single" w:sz="4" w:space="0" w:color="auto"/>
              <w:right w:val="single" w:sz="4" w:space="0" w:color="auto"/>
            </w:tcBorders>
            <w:noWrap/>
            <w:vAlign w:val="bottom"/>
            <w:hideMark/>
          </w:tcPr>
          <w:p w14:paraId="19B6E5CD" w14:textId="16ACC701"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98,4</w:t>
            </w:r>
          </w:p>
        </w:tc>
      </w:tr>
      <w:tr w:rsidR="00374988" w:rsidRPr="002E70D5" w14:paraId="5E22A8DD"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7FFF56E0" w14:textId="77777777" w:rsidR="00374988" w:rsidRPr="002E70D5" w:rsidRDefault="1D3ABBAA" w:rsidP="1D3ABBAA">
            <w:pPr>
              <w:spacing w:after="0"/>
              <w:ind w:firstLineChars="400" w:firstLine="8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anyasági támogatás</w:t>
            </w:r>
          </w:p>
        </w:tc>
        <w:tc>
          <w:tcPr>
            <w:tcW w:w="944" w:type="dxa"/>
            <w:tcBorders>
              <w:top w:val="nil"/>
              <w:left w:val="single" w:sz="4" w:space="0" w:color="auto"/>
              <w:bottom w:val="single" w:sz="4" w:space="0" w:color="auto"/>
              <w:right w:val="single" w:sz="4" w:space="0" w:color="auto"/>
            </w:tcBorders>
            <w:noWrap/>
            <w:vAlign w:val="bottom"/>
            <w:hideMark/>
          </w:tcPr>
          <w:p w14:paraId="01B4C83D" w14:textId="1815497C"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0,5</w:t>
            </w:r>
          </w:p>
        </w:tc>
        <w:tc>
          <w:tcPr>
            <w:tcW w:w="991" w:type="dxa"/>
            <w:tcBorders>
              <w:top w:val="nil"/>
              <w:left w:val="nil"/>
              <w:bottom w:val="single" w:sz="4" w:space="0" w:color="auto"/>
              <w:right w:val="single" w:sz="4" w:space="0" w:color="auto"/>
            </w:tcBorders>
            <w:noWrap/>
            <w:vAlign w:val="bottom"/>
            <w:hideMark/>
          </w:tcPr>
          <w:p w14:paraId="0F727F31" w14:textId="38192BEC"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0,4</w:t>
            </w:r>
          </w:p>
        </w:tc>
        <w:tc>
          <w:tcPr>
            <w:tcW w:w="850" w:type="dxa"/>
            <w:tcBorders>
              <w:top w:val="nil"/>
              <w:left w:val="nil"/>
              <w:bottom w:val="single" w:sz="4" w:space="0" w:color="auto"/>
              <w:right w:val="single" w:sz="4" w:space="0" w:color="auto"/>
            </w:tcBorders>
            <w:noWrap/>
            <w:vAlign w:val="bottom"/>
            <w:hideMark/>
          </w:tcPr>
          <w:p w14:paraId="368622AA" w14:textId="62392D10"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-0,1</w:t>
            </w:r>
          </w:p>
        </w:tc>
        <w:tc>
          <w:tcPr>
            <w:tcW w:w="733" w:type="dxa"/>
            <w:tcBorders>
              <w:top w:val="nil"/>
              <w:left w:val="nil"/>
              <w:bottom w:val="single" w:sz="4" w:space="0" w:color="auto"/>
              <w:right w:val="single" w:sz="4" w:space="0" w:color="auto"/>
            </w:tcBorders>
            <w:noWrap/>
            <w:vAlign w:val="bottom"/>
            <w:hideMark/>
          </w:tcPr>
          <w:p w14:paraId="52ECB683" w14:textId="3503FB5A"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80,0</w:t>
            </w:r>
          </w:p>
        </w:tc>
      </w:tr>
      <w:tr w:rsidR="00374988" w:rsidRPr="002E70D5" w14:paraId="660813D3" w14:textId="77777777" w:rsidTr="7E8CEE34">
        <w:trPr>
          <w:trHeight w:val="218"/>
        </w:trPr>
        <w:tc>
          <w:tcPr>
            <w:tcW w:w="5720" w:type="dxa"/>
            <w:tcBorders>
              <w:top w:val="nil"/>
              <w:left w:val="single" w:sz="4" w:space="0" w:color="auto"/>
              <w:bottom w:val="single" w:sz="4" w:space="0" w:color="auto"/>
              <w:right w:val="single" w:sz="4" w:space="0" w:color="auto"/>
            </w:tcBorders>
            <w:vAlign w:val="center"/>
            <w:hideMark/>
          </w:tcPr>
          <w:p w14:paraId="72B507FD" w14:textId="77777777" w:rsidR="00374988" w:rsidRPr="002E70D5" w:rsidRDefault="1D3ABBAA" w:rsidP="1D3ABBAA">
            <w:pPr>
              <w:spacing w:after="0"/>
              <w:ind w:firstLineChars="400" w:firstLine="8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gyermekgondozást segítő ellátás</w:t>
            </w:r>
          </w:p>
        </w:tc>
        <w:tc>
          <w:tcPr>
            <w:tcW w:w="944" w:type="dxa"/>
            <w:tcBorders>
              <w:top w:val="nil"/>
              <w:left w:val="single" w:sz="4" w:space="0" w:color="auto"/>
              <w:bottom w:val="single" w:sz="4" w:space="0" w:color="auto"/>
              <w:right w:val="single" w:sz="4" w:space="0" w:color="auto"/>
            </w:tcBorders>
            <w:noWrap/>
            <w:vAlign w:val="bottom"/>
            <w:hideMark/>
          </w:tcPr>
          <w:p w14:paraId="26006FB8" w14:textId="4E248020"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4,4</w:t>
            </w:r>
          </w:p>
        </w:tc>
        <w:tc>
          <w:tcPr>
            <w:tcW w:w="991" w:type="dxa"/>
            <w:tcBorders>
              <w:top w:val="nil"/>
              <w:left w:val="nil"/>
              <w:bottom w:val="single" w:sz="4" w:space="0" w:color="auto"/>
              <w:right w:val="single" w:sz="4" w:space="0" w:color="auto"/>
            </w:tcBorders>
            <w:noWrap/>
            <w:vAlign w:val="bottom"/>
            <w:hideMark/>
          </w:tcPr>
          <w:p w14:paraId="79CAB497" w14:textId="145A9934"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4,3</w:t>
            </w:r>
          </w:p>
        </w:tc>
        <w:tc>
          <w:tcPr>
            <w:tcW w:w="850" w:type="dxa"/>
            <w:tcBorders>
              <w:top w:val="nil"/>
              <w:left w:val="nil"/>
              <w:bottom w:val="single" w:sz="4" w:space="0" w:color="auto"/>
              <w:right w:val="single" w:sz="4" w:space="0" w:color="auto"/>
            </w:tcBorders>
            <w:noWrap/>
            <w:vAlign w:val="bottom"/>
            <w:hideMark/>
          </w:tcPr>
          <w:p w14:paraId="707F0162" w14:textId="11779CAA"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-0,1</w:t>
            </w:r>
          </w:p>
        </w:tc>
        <w:tc>
          <w:tcPr>
            <w:tcW w:w="733" w:type="dxa"/>
            <w:tcBorders>
              <w:top w:val="nil"/>
              <w:left w:val="nil"/>
              <w:bottom w:val="single" w:sz="4" w:space="0" w:color="auto"/>
              <w:right w:val="single" w:sz="4" w:space="0" w:color="auto"/>
            </w:tcBorders>
            <w:noWrap/>
            <w:vAlign w:val="bottom"/>
            <w:hideMark/>
          </w:tcPr>
          <w:p w14:paraId="5365089B" w14:textId="493D3B0F"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97,7</w:t>
            </w:r>
          </w:p>
        </w:tc>
      </w:tr>
      <w:tr w:rsidR="00374988" w:rsidRPr="002E70D5" w14:paraId="54D4B8EA" w14:textId="77777777" w:rsidTr="7E8CEE34">
        <w:trPr>
          <w:trHeight w:val="218"/>
        </w:trPr>
        <w:tc>
          <w:tcPr>
            <w:tcW w:w="5720" w:type="dxa"/>
            <w:tcBorders>
              <w:top w:val="nil"/>
              <w:left w:val="single" w:sz="4" w:space="0" w:color="auto"/>
              <w:bottom w:val="single" w:sz="4" w:space="0" w:color="auto"/>
              <w:right w:val="single" w:sz="4" w:space="0" w:color="auto"/>
            </w:tcBorders>
            <w:vAlign w:val="center"/>
            <w:hideMark/>
          </w:tcPr>
          <w:p w14:paraId="5EED669C" w14:textId="77777777" w:rsidR="00374988" w:rsidRPr="002E70D5" w:rsidRDefault="1D3ABBAA" w:rsidP="1D3ABBAA">
            <w:pPr>
              <w:spacing w:after="0"/>
              <w:ind w:firstLineChars="400" w:firstLine="8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gyermeknevelési támogatás</w:t>
            </w:r>
          </w:p>
        </w:tc>
        <w:tc>
          <w:tcPr>
            <w:tcW w:w="944" w:type="dxa"/>
            <w:tcBorders>
              <w:top w:val="nil"/>
              <w:left w:val="single" w:sz="4" w:space="0" w:color="auto"/>
              <w:bottom w:val="single" w:sz="4" w:space="0" w:color="auto"/>
              <w:right w:val="single" w:sz="4" w:space="0" w:color="auto"/>
            </w:tcBorders>
            <w:noWrap/>
            <w:vAlign w:val="bottom"/>
            <w:hideMark/>
          </w:tcPr>
          <w:p w14:paraId="54864A29" w14:textId="68D98B64"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0,8</w:t>
            </w:r>
          </w:p>
        </w:tc>
        <w:tc>
          <w:tcPr>
            <w:tcW w:w="991" w:type="dxa"/>
            <w:tcBorders>
              <w:top w:val="nil"/>
              <w:left w:val="nil"/>
              <w:bottom w:val="single" w:sz="4" w:space="0" w:color="auto"/>
              <w:right w:val="single" w:sz="4" w:space="0" w:color="auto"/>
            </w:tcBorders>
            <w:noWrap/>
            <w:vAlign w:val="bottom"/>
            <w:hideMark/>
          </w:tcPr>
          <w:p w14:paraId="3ED7D86B" w14:textId="7B2323CF"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0,7</w:t>
            </w:r>
          </w:p>
        </w:tc>
        <w:tc>
          <w:tcPr>
            <w:tcW w:w="850" w:type="dxa"/>
            <w:tcBorders>
              <w:top w:val="nil"/>
              <w:left w:val="nil"/>
              <w:bottom w:val="single" w:sz="4" w:space="0" w:color="auto"/>
              <w:right w:val="single" w:sz="4" w:space="0" w:color="auto"/>
            </w:tcBorders>
            <w:noWrap/>
            <w:vAlign w:val="bottom"/>
            <w:hideMark/>
          </w:tcPr>
          <w:p w14:paraId="79964C52" w14:textId="39FC3388"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-0,1</w:t>
            </w:r>
          </w:p>
        </w:tc>
        <w:tc>
          <w:tcPr>
            <w:tcW w:w="733" w:type="dxa"/>
            <w:tcBorders>
              <w:top w:val="nil"/>
              <w:left w:val="nil"/>
              <w:bottom w:val="single" w:sz="4" w:space="0" w:color="auto"/>
              <w:right w:val="single" w:sz="4" w:space="0" w:color="auto"/>
            </w:tcBorders>
            <w:noWrap/>
            <w:vAlign w:val="bottom"/>
            <w:hideMark/>
          </w:tcPr>
          <w:p w14:paraId="15FAE29F" w14:textId="0C9452A0"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87,5</w:t>
            </w:r>
          </w:p>
        </w:tc>
      </w:tr>
      <w:tr w:rsidR="00374988" w:rsidRPr="002E70D5" w14:paraId="0932D838" w14:textId="77777777" w:rsidTr="7E8CEE34">
        <w:trPr>
          <w:trHeight w:val="218"/>
        </w:trPr>
        <w:tc>
          <w:tcPr>
            <w:tcW w:w="5720" w:type="dxa"/>
            <w:tcBorders>
              <w:top w:val="nil"/>
              <w:left w:val="single" w:sz="4" w:space="0" w:color="auto"/>
              <w:bottom w:val="single" w:sz="4" w:space="0" w:color="auto"/>
              <w:right w:val="single" w:sz="4" w:space="0" w:color="auto"/>
            </w:tcBorders>
            <w:vAlign w:val="center"/>
            <w:hideMark/>
          </w:tcPr>
          <w:p w14:paraId="7FC6C9F6" w14:textId="77777777" w:rsidR="00374988" w:rsidRPr="002E70D5" w:rsidRDefault="1D3ABBAA" w:rsidP="1D3ABBAA">
            <w:pPr>
              <w:spacing w:after="0"/>
              <w:ind w:firstLineChars="400" w:firstLine="8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gyermekek születésével kapcsolatos szabadság megtérítése</w:t>
            </w:r>
          </w:p>
        </w:tc>
        <w:tc>
          <w:tcPr>
            <w:tcW w:w="944" w:type="dxa"/>
            <w:tcBorders>
              <w:top w:val="nil"/>
              <w:left w:val="single" w:sz="4" w:space="0" w:color="auto"/>
              <w:bottom w:val="single" w:sz="4" w:space="0" w:color="auto"/>
              <w:right w:val="single" w:sz="4" w:space="0" w:color="auto"/>
            </w:tcBorders>
            <w:noWrap/>
            <w:vAlign w:val="bottom"/>
            <w:hideMark/>
          </w:tcPr>
          <w:p w14:paraId="083EE439" w14:textId="23F0F6C3"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1,4</w:t>
            </w:r>
          </w:p>
        </w:tc>
        <w:tc>
          <w:tcPr>
            <w:tcW w:w="991" w:type="dxa"/>
            <w:tcBorders>
              <w:top w:val="nil"/>
              <w:left w:val="nil"/>
              <w:bottom w:val="single" w:sz="4" w:space="0" w:color="auto"/>
              <w:right w:val="single" w:sz="4" w:space="0" w:color="auto"/>
            </w:tcBorders>
            <w:noWrap/>
            <w:vAlign w:val="bottom"/>
            <w:hideMark/>
          </w:tcPr>
          <w:p w14:paraId="6FC609F0" w14:textId="59FA01F9"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1,3</w:t>
            </w:r>
          </w:p>
        </w:tc>
        <w:tc>
          <w:tcPr>
            <w:tcW w:w="850" w:type="dxa"/>
            <w:tcBorders>
              <w:top w:val="nil"/>
              <w:left w:val="nil"/>
              <w:bottom w:val="single" w:sz="4" w:space="0" w:color="auto"/>
              <w:right w:val="single" w:sz="4" w:space="0" w:color="auto"/>
            </w:tcBorders>
            <w:noWrap/>
            <w:vAlign w:val="bottom"/>
            <w:hideMark/>
          </w:tcPr>
          <w:p w14:paraId="498B19B9" w14:textId="6264106D" w:rsidR="00374988" w:rsidRPr="00374988" w:rsidRDefault="00374988" w:rsidP="1D3ABBAA">
            <w:pPr>
              <w:spacing w:after="0"/>
              <w:jc w:val="right"/>
              <w:rPr>
                <w:rFonts w:ascii="Times New Roman" w:hAnsi="Times New Roman" w:cs="Times New Roman"/>
                <w:sz w:val="20"/>
                <w:szCs w:val="20"/>
              </w:rPr>
            </w:pPr>
          </w:p>
          <w:p w14:paraId="1B7834F9" w14:textId="254B4615" w:rsidR="00374988" w:rsidRPr="00374988" w:rsidRDefault="7E8CEE34" w:rsidP="1D3ABBAA">
            <w:pPr>
              <w:spacing w:after="0"/>
              <w:jc w:val="right"/>
              <w:rPr>
                <w:rFonts w:ascii="Times New Roman" w:hAnsi="Times New Roman" w:cs="Times New Roman"/>
                <w:sz w:val="20"/>
                <w:szCs w:val="20"/>
              </w:rPr>
            </w:pPr>
            <w:r w:rsidRPr="7E8CEE34">
              <w:rPr>
                <w:rFonts w:ascii="Times New Roman" w:hAnsi="Times New Roman" w:cs="Times New Roman"/>
                <w:sz w:val="20"/>
                <w:szCs w:val="20"/>
              </w:rPr>
              <w:t>-0,1</w:t>
            </w:r>
          </w:p>
        </w:tc>
        <w:tc>
          <w:tcPr>
            <w:tcW w:w="733" w:type="dxa"/>
            <w:tcBorders>
              <w:top w:val="nil"/>
              <w:left w:val="nil"/>
              <w:bottom w:val="single" w:sz="4" w:space="0" w:color="auto"/>
              <w:right w:val="single" w:sz="4" w:space="0" w:color="auto"/>
            </w:tcBorders>
            <w:noWrap/>
            <w:vAlign w:val="bottom"/>
            <w:hideMark/>
          </w:tcPr>
          <w:p w14:paraId="6D9506CD" w14:textId="4C9C1077"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92,9</w:t>
            </w:r>
          </w:p>
        </w:tc>
      </w:tr>
      <w:tr w:rsidR="00374988" w:rsidRPr="002E70D5" w14:paraId="5C1FD170" w14:textId="77777777" w:rsidTr="7E8CEE34">
        <w:trPr>
          <w:trHeight w:val="218"/>
        </w:trPr>
        <w:tc>
          <w:tcPr>
            <w:tcW w:w="5720" w:type="dxa"/>
            <w:tcBorders>
              <w:top w:val="nil"/>
              <w:left w:val="single" w:sz="4" w:space="0" w:color="auto"/>
              <w:bottom w:val="single" w:sz="4" w:space="0" w:color="auto"/>
              <w:right w:val="single" w:sz="4" w:space="0" w:color="auto"/>
            </w:tcBorders>
            <w:vAlign w:val="center"/>
            <w:hideMark/>
          </w:tcPr>
          <w:p w14:paraId="7E9D85A0" w14:textId="77777777" w:rsidR="00374988" w:rsidRPr="002E70D5" w:rsidRDefault="1D3ABBAA" w:rsidP="1D3ABBAA">
            <w:pPr>
              <w:spacing w:after="0"/>
              <w:ind w:firstLineChars="400" w:firstLine="8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életkezdési támogatás</w:t>
            </w:r>
          </w:p>
        </w:tc>
        <w:tc>
          <w:tcPr>
            <w:tcW w:w="944" w:type="dxa"/>
            <w:tcBorders>
              <w:top w:val="nil"/>
              <w:left w:val="single" w:sz="4" w:space="0" w:color="auto"/>
              <w:bottom w:val="single" w:sz="4" w:space="0" w:color="auto"/>
              <w:right w:val="single" w:sz="4" w:space="0" w:color="auto"/>
            </w:tcBorders>
            <w:noWrap/>
            <w:vAlign w:val="bottom"/>
            <w:hideMark/>
          </w:tcPr>
          <w:p w14:paraId="7C1C4E8C" w14:textId="0864DC3D"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0,5</w:t>
            </w:r>
          </w:p>
        </w:tc>
        <w:tc>
          <w:tcPr>
            <w:tcW w:w="991" w:type="dxa"/>
            <w:tcBorders>
              <w:top w:val="nil"/>
              <w:left w:val="nil"/>
              <w:bottom w:val="single" w:sz="4" w:space="0" w:color="auto"/>
              <w:right w:val="single" w:sz="4" w:space="0" w:color="auto"/>
            </w:tcBorders>
            <w:noWrap/>
            <w:vAlign w:val="bottom"/>
            <w:hideMark/>
          </w:tcPr>
          <w:p w14:paraId="64FE41C6" w14:textId="1898BD4E"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0,4</w:t>
            </w:r>
          </w:p>
        </w:tc>
        <w:tc>
          <w:tcPr>
            <w:tcW w:w="850" w:type="dxa"/>
            <w:tcBorders>
              <w:top w:val="nil"/>
              <w:left w:val="nil"/>
              <w:bottom w:val="single" w:sz="4" w:space="0" w:color="auto"/>
              <w:right w:val="single" w:sz="4" w:space="0" w:color="auto"/>
            </w:tcBorders>
            <w:noWrap/>
            <w:vAlign w:val="bottom"/>
            <w:hideMark/>
          </w:tcPr>
          <w:p w14:paraId="092E3EF2" w14:textId="38C4A258"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-0,1</w:t>
            </w:r>
          </w:p>
        </w:tc>
        <w:tc>
          <w:tcPr>
            <w:tcW w:w="733" w:type="dxa"/>
            <w:tcBorders>
              <w:top w:val="nil"/>
              <w:left w:val="nil"/>
              <w:bottom w:val="single" w:sz="4" w:space="0" w:color="auto"/>
              <w:right w:val="single" w:sz="4" w:space="0" w:color="auto"/>
            </w:tcBorders>
            <w:noWrap/>
            <w:vAlign w:val="bottom"/>
            <w:hideMark/>
          </w:tcPr>
          <w:p w14:paraId="4E31809C" w14:textId="09698071"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80,0</w:t>
            </w:r>
          </w:p>
        </w:tc>
      </w:tr>
      <w:tr w:rsidR="00374988" w:rsidRPr="002E70D5" w14:paraId="5B535E4D"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4BB29DB0" w14:textId="77777777" w:rsidR="00374988" w:rsidRPr="002E70D5" w:rsidRDefault="1D3ABBAA" w:rsidP="1D3ABBAA">
            <w:pPr>
              <w:spacing w:after="0"/>
              <w:rPr>
                <w:rFonts w:ascii="Times New Roman" w:hAnsi="Times New Roman" w:cs="Times New Roman"/>
                <w:b/>
                <w:bCs/>
                <w:color w:val="000000" w:themeColor="text1"/>
                <w:sz w:val="20"/>
                <w:szCs w:val="20"/>
              </w:rPr>
            </w:pPr>
            <w:r w:rsidRPr="1D3ABBAA">
              <w:rPr>
                <w:rFonts w:ascii="Times New Roman" w:hAnsi="Times New Roman" w:cs="Times New Roman"/>
                <w:b/>
                <w:bCs/>
                <w:color w:val="000000" w:themeColor="text1"/>
                <w:sz w:val="20"/>
                <w:szCs w:val="20"/>
              </w:rPr>
              <w:t>Korhatár alatti ellátások</w:t>
            </w:r>
          </w:p>
        </w:tc>
        <w:tc>
          <w:tcPr>
            <w:tcW w:w="944" w:type="dxa"/>
            <w:tcBorders>
              <w:top w:val="nil"/>
              <w:left w:val="single" w:sz="4" w:space="0" w:color="auto"/>
              <w:bottom w:val="single" w:sz="4" w:space="0" w:color="auto"/>
              <w:right w:val="single" w:sz="4" w:space="0" w:color="auto"/>
            </w:tcBorders>
            <w:noWrap/>
            <w:vAlign w:val="bottom"/>
            <w:hideMark/>
          </w:tcPr>
          <w:p w14:paraId="1E584746" w14:textId="2E95ED0A"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9,4</w:t>
            </w:r>
          </w:p>
        </w:tc>
        <w:tc>
          <w:tcPr>
            <w:tcW w:w="991" w:type="dxa"/>
            <w:tcBorders>
              <w:top w:val="nil"/>
              <w:left w:val="nil"/>
              <w:bottom w:val="single" w:sz="4" w:space="0" w:color="auto"/>
              <w:right w:val="single" w:sz="4" w:space="0" w:color="auto"/>
            </w:tcBorders>
            <w:noWrap/>
            <w:vAlign w:val="bottom"/>
            <w:hideMark/>
          </w:tcPr>
          <w:p w14:paraId="3BB31635" w14:textId="1F1C6728"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9,3</w:t>
            </w:r>
          </w:p>
        </w:tc>
        <w:tc>
          <w:tcPr>
            <w:tcW w:w="850" w:type="dxa"/>
            <w:tcBorders>
              <w:top w:val="nil"/>
              <w:left w:val="nil"/>
              <w:bottom w:val="single" w:sz="4" w:space="0" w:color="auto"/>
              <w:right w:val="single" w:sz="4" w:space="0" w:color="auto"/>
            </w:tcBorders>
            <w:noWrap/>
            <w:vAlign w:val="bottom"/>
            <w:hideMark/>
          </w:tcPr>
          <w:p w14:paraId="6067B78F" w14:textId="1845BAE9"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-0,1</w:t>
            </w:r>
          </w:p>
        </w:tc>
        <w:tc>
          <w:tcPr>
            <w:tcW w:w="733" w:type="dxa"/>
            <w:tcBorders>
              <w:top w:val="nil"/>
              <w:left w:val="nil"/>
              <w:bottom w:val="single" w:sz="4" w:space="0" w:color="auto"/>
              <w:right w:val="single" w:sz="4" w:space="0" w:color="auto"/>
            </w:tcBorders>
            <w:noWrap/>
            <w:vAlign w:val="bottom"/>
            <w:hideMark/>
          </w:tcPr>
          <w:p w14:paraId="05F9CDA8" w14:textId="4172915F"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98,9</w:t>
            </w:r>
          </w:p>
        </w:tc>
      </w:tr>
      <w:tr w:rsidR="00374988" w:rsidRPr="002E70D5" w14:paraId="2D6D4FB3"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285599A0" w14:textId="77777777" w:rsidR="00374988" w:rsidRPr="002E70D5" w:rsidRDefault="1D3ABBAA" w:rsidP="1D3ABBAA">
            <w:pPr>
              <w:spacing w:after="0"/>
              <w:rPr>
                <w:rFonts w:ascii="Times New Roman" w:hAnsi="Times New Roman" w:cs="Times New Roman"/>
                <w:b/>
                <w:bCs/>
                <w:color w:val="000000" w:themeColor="text1"/>
                <w:sz w:val="20"/>
                <w:szCs w:val="20"/>
              </w:rPr>
            </w:pPr>
            <w:r w:rsidRPr="1D3ABBAA">
              <w:rPr>
                <w:rFonts w:ascii="Times New Roman" w:hAnsi="Times New Roman" w:cs="Times New Roman"/>
                <w:b/>
                <w:bCs/>
                <w:color w:val="000000" w:themeColor="text1"/>
                <w:sz w:val="20"/>
                <w:szCs w:val="20"/>
              </w:rPr>
              <w:t>Jövedelempótló és jövedelemkiegészítő szociális támogatások</w:t>
            </w:r>
          </w:p>
        </w:tc>
        <w:tc>
          <w:tcPr>
            <w:tcW w:w="944" w:type="dxa"/>
            <w:tcBorders>
              <w:top w:val="nil"/>
              <w:left w:val="single" w:sz="4" w:space="0" w:color="auto"/>
              <w:bottom w:val="single" w:sz="4" w:space="0" w:color="auto"/>
              <w:right w:val="single" w:sz="4" w:space="0" w:color="auto"/>
            </w:tcBorders>
            <w:noWrap/>
            <w:vAlign w:val="bottom"/>
            <w:hideMark/>
          </w:tcPr>
          <w:p w14:paraId="76F346F2" w14:textId="7E25D1C9"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10,0</w:t>
            </w:r>
          </w:p>
        </w:tc>
        <w:tc>
          <w:tcPr>
            <w:tcW w:w="991" w:type="dxa"/>
            <w:tcBorders>
              <w:top w:val="nil"/>
              <w:left w:val="nil"/>
              <w:bottom w:val="single" w:sz="4" w:space="0" w:color="auto"/>
              <w:right w:val="single" w:sz="4" w:space="0" w:color="auto"/>
            </w:tcBorders>
            <w:noWrap/>
            <w:vAlign w:val="bottom"/>
            <w:hideMark/>
          </w:tcPr>
          <w:p w14:paraId="6DF5981D" w14:textId="01F2E14B"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10,8</w:t>
            </w:r>
          </w:p>
        </w:tc>
        <w:tc>
          <w:tcPr>
            <w:tcW w:w="850" w:type="dxa"/>
            <w:tcBorders>
              <w:top w:val="nil"/>
              <w:left w:val="nil"/>
              <w:bottom w:val="single" w:sz="4" w:space="0" w:color="auto"/>
              <w:right w:val="single" w:sz="4" w:space="0" w:color="auto"/>
            </w:tcBorders>
            <w:noWrap/>
            <w:vAlign w:val="bottom"/>
            <w:hideMark/>
          </w:tcPr>
          <w:p w14:paraId="01D98773" w14:textId="6AAF6998"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0,8</w:t>
            </w:r>
          </w:p>
        </w:tc>
        <w:tc>
          <w:tcPr>
            <w:tcW w:w="733" w:type="dxa"/>
            <w:tcBorders>
              <w:top w:val="nil"/>
              <w:left w:val="nil"/>
              <w:bottom w:val="single" w:sz="4" w:space="0" w:color="auto"/>
              <w:right w:val="single" w:sz="4" w:space="0" w:color="auto"/>
            </w:tcBorders>
            <w:noWrap/>
            <w:vAlign w:val="bottom"/>
            <w:hideMark/>
          </w:tcPr>
          <w:p w14:paraId="112E0472" w14:textId="7A737E90"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108,0</w:t>
            </w:r>
          </w:p>
        </w:tc>
      </w:tr>
      <w:tr w:rsidR="00374988" w:rsidRPr="002E70D5" w14:paraId="2F68BD6E"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55975F0B" w14:textId="77777777" w:rsidR="00374988" w:rsidRPr="002E70D5" w:rsidRDefault="1D3ABBAA" w:rsidP="1D3ABBAA">
            <w:pPr>
              <w:spacing w:after="0"/>
              <w:ind w:firstLineChars="100" w:firstLine="2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Ebből:</w:t>
            </w:r>
          </w:p>
        </w:tc>
        <w:tc>
          <w:tcPr>
            <w:tcW w:w="944" w:type="dxa"/>
            <w:tcBorders>
              <w:top w:val="nil"/>
              <w:left w:val="single" w:sz="4" w:space="0" w:color="auto"/>
              <w:bottom w:val="single" w:sz="4" w:space="0" w:color="auto"/>
              <w:right w:val="single" w:sz="4" w:space="0" w:color="auto"/>
            </w:tcBorders>
            <w:noWrap/>
            <w:vAlign w:val="bottom"/>
            <w:hideMark/>
          </w:tcPr>
          <w:p w14:paraId="2B25FABF" w14:textId="45B38A6A" w:rsidR="00374988" w:rsidRPr="00374988" w:rsidRDefault="00374988" w:rsidP="1D3ABBAA">
            <w:pPr>
              <w:spacing w:after="0"/>
              <w:jc w:val="right"/>
              <w:rPr>
                <w:rFonts w:ascii="Times New Roman" w:hAnsi="Times New Roman" w:cs="Times New Roman"/>
                <w:sz w:val="20"/>
                <w:szCs w:val="20"/>
              </w:rPr>
            </w:pPr>
          </w:p>
        </w:tc>
        <w:tc>
          <w:tcPr>
            <w:tcW w:w="991" w:type="dxa"/>
            <w:tcBorders>
              <w:top w:val="nil"/>
              <w:left w:val="nil"/>
              <w:bottom w:val="single" w:sz="4" w:space="0" w:color="auto"/>
              <w:right w:val="single" w:sz="4" w:space="0" w:color="auto"/>
            </w:tcBorders>
            <w:noWrap/>
            <w:vAlign w:val="bottom"/>
            <w:hideMark/>
          </w:tcPr>
          <w:p w14:paraId="6B112B61" w14:textId="62020126" w:rsidR="00374988" w:rsidRPr="00374988" w:rsidRDefault="00374988" w:rsidP="1D3ABBAA">
            <w:pPr>
              <w:spacing w:after="0"/>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vAlign w:val="bottom"/>
            <w:hideMark/>
          </w:tcPr>
          <w:p w14:paraId="0CBA18B6" w14:textId="239631E2" w:rsidR="00374988" w:rsidRPr="00374988" w:rsidRDefault="00374988" w:rsidP="1D3ABBAA">
            <w:pPr>
              <w:spacing w:after="0"/>
              <w:jc w:val="right"/>
              <w:rPr>
                <w:rFonts w:ascii="Times New Roman" w:hAnsi="Times New Roman" w:cs="Times New Roman"/>
                <w:sz w:val="20"/>
                <w:szCs w:val="20"/>
              </w:rPr>
            </w:pPr>
          </w:p>
        </w:tc>
        <w:tc>
          <w:tcPr>
            <w:tcW w:w="733" w:type="dxa"/>
            <w:tcBorders>
              <w:top w:val="nil"/>
              <w:left w:val="nil"/>
              <w:bottom w:val="single" w:sz="4" w:space="0" w:color="auto"/>
              <w:right w:val="single" w:sz="4" w:space="0" w:color="auto"/>
            </w:tcBorders>
            <w:noWrap/>
            <w:vAlign w:val="bottom"/>
            <w:hideMark/>
          </w:tcPr>
          <w:p w14:paraId="5A52A3F4" w14:textId="6097B7FA"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 </w:t>
            </w:r>
          </w:p>
        </w:tc>
      </w:tr>
      <w:tr w:rsidR="00374988" w:rsidRPr="002E70D5" w14:paraId="0E61B6E0" w14:textId="77777777" w:rsidTr="7E8CEE34">
        <w:trPr>
          <w:trHeight w:val="218"/>
        </w:trPr>
        <w:tc>
          <w:tcPr>
            <w:tcW w:w="5720" w:type="dxa"/>
            <w:tcBorders>
              <w:top w:val="nil"/>
              <w:left w:val="single" w:sz="4" w:space="0" w:color="auto"/>
              <w:bottom w:val="single" w:sz="4" w:space="0" w:color="auto"/>
              <w:right w:val="single" w:sz="4" w:space="0" w:color="auto"/>
            </w:tcBorders>
            <w:noWrap/>
            <w:vAlign w:val="center"/>
            <w:hideMark/>
          </w:tcPr>
          <w:p w14:paraId="6037ED1E" w14:textId="77777777" w:rsidR="00374988" w:rsidRPr="002E70D5" w:rsidRDefault="1D3ABBAA" w:rsidP="1D3ABBAA">
            <w:pPr>
              <w:spacing w:after="0"/>
              <w:ind w:firstLineChars="400" w:firstLine="8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Jövedelempótló és jövedelemkiegészítő ellátások</w:t>
            </w:r>
          </w:p>
        </w:tc>
        <w:tc>
          <w:tcPr>
            <w:tcW w:w="944" w:type="dxa"/>
            <w:tcBorders>
              <w:top w:val="nil"/>
              <w:left w:val="single" w:sz="4" w:space="0" w:color="auto"/>
              <w:bottom w:val="single" w:sz="4" w:space="0" w:color="auto"/>
              <w:right w:val="single" w:sz="4" w:space="0" w:color="auto"/>
            </w:tcBorders>
            <w:noWrap/>
            <w:vAlign w:val="bottom"/>
            <w:hideMark/>
          </w:tcPr>
          <w:p w14:paraId="5C906EAA" w14:textId="161B816E"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5,7</w:t>
            </w:r>
          </w:p>
        </w:tc>
        <w:tc>
          <w:tcPr>
            <w:tcW w:w="991" w:type="dxa"/>
            <w:tcBorders>
              <w:top w:val="nil"/>
              <w:left w:val="nil"/>
              <w:bottom w:val="single" w:sz="4" w:space="0" w:color="auto"/>
              <w:right w:val="single" w:sz="4" w:space="0" w:color="auto"/>
            </w:tcBorders>
            <w:noWrap/>
            <w:vAlign w:val="bottom"/>
            <w:hideMark/>
          </w:tcPr>
          <w:p w14:paraId="2BF256A3" w14:textId="7C347761"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5,8</w:t>
            </w:r>
          </w:p>
        </w:tc>
        <w:tc>
          <w:tcPr>
            <w:tcW w:w="850" w:type="dxa"/>
            <w:tcBorders>
              <w:top w:val="nil"/>
              <w:left w:val="nil"/>
              <w:bottom w:val="single" w:sz="4" w:space="0" w:color="auto"/>
              <w:right w:val="single" w:sz="4" w:space="0" w:color="auto"/>
            </w:tcBorders>
            <w:noWrap/>
            <w:vAlign w:val="bottom"/>
            <w:hideMark/>
          </w:tcPr>
          <w:p w14:paraId="0AF26DC1" w14:textId="405495DB"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0,1</w:t>
            </w:r>
          </w:p>
        </w:tc>
        <w:tc>
          <w:tcPr>
            <w:tcW w:w="733" w:type="dxa"/>
            <w:tcBorders>
              <w:top w:val="nil"/>
              <w:left w:val="nil"/>
              <w:bottom w:val="single" w:sz="4" w:space="0" w:color="auto"/>
              <w:right w:val="single" w:sz="4" w:space="0" w:color="auto"/>
            </w:tcBorders>
            <w:noWrap/>
            <w:vAlign w:val="bottom"/>
            <w:hideMark/>
          </w:tcPr>
          <w:p w14:paraId="116943FB" w14:textId="02B10FE0"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101,8</w:t>
            </w:r>
          </w:p>
        </w:tc>
      </w:tr>
      <w:tr w:rsidR="00374988" w:rsidRPr="002E70D5" w14:paraId="4BD7171B" w14:textId="77777777" w:rsidTr="7E8CEE34">
        <w:trPr>
          <w:trHeight w:val="218"/>
        </w:trPr>
        <w:tc>
          <w:tcPr>
            <w:tcW w:w="5720" w:type="dxa"/>
            <w:tcBorders>
              <w:top w:val="nil"/>
              <w:left w:val="single" w:sz="4" w:space="0" w:color="auto"/>
              <w:bottom w:val="single" w:sz="4" w:space="0" w:color="auto"/>
              <w:right w:val="single" w:sz="4" w:space="0" w:color="auto"/>
            </w:tcBorders>
            <w:noWrap/>
            <w:vAlign w:val="center"/>
            <w:hideMark/>
          </w:tcPr>
          <w:p w14:paraId="55B155D0" w14:textId="77777777" w:rsidR="00374988" w:rsidRPr="002E70D5" w:rsidRDefault="1D3ABBAA" w:rsidP="1D3ABBAA">
            <w:pPr>
              <w:spacing w:after="0"/>
              <w:ind w:firstLineChars="400" w:firstLine="8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Járási szociális feladatok ellátása</w:t>
            </w:r>
          </w:p>
        </w:tc>
        <w:tc>
          <w:tcPr>
            <w:tcW w:w="944" w:type="dxa"/>
            <w:tcBorders>
              <w:top w:val="nil"/>
              <w:left w:val="single" w:sz="4" w:space="0" w:color="auto"/>
              <w:bottom w:val="single" w:sz="4" w:space="0" w:color="auto"/>
              <w:right w:val="single" w:sz="4" w:space="0" w:color="auto"/>
            </w:tcBorders>
            <w:noWrap/>
            <w:vAlign w:val="bottom"/>
            <w:hideMark/>
          </w:tcPr>
          <w:p w14:paraId="0F35ED60" w14:textId="0BB3B014"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4,4</w:t>
            </w:r>
          </w:p>
        </w:tc>
        <w:tc>
          <w:tcPr>
            <w:tcW w:w="991" w:type="dxa"/>
            <w:tcBorders>
              <w:top w:val="nil"/>
              <w:left w:val="nil"/>
              <w:bottom w:val="single" w:sz="4" w:space="0" w:color="auto"/>
              <w:right w:val="single" w:sz="4" w:space="0" w:color="auto"/>
            </w:tcBorders>
            <w:noWrap/>
            <w:vAlign w:val="bottom"/>
            <w:hideMark/>
          </w:tcPr>
          <w:p w14:paraId="22E02311" w14:textId="02DB5455"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5,0</w:t>
            </w:r>
          </w:p>
        </w:tc>
        <w:tc>
          <w:tcPr>
            <w:tcW w:w="850" w:type="dxa"/>
            <w:tcBorders>
              <w:top w:val="nil"/>
              <w:left w:val="nil"/>
              <w:bottom w:val="single" w:sz="4" w:space="0" w:color="auto"/>
              <w:right w:val="single" w:sz="4" w:space="0" w:color="auto"/>
            </w:tcBorders>
            <w:noWrap/>
            <w:vAlign w:val="bottom"/>
            <w:hideMark/>
          </w:tcPr>
          <w:p w14:paraId="0BADF695" w14:textId="2EA8D7DD"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0,6</w:t>
            </w:r>
          </w:p>
        </w:tc>
        <w:tc>
          <w:tcPr>
            <w:tcW w:w="733" w:type="dxa"/>
            <w:tcBorders>
              <w:top w:val="nil"/>
              <w:left w:val="nil"/>
              <w:bottom w:val="single" w:sz="4" w:space="0" w:color="auto"/>
              <w:right w:val="single" w:sz="4" w:space="0" w:color="auto"/>
            </w:tcBorders>
            <w:noWrap/>
            <w:vAlign w:val="bottom"/>
            <w:hideMark/>
          </w:tcPr>
          <w:p w14:paraId="2BD95678" w14:textId="577B2476"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113,6</w:t>
            </w:r>
          </w:p>
        </w:tc>
      </w:tr>
      <w:tr w:rsidR="00374988" w:rsidRPr="002E70D5" w14:paraId="5D884F8B"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159E34A9" w14:textId="77777777" w:rsidR="00374988" w:rsidRPr="002E70D5" w:rsidRDefault="1D3ABBAA" w:rsidP="1D3ABBAA">
            <w:pPr>
              <w:spacing w:after="0"/>
              <w:rPr>
                <w:rFonts w:ascii="Times New Roman" w:hAnsi="Times New Roman" w:cs="Times New Roman"/>
                <w:b/>
                <w:bCs/>
                <w:color w:val="000000" w:themeColor="text1"/>
                <w:sz w:val="20"/>
                <w:szCs w:val="20"/>
              </w:rPr>
            </w:pPr>
            <w:r w:rsidRPr="1D3ABBAA">
              <w:rPr>
                <w:rFonts w:ascii="Times New Roman" w:hAnsi="Times New Roman" w:cs="Times New Roman"/>
                <w:b/>
                <w:bCs/>
                <w:color w:val="000000" w:themeColor="text1"/>
                <w:sz w:val="20"/>
                <w:szCs w:val="20"/>
              </w:rPr>
              <w:t>Különféle jogcímen adott térítések</w:t>
            </w:r>
          </w:p>
        </w:tc>
        <w:tc>
          <w:tcPr>
            <w:tcW w:w="944" w:type="dxa"/>
            <w:tcBorders>
              <w:top w:val="nil"/>
              <w:left w:val="single" w:sz="4" w:space="0" w:color="auto"/>
              <w:bottom w:val="single" w:sz="4" w:space="0" w:color="auto"/>
              <w:right w:val="single" w:sz="4" w:space="0" w:color="auto"/>
            </w:tcBorders>
            <w:noWrap/>
            <w:vAlign w:val="bottom"/>
            <w:hideMark/>
          </w:tcPr>
          <w:p w14:paraId="715706AA" w14:textId="3B60B748"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2,0</w:t>
            </w:r>
          </w:p>
        </w:tc>
        <w:tc>
          <w:tcPr>
            <w:tcW w:w="991" w:type="dxa"/>
            <w:tcBorders>
              <w:top w:val="nil"/>
              <w:left w:val="nil"/>
              <w:bottom w:val="single" w:sz="4" w:space="0" w:color="auto"/>
              <w:right w:val="single" w:sz="4" w:space="0" w:color="auto"/>
            </w:tcBorders>
            <w:noWrap/>
            <w:vAlign w:val="bottom"/>
            <w:hideMark/>
          </w:tcPr>
          <w:p w14:paraId="32A7AEB4" w14:textId="5ED901A2"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2,0</w:t>
            </w:r>
          </w:p>
        </w:tc>
        <w:tc>
          <w:tcPr>
            <w:tcW w:w="850" w:type="dxa"/>
            <w:tcBorders>
              <w:top w:val="nil"/>
              <w:left w:val="nil"/>
              <w:bottom w:val="single" w:sz="4" w:space="0" w:color="auto"/>
              <w:right w:val="single" w:sz="4" w:space="0" w:color="auto"/>
            </w:tcBorders>
            <w:noWrap/>
            <w:vAlign w:val="bottom"/>
            <w:hideMark/>
          </w:tcPr>
          <w:p w14:paraId="65E60E79" w14:textId="6EFA099E"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0,0</w:t>
            </w:r>
          </w:p>
        </w:tc>
        <w:tc>
          <w:tcPr>
            <w:tcW w:w="733" w:type="dxa"/>
            <w:tcBorders>
              <w:top w:val="nil"/>
              <w:left w:val="nil"/>
              <w:bottom w:val="single" w:sz="4" w:space="0" w:color="auto"/>
              <w:right w:val="single" w:sz="4" w:space="0" w:color="auto"/>
            </w:tcBorders>
            <w:noWrap/>
            <w:vAlign w:val="bottom"/>
            <w:hideMark/>
          </w:tcPr>
          <w:p w14:paraId="45C6250D" w14:textId="283C7AB1"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100,0</w:t>
            </w:r>
          </w:p>
        </w:tc>
      </w:tr>
      <w:tr w:rsidR="00374988" w:rsidRPr="002E70D5" w14:paraId="1F6A3088"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51606FF2" w14:textId="77777777" w:rsidR="00374988" w:rsidRPr="002E70D5" w:rsidRDefault="1D3ABBAA" w:rsidP="1D3ABBAA">
            <w:pPr>
              <w:spacing w:after="0"/>
              <w:ind w:firstLineChars="100" w:firstLine="2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 xml:space="preserve">Ebből: </w:t>
            </w:r>
          </w:p>
        </w:tc>
        <w:tc>
          <w:tcPr>
            <w:tcW w:w="944" w:type="dxa"/>
            <w:tcBorders>
              <w:top w:val="nil"/>
              <w:left w:val="single" w:sz="4" w:space="0" w:color="auto"/>
              <w:bottom w:val="single" w:sz="4" w:space="0" w:color="auto"/>
              <w:right w:val="single" w:sz="4" w:space="0" w:color="auto"/>
            </w:tcBorders>
            <w:noWrap/>
            <w:vAlign w:val="bottom"/>
            <w:hideMark/>
          </w:tcPr>
          <w:p w14:paraId="7BB378B1" w14:textId="32B1285D" w:rsidR="00374988" w:rsidRPr="00374988" w:rsidRDefault="00374988" w:rsidP="1D3ABBAA">
            <w:pPr>
              <w:spacing w:after="0"/>
              <w:jc w:val="right"/>
              <w:rPr>
                <w:rFonts w:ascii="Times New Roman" w:hAnsi="Times New Roman" w:cs="Times New Roman"/>
                <w:sz w:val="20"/>
                <w:szCs w:val="20"/>
              </w:rPr>
            </w:pPr>
          </w:p>
        </w:tc>
        <w:tc>
          <w:tcPr>
            <w:tcW w:w="991" w:type="dxa"/>
            <w:tcBorders>
              <w:top w:val="nil"/>
              <w:left w:val="nil"/>
              <w:bottom w:val="single" w:sz="4" w:space="0" w:color="auto"/>
              <w:right w:val="single" w:sz="4" w:space="0" w:color="auto"/>
            </w:tcBorders>
            <w:noWrap/>
            <w:vAlign w:val="bottom"/>
            <w:hideMark/>
          </w:tcPr>
          <w:p w14:paraId="2F2A2014" w14:textId="0DB6691C" w:rsidR="00374988" w:rsidRPr="00374988" w:rsidRDefault="00374988" w:rsidP="1D3ABBAA">
            <w:pPr>
              <w:spacing w:after="0"/>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vAlign w:val="bottom"/>
            <w:hideMark/>
          </w:tcPr>
          <w:p w14:paraId="7E1D69D1" w14:textId="60615FDD" w:rsidR="00374988" w:rsidRPr="00374988" w:rsidRDefault="00374988" w:rsidP="1D3ABBAA">
            <w:pPr>
              <w:spacing w:after="0"/>
              <w:jc w:val="right"/>
              <w:rPr>
                <w:rFonts w:ascii="Times New Roman" w:hAnsi="Times New Roman" w:cs="Times New Roman"/>
                <w:sz w:val="20"/>
                <w:szCs w:val="20"/>
              </w:rPr>
            </w:pPr>
          </w:p>
        </w:tc>
        <w:tc>
          <w:tcPr>
            <w:tcW w:w="733" w:type="dxa"/>
            <w:tcBorders>
              <w:top w:val="nil"/>
              <w:left w:val="nil"/>
              <w:bottom w:val="single" w:sz="4" w:space="0" w:color="auto"/>
              <w:right w:val="single" w:sz="4" w:space="0" w:color="auto"/>
            </w:tcBorders>
            <w:noWrap/>
            <w:vAlign w:val="bottom"/>
            <w:hideMark/>
          </w:tcPr>
          <w:p w14:paraId="49716CDD" w14:textId="6A02F8FE"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 </w:t>
            </w:r>
          </w:p>
        </w:tc>
      </w:tr>
      <w:tr w:rsidR="00374988" w:rsidRPr="002E70D5" w14:paraId="084817F6"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47D48781" w14:textId="77777777" w:rsidR="00374988" w:rsidRPr="002E70D5" w:rsidRDefault="1D3ABBAA" w:rsidP="1D3ABBAA">
            <w:pPr>
              <w:spacing w:after="0"/>
              <w:ind w:firstLineChars="400" w:firstLine="800"/>
              <w:rPr>
                <w:rFonts w:ascii="Times New Roman" w:hAnsi="Times New Roman" w:cs="Times New Roman"/>
                <w:i/>
                <w:iCs/>
                <w:color w:val="000000" w:themeColor="text1"/>
                <w:sz w:val="20"/>
                <w:szCs w:val="20"/>
              </w:rPr>
            </w:pPr>
            <w:r w:rsidRPr="1D3ABBAA">
              <w:rPr>
                <w:rFonts w:ascii="Times New Roman" w:hAnsi="Times New Roman" w:cs="Times New Roman"/>
                <w:i/>
                <w:iCs/>
                <w:color w:val="000000" w:themeColor="text1"/>
                <w:sz w:val="20"/>
                <w:szCs w:val="20"/>
              </w:rPr>
              <w:t>közgyógyellátás</w:t>
            </w:r>
          </w:p>
        </w:tc>
        <w:tc>
          <w:tcPr>
            <w:tcW w:w="944" w:type="dxa"/>
            <w:tcBorders>
              <w:top w:val="nil"/>
              <w:left w:val="single" w:sz="4" w:space="0" w:color="auto"/>
              <w:bottom w:val="single" w:sz="4" w:space="0" w:color="auto"/>
              <w:right w:val="single" w:sz="4" w:space="0" w:color="auto"/>
            </w:tcBorders>
            <w:noWrap/>
            <w:vAlign w:val="bottom"/>
            <w:hideMark/>
          </w:tcPr>
          <w:p w14:paraId="3F5F3F3F" w14:textId="518CAA17"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1,3</w:t>
            </w:r>
          </w:p>
        </w:tc>
        <w:tc>
          <w:tcPr>
            <w:tcW w:w="991" w:type="dxa"/>
            <w:tcBorders>
              <w:top w:val="nil"/>
              <w:left w:val="nil"/>
              <w:bottom w:val="single" w:sz="4" w:space="0" w:color="auto"/>
              <w:right w:val="single" w:sz="4" w:space="0" w:color="auto"/>
            </w:tcBorders>
            <w:noWrap/>
            <w:vAlign w:val="bottom"/>
            <w:hideMark/>
          </w:tcPr>
          <w:p w14:paraId="440A367E" w14:textId="0EA847A9"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1,3</w:t>
            </w:r>
          </w:p>
        </w:tc>
        <w:tc>
          <w:tcPr>
            <w:tcW w:w="850" w:type="dxa"/>
            <w:tcBorders>
              <w:top w:val="nil"/>
              <w:left w:val="nil"/>
              <w:bottom w:val="single" w:sz="4" w:space="0" w:color="auto"/>
              <w:right w:val="single" w:sz="4" w:space="0" w:color="auto"/>
            </w:tcBorders>
            <w:noWrap/>
            <w:vAlign w:val="bottom"/>
            <w:hideMark/>
          </w:tcPr>
          <w:p w14:paraId="56D95B1C" w14:textId="0FBE93C7"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0,0</w:t>
            </w:r>
          </w:p>
        </w:tc>
        <w:tc>
          <w:tcPr>
            <w:tcW w:w="733" w:type="dxa"/>
            <w:tcBorders>
              <w:top w:val="nil"/>
              <w:left w:val="nil"/>
              <w:bottom w:val="single" w:sz="4" w:space="0" w:color="auto"/>
              <w:right w:val="single" w:sz="4" w:space="0" w:color="auto"/>
            </w:tcBorders>
            <w:noWrap/>
            <w:vAlign w:val="bottom"/>
            <w:hideMark/>
          </w:tcPr>
          <w:p w14:paraId="6B892B1E" w14:textId="558123F8" w:rsidR="00374988" w:rsidRPr="00374988" w:rsidRDefault="1D3ABBAA" w:rsidP="1D3ABBAA">
            <w:pPr>
              <w:spacing w:after="0"/>
              <w:jc w:val="right"/>
              <w:rPr>
                <w:rFonts w:ascii="Times New Roman" w:hAnsi="Times New Roman" w:cs="Times New Roman"/>
                <w:sz w:val="20"/>
                <w:szCs w:val="20"/>
              </w:rPr>
            </w:pPr>
            <w:r w:rsidRPr="1D3ABBAA">
              <w:rPr>
                <w:rFonts w:ascii="Times New Roman" w:hAnsi="Times New Roman" w:cs="Times New Roman"/>
                <w:sz w:val="20"/>
                <w:szCs w:val="20"/>
              </w:rPr>
              <w:t>100,0</w:t>
            </w:r>
          </w:p>
        </w:tc>
      </w:tr>
      <w:tr w:rsidR="00374988" w:rsidRPr="002E70D5" w14:paraId="4A95CF06" w14:textId="77777777" w:rsidTr="7E8CEE34">
        <w:trPr>
          <w:trHeight w:val="218"/>
        </w:trPr>
        <w:tc>
          <w:tcPr>
            <w:tcW w:w="5720" w:type="dxa"/>
            <w:tcBorders>
              <w:top w:val="nil"/>
              <w:left w:val="single" w:sz="4" w:space="0" w:color="auto"/>
              <w:bottom w:val="single" w:sz="4" w:space="0" w:color="auto"/>
              <w:right w:val="single" w:sz="4" w:space="0" w:color="auto"/>
            </w:tcBorders>
            <w:noWrap/>
            <w:vAlign w:val="bottom"/>
            <w:hideMark/>
          </w:tcPr>
          <w:p w14:paraId="50CBE7CC" w14:textId="77777777" w:rsidR="00374988" w:rsidRPr="002E70D5" w:rsidRDefault="1D3ABBAA" w:rsidP="1D3ABBAA">
            <w:pPr>
              <w:spacing w:after="0"/>
              <w:rPr>
                <w:rFonts w:ascii="Times New Roman" w:hAnsi="Times New Roman" w:cs="Times New Roman"/>
                <w:b/>
                <w:bCs/>
                <w:color w:val="000000" w:themeColor="text1"/>
                <w:sz w:val="20"/>
                <w:szCs w:val="20"/>
              </w:rPr>
            </w:pPr>
            <w:r w:rsidRPr="1D3ABBAA">
              <w:rPr>
                <w:rFonts w:ascii="Times New Roman" w:hAnsi="Times New Roman" w:cs="Times New Roman"/>
                <w:b/>
                <w:bCs/>
                <w:color w:val="000000" w:themeColor="text1"/>
                <w:sz w:val="20"/>
                <w:szCs w:val="20"/>
              </w:rPr>
              <w:t>Összesen</w:t>
            </w:r>
          </w:p>
        </w:tc>
        <w:tc>
          <w:tcPr>
            <w:tcW w:w="944" w:type="dxa"/>
            <w:tcBorders>
              <w:top w:val="nil"/>
              <w:left w:val="single" w:sz="4" w:space="0" w:color="auto"/>
              <w:bottom w:val="single" w:sz="4" w:space="0" w:color="auto"/>
              <w:right w:val="single" w:sz="4" w:space="0" w:color="auto"/>
            </w:tcBorders>
            <w:noWrap/>
            <w:vAlign w:val="bottom"/>
            <w:hideMark/>
          </w:tcPr>
          <w:p w14:paraId="39885620" w14:textId="09600069"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54,2</w:t>
            </w:r>
          </w:p>
        </w:tc>
        <w:tc>
          <w:tcPr>
            <w:tcW w:w="991" w:type="dxa"/>
            <w:tcBorders>
              <w:top w:val="nil"/>
              <w:left w:val="nil"/>
              <w:bottom w:val="single" w:sz="4" w:space="0" w:color="auto"/>
              <w:right w:val="single" w:sz="4" w:space="0" w:color="auto"/>
            </w:tcBorders>
            <w:noWrap/>
            <w:vAlign w:val="bottom"/>
            <w:hideMark/>
          </w:tcPr>
          <w:p w14:paraId="3E5CDB5F" w14:textId="5B4BB8B8"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54,0</w:t>
            </w:r>
          </w:p>
        </w:tc>
        <w:tc>
          <w:tcPr>
            <w:tcW w:w="850" w:type="dxa"/>
            <w:tcBorders>
              <w:top w:val="nil"/>
              <w:left w:val="nil"/>
              <w:bottom w:val="single" w:sz="4" w:space="0" w:color="auto"/>
              <w:right w:val="single" w:sz="4" w:space="0" w:color="auto"/>
            </w:tcBorders>
            <w:noWrap/>
            <w:vAlign w:val="bottom"/>
            <w:hideMark/>
          </w:tcPr>
          <w:p w14:paraId="0B58ABDF" w14:textId="7A88214F"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-0,2</w:t>
            </w:r>
          </w:p>
        </w:tc>
        <w:tc>
          <w:tcPr>
            <w:tcW w:w="733" w:type="dxa"/>
            <w:tcBorders>
              <w:top w:val="nil"/>
              <w:left w:val="nil"/>
              <w:bottom w:val="single" w:sz="4" w:space="0" w:color="auto"/>
              <w:right w:val="single" w:sz="4" w:space="0" w:color="auto"/>
            </w:tcBorders>
            <w:noWrap/>
            <w:vAlign w:val="bottom"/>
            <w:hideMark/>
          </w:tcPr>
          <w:p w14:paraId="63C6541D" w14:textId="19EA2A12" w:rsidR="00374988" w:rsidRPr="00374988" w:rsidRDefault="1D3ABBAA" w:rsidP="1D3ABBAA">
            <w:pPr>
              <w:spacing w:after="0"/>
              <w:jc w:val="right"/>
              <w:rPr>
                <w:rFonts w:ascii="Times New Roman" w:hAnsi="Times New Roman" w:cs="Times New Roman"/>
                <w:b/>
                <w:bCs/>
                <w:sz w:val="20"/>
                <w:szCs w:val="20"/>
              </w:rPr>
            </w:pPr>
            <w:r w:rsidRPr="1D3ABBAA">
              <w:rPr>
                <w:rFonts w:ascii="Times New Roman" w:hAnsi="Times New Roman" w:cs="Times New Roman"/>
                <w:b/>
                <w:bCs/>
                <w:sz w:val="20"/>
                <w:szCs w:val="20"/>
              </w:rPr>
              <w:t>99,6</w:t>
            </w:r>
          </w:p>
        </w:tc>
      </w:tr>
    </w:tbl>
    <w:p w14:paraId="4DA36891" w14:textId="0AD428B5" w:rsidR="1D3ABBAA" w:rsidRDefault="7E8CEE34" w:rsidP="003E05FC">
      <w:pPr>
        <w:spacing w:before="240"/>
        <w:jc w:val="both"/>
      </w:pPr>
      <w:r w:rsidRPr="7E8CEE34">
        <w:rPr>
          <w:rFonts w:ascii="Times New Roman" w:eastAsia="Times New Roman" w:hAnsi="Times New Roman" w:cs="Times New Roman"/>
          <w:sz w:val="26"/>
          <w:szCs w:val="26"/>
        </w:rPr>
        <w:t xml:space="preserve">A </w:t>
      </w:r>
      <w:r w:rsidRPr="7E8CEE34">
        <w:rPr>
          <w:rFonts w:ascii="Times New Roman" w:eastAsia="Times New Roman" w:hAnsi="Times New Roman" w:cs="Times New Roman"/>
          <w:b/>
          <w:bCs/>
          <w:sz w:val="26"/>
          <w:szCs w:val="26"/>
        </w:rPr>
        <w:t>családi támogatásokra</w:t>
      </w:r>
      <w:r w:rsidRPr="7E8CEE34">
        <w:rPr>
          <w:rFonts w:ascii="Times New Roman" w:eastAsia="Times New Roman" w:hAnsi="Times New Roman" w:cs="Times New Roman"/>
          <w:sz w:val="26"/>
          <w:szCs w:val="26"/>
        </w:rPr>
        <w:t xml:space="preserve"> 2026 januárban összesen 31,9 milliárd forintot fizettek ki, amely 0,8 milliárd forinttal volt alacsonyabb az előző évi teljesítésnél.</w:t>
      </w:r>
    </w:p>
    <w:p w14:paraId="7793506E" w14:textId="1AC753F0" w:rsidR="1D3ABBAA" w:rsidRDefault="7E8CEE34" w:rsidP="1D3ABBAA">
      <w:pPr>
        <w:jc w:val="both"/>
      </w:pPr>
      <w:r w:rsidRPr="7E8CEE34">
        <w:rPr>
          <w:rFonts w:ascii="Times New Roman" w:eastAsia="Times New Roman" w:hAnsi="Times New Roman" w:cs="Times New Roman"/>
          <w:sz w:val="26"/>
          <w:szCs w:val="26"/>
        </w:rPr>
        <w:t xml:space="preserve">A </w:t>
      </w:r>
      <w:r w:rsidRPr="7E8CEE34">
        <w:rPr>
          <w:rFonts w:ascii="Times New Roman" w:eastAsia="Times New Roman" w:hAnsi="Times New Roman" w:cs="Times New Roman"/>
          <w:b/>
          <w:bCs/>
          <w:sz w:val="26"/>
          <w:szCs w:val="26"/>
        </w:rPr>
        <w:t>korhatár alatti ellátások</w:t>
      </w:r>
      <w:r w:rsidRPr="7E8CEE34">
        <w:rPr>
          <w:rFonts w:ascii="Times New Roman" w:eastAsia="Times New Roman" w:hAnsi="Times New Roman" w:cs="Times New Roman"/>
          <w:sz w:val="26"/>
          <w:szCs w:val="26"/>
        </w:rPr>
        <w:t xml:space="preserve"> esetében a kiadás 0,1 milliárd forinttal alacsonyabb volt az előző év azonos időszakához képest. A csökkenést az okozza, hogy a jogosultak elérik az öregségi nyugdíjkorhatárt, és nyugellátásra válnak jogosulttá, létszámuk folyamatosan csökken. Januárban sor került – az öregségi nyugdíjakhoz hasonlóan – az ellátások 3,6%-os emelésére is.</w:t>
      </w:r>
    </w:p>
    <w:p w14:paraId="1E73D4F9" w14:textId="0188399F" w:rsidR="1D3ABBAA" w:rsidRDefault="7E8CEE34" w:rsidP="1D3ABBAA">
      <w:pPr>
        <w:jc w:val="both"/>
      </w:pPr>
      <w:r w:rsidRPr="7E8CEE34">
        <w:rPr>
          <w:rFonts w:ascii="Times New Roman" w:eastAsia="Times New Roman" w:hAnsi="Times New Roman" w:cs="Times New Roman"/>
          <w:sz w:val="26"/>
          <w:szCs w:val="26"/>
        </w:rPr>
        <w:t xml:space="preserve">2026 januárban </w:t>
      </w:r>
      <w:r w:rsidRPr="7E8CEE34">
        <w:rPr>
          <w:rFonts w:ascii="Times New Roman" w:eastAsia="Times New Roman" w:hAnsi="Times New Roman" w:cs="Times New Roman"/>
          <w:b/>
          <w:bCs/>
          <w:sz w:val="26"/>
          <w:szCs w:val="26"/>
        </w:rPr>
        <w:t>a jövedelempótló és jövedelemkiegészítő szociális támogatásokra</w:t>
      </w:r>
      <w:r w:rsidRPr="7E8CEE34">
        <w:rPr>
          <w:rFonts w:ascii="Times New Roman" w:eastAsia="Times New Roman" w:hAnsi="Times New Roman" w:cs="Times New Roman"/>
          <w:sz w:val="26"/>
          <w:szCs w:val="26"/>
        </w:rPr>
        <w:t xml:space="preserve"> biztosított kiadásokon belül a járási szociális feladatok ellátására (gyermekek otthongondozási díja, ápolási díj, időskorúak járadéka, foglalkoztatást helyettesítő támogatás, egészségkárosodási és gyermekfelügyeleti támogatás) 5,0 milliárd forintot fordítottak, mely 0,6 milliárd forinttal magasabb az előző évi adatnál. A növekedést az okozza, hogy 2026. januártól a gyermekek otthongondozási díj összege a minimálbér emelkedése miatt (290 800 forintról 322 800 forintra) emelkedett, az ápolási díj összege pedig 3,6%-kal nőtt. </w:t>
      </w:r>
    </w:p>
    <w:p w14:paraId="6FD53F52" w14:textId="14EC1663" w:rsidR="1D3ABBAA" w:rsidRDefault="7E8CEE34" w:rsidP="1D3ABBAA">
      <w:pPr>
        <w:jc w:val="both"/>
      </w:pPr>
      <w:r w:rsidRPr="7E8CEE34">
        <w:rPr>
          <w:rFonts w:ascii="Times New Roman" w:eastAsia="Times New Roman" w:hAnsi="Times New Roman" w:cs="Times New Roman"/>
          <w:sz w:val="26"/>
          <w:szCs w:val="26"/>
        </w:rPr>
        <w:lastRenderedPageBreak/>
        <w:t xml:space="preserve">A </w:t>
      </w:r>
      <w:r w:rsidRPr="7E8CEE34">
        <w:rPr>
          <w:rFonts w:ascii="Times New Roman" w:eastAsia="Times New Roman" w:hAnsi="Times New Roman" w:cs="Times New Roman"/>
          <w:b/>
          <w:bCs/>
          <w:sz w:val="26"/>
          <w:szCs w:val="26"/>
        </w:rPr>
        <w:t>különféle jogcímen adott térítések</w:t>
      </w:r>
      <w:r w:rsidRPr="7E8CEE34">
        <w:rPr>
          <w:rFonts w:ascii="Times New Roman" w:eastAsia="Times New Roman" w:hAnsi="Times New Roman" w:cs="Times New Roman"/>
          <w:sz w:val="26"/>
          <w:szCs w:val="26"/>
        </w:rPr>
        <w:t xml:space="preserve"> 2026 januári összege az előző év azonos időszakával megegyező. A térítéseken belül a legnagyobb összeget, 1,3 milliárd forintot a</w:t>
      </w:r>
      <w:r w:rsidR="00D252B3">
        <w:rPr>
          <w:rFonts w:ascii="Times New Roman" w:eastAsia="Times New Roman" w:hAnsi="Times New Roman" w:cs="Times New Roman"/>
          <w:sz w:val="26"/>
          <w:szCs w:val="26"/>
        </w:rPr>
        <w:t> </w:t>
      </w:r>
      <w:r w:rsidRPr="7E8CEE34">
        <w:rPr>
          <w:rFonts w:ascii="Times New Roman" w:eastAsia="Times New Roman" w:hAnsi="Times New Roman" w:cs="Times New Roman"/>
          <w:sz w:val="26"/>
          <w:szCs w:val="26"/>
        </w:rPr>
        <w:t>közgyógyellátásra fizették ki.</w:t>
      </w:r>
    </w:p>
    <w:p w14:paraId="2BBDBEB3" w14:textId="250B9037" w:rsidR="0032261D" w:rsidRPr="005C3ECD" w:rsidRDefault="1D3ABBAA" w:rsidP="1D3ABBAA">
      <w:pPr>
        <w:pStyle w:val="NormlWeb"/>
        <w:spacing w:before="0" w:beforeAutospacing="0" w:after="160" w:afterAutospacing="0" w:line="259" w:lineRule="auto"/>
        <w:jc w:val="both"/>
        <w:rPr>
          <w:sz w:val="26"/>
          <w:szCs w:val="26"/>
        </w:rPr>
      </w:pPr>
      <w:r w:rsidRPr="1D3ABBAA">
        <w:rPr>
          <w:sz w:val="26"/>
          <w:szCs w:val="26"/>
        </w:rPr>
        <w:t xml:space="preserve">A </w:t>
      </w:r>
      <w:r w:rsidRPr="1D3ABBAA">
        <w:rPr>
          <w:b/>
          <w:bCs/>
          <w:sz w:val="26"/>
          <w:szCs w:val="26"/>
        </w:rPr>
        <w:t>babaváró támogatásokra</w:t>
      </w:r>
      <w:r w:rsidRPr="1D3ABBAA">
        <w:rPr>
          <w:sz w:val="26"/>
          <w:szCs w:val="26"/>
        </w:rPr>
        <w:t xml:space="preserve"> fordított kiadások összege 2026 január végéig 24,3 milliárd forintot tett ki, amely a törvényi előirányzat 8,8%-ának felel meg, és a 2025. év azonos időszakához viszonyítva 2,7 milliárd forinttal teljesült magasabban.</w:t>
      </w:r>
    </w:p>
    <w:p w14:paraId="7052350E" w14:textId="77BA0BFC" w:rsidR="003E05FC" w:rsidRDefault="1D3ABBAA" w:rsidP="1D3ABBAA">
      <w:pPr>
        <w:pStyle w:val="NormlWeb"/>
        <w:spacing w:before="0" w:beforeAutospacing="0" w:after="160" w:afterAutospacing="0" w:line="259" w:lineRule="auto"/>
        <w:jc w:val="both"/>
        <w:rPr>
          <w:sz w:val="26"/>
          <w:szCs w:val="26"/>
        </w:rPr>
      </w:pPr>
      <w:bookmarkStart w:id="0" w:name="_Hlk202786542"/>
      <w:r w:rsidRPr="1D3ABBAA">
        <w:rPr>
          <w:sz w:val="26"/>
          <w:szCs w:val="26"/>
        </w:rPr>
        <w:t xml:space="preserve">A </w:t>
      </w:r>
      <w:r w:rsidRPr="1D3ABBAA">
        <w:rPr>
          <w:b/>
          <w:bCs/>
          <w:sz w:val="26"/>
          <w:szCs w:val="26"/>
        </w:rPr>
        <w:t>helyi önkormányzatok</w:t>
      </w:r>
      <w:r w:rsidRPr="1D3ABBAA">
        <w:rPr>
          <w:sz w:val="26"/>
          <w:szCs w:val="26"/>
        </w:rPr>
        <w:t xml:space="preserve"> 2026. évi feladataihoz a hatályos költségvetési törvény alapján 1419,4 milliárd forint állami támogatás került megállapításra. A január havi tényadat alapján összesen 177,8 milliárd forint kifizetés történt, ami az eredeti előirányzat 12,5%-át teszi ki. Az előző év azonos időszakához viszonyított 23,2 milliárd forint (</w:t>
      </w:r>
      <w:r w:rsidR="00A61775">
        <w:rPr>
          <w:sz w:val="26"/>
          <w:szCs w:val="26"/>
        </w:rPr>
        <w:t>15,0</w:t>
      </w:r>
      <w:r w:rsidRPr="1D3ABBAA">
        <w:rPr>
          <w:sz w:val="26"/>
          <w:szCs w:val="26"/>
        </w:rPr>
        <w:t>%-os) növekedés a hivatali dolgozók és tanárok béremeléséből, valamint a minimálbér, garantált bérminimum emeléséből fakad. A jelentősebb tételek alakulását a következő táblázat mutatja:</w:t>
      </w:r>
    </w:p>
    <w:p w14:paraId="2723D8B3" w14:textId="34B7D713" w:rsidR="00C24948" w:rsidRPr="00B32682" w:rsidRDefault="1D3ABBAA" w:rsidP="1D3ABBAA">
      <w:pPr>
        <w:pStyle w:val="NormlWeb"/>
        <w:spacing w:before="0" w:beforeAutospacing="0" w:after="160" w:afterAutospacing="0" w:line="259" w:lineRule="auto"/>
        <w:jc w:val="center"/>
      </w:pPr>
      <w:r w:rsidRPr="1D3ABBAA">
        <w:rPr>
          <w:b/>
          <w:bCs/>
        </w:rPr>
        <w:t>A helyi önkormányzatok támogatásának alakulása (milliárd forint)</w:t>
      </w:r>
    </w:p>
    <w:tbl>
      <w:tblPr>
        <w:tblpPr w:leftFromText="141" w:rightFromText="141" w:vertAnchor="text" w:horzAnchor="margin" w:tblpY="20"/>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1134"/>
        <w:gridCol w:w="1134"/>
        <w:gridCol w:w="850"/>
        <w:gridCol w:w="771"/>
      </w:tblGrid>
      <w:tr w:rsidR="00081A16" w:rsidRPr="00377D59" w14:paraId="6741B982" w14:textId="77777777" w:rsidTr="1D3ABBAA">
        <w:trPr>
          <w:trHeight w:val="340"/>
        </w:trPr>
        <w:tc>
          <w:tcPr>
            <w:tcW w:w="5382" w:type="dxa"/>
            <w:vMerge w:val="restart"/>
            <w:shd w:val="clear" w:color="auto" w:fill="BDD6EE" w:themeFill="accent1" w:themeFillTint="66"/>
            <w:noWrap/>
            <w:vAlign w:val="center"/>
            <w:hideMark/>
          </w:tcPr>
          <w:p w14:paraId="07514BAA" w14:textId="77777777" w:rsidR="00081A16" w:rsidRPr="00EB7ACF" w:rsidRDefault="1D3ABBAA" w:rsidP="1D3ABBAA">
            <w:pPr>
              <w:keepNext/>
              <w:keepLines/>
              <w:spacing w:after="0" w:line="240" w:lineRule="auto"/>
              <w:jc w:val="center"/>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Megnevezés</w:t>
            </w:r>
          </w:p>
        </w:tc>
        <w:tc>
          <w:tcPr>
            <w:tcW w:w="1134" w:type="dxa"/>
            <w:vMerge w:val="restart"/>
            <w:shd w:val="clear" w:color="auto" w:fill="BDD6EE" w:themeFill="accent1" w:themeFillTint="66"/>
            <w:vAlign w:val="center"/>
            <w:hideMark/>
          </w:tcPr>
          <w:p w14:paraId="5DC080D6" w14:textId="030F5B66" w:rsidR="00081A16" w:rsidRPr="00EB7ACF" w:rsidRDefault="1D3ABBAA" w:rsidP="1D3ABBAA">
            <w:pPr>
              <w:spacing w:after="0" w:line="240" w:lineRule="auto"/>
              <w:jc w:val="center"/>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 xml:space="preserve">2025. </w:t>
            </w:r>
            <w:r w:rsidR="15BE4434">
              <w:br/>
            </w:r>
            <w:r w:rsidRPr="1D3ABBAA">
              <w:rPr>
                <w:rFonts w:ascii="Times New Roman" w:hAnsi="Times New Roman" w:cs="Times New Roman"/>
                <w:b/>
                <w:bCs/>
              </w:rPr>
              <w:t>I. hó</w:t>
            </w:r>
          </w:p>
        </w:tc>
        <w:tc>
          <w:tcPr>
            <w:tcW w:w="1134" w:type="dxa"/>
            <w:vMerge w:val="restart"/>
            <w:shd w:val="clear" w:color="auto" w:fill="BDD6EE" w:themeFill="accent1" w:themeFillTint="66"/>
            <w:vAlign w:val="center"/>
            <w:hideMark/>
          </w:tcPr>
          <w:p w14:paraId="626AC8BC" w14:textId="2EC38FCB" w:rsidR="00081A16" w:rsidRPr="00EB7ACF" w:rsidRDefault="1D3ABBAA" w:rsidP="1D3ABBAA">
            <w:pPr>
              <w:spacing w:after="0" w:line="240" w:lineRule="auto"/>
              <w:jc w:val="center"/>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 xml:space="preserve">2026. </w:t>
            </w:r>
            <w:r w:rsidR="15BE4434">
              <w:br/>
            </w:r>
            <w:r w:rsidRPr="1D3ABBAA">
              <w:rPr>
                <w:rFonts w:ascii="Times New Roman" w:eastAsia="Times New Roman" w:hAnsi="Times New Roman" w:cs="Times New Roman"/>
                <w:b/>
                <w:bCs/>
                <w:lang w:eastAsia="hu-HU"/>
              </w:rPr>
              <w:t>I. hó</w:t>
            </w:r>
          </w:p>
        </w:tc>
        <w:tc>
          <w:tcPr>
            <w:tcW w:w="1621" w:type="dxa"/>
            <w:gridSpan w:val="2"/>
            <w:shd w:val="clear" w:color="auto" w:fill="BDD6EE" w:themeFill="accent1" w:themeFillTint="66"/>
            <w:noWrap/>
            <w:vAlign w:val="center"/>
            <w:hideMark/>
          </w:tcPr>
          <w:p w14:paraId="35A3C823" w14:textId="77777777" w:rsidR="00081A16" w:rsidRPr="00EB7ACF" w:rsidRDefault="1D3ABBAA" w:rsidP="1D3ABBAA">
            <w:pPr>
              <w:keepNext/>
              <w:keepLines/>
              <w:spacing w:after="0" w:line="240" w:lineRule="auto"/>
              <w:jc w:val="center"/>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Eltérés</w:t>
            </w:r>
          </w:p>
        </w:tc>
      </w:tr>
      <w:tr w:rsidR="00C24948" w:rsidRPr="00377D59" w14:paraId="2DD9A798" w14:textId="77777777" w:rsidTr="1D3ABBAA">
        <w:trPr>
          <w:trHeight w:val="340"/>
        </w:trPr>
        <w:tc>
          <w:tcPr>
            <w:tcW w:w="5382" w:type="dxa"/>
            <w:vMerge/>
            <w:shd w:val="clear" w:color="auto" w:fill="BDD6EE" w:themeFill="accent1" w:themeFillTint="66"/>
            <w:vAlign w:val="center"/>
            <w:hideMark/>
          </w:tcPr>
          <w:p w14:paraId="5F76A56A" w14:textId="77777777" w:rsidR="00C24948" w:rsidRPr="00EB7ACF" w:rsidRDefault="00C24948" w:rsidP="00C24948">
            <w:pPr>
              <w:keepNext/>
              <w:keepLines/>
              <w:spacing w:after="0" w:line="240" w:lineRule="auto"/>
              <w:rPr>
                <w:rFonts w:ascii="Times New Roman" w:eastAsia="Times New Roman" w:hAnsi="Times New Roman" w:cs="Times New Roman"/>
                <w:b/>
                <w:bCs/>
                <w:lang w:eastAsia="hu-HU"/>
              </w:rPr>
            </w:pPr>
          </w:p>
        </w:tc>
        <w:tc>
          <w:tcPr>
            <w:tcW w:w="1134" w:type="dxa"/>
            <w:vMerge/>
            <w:tcBorders>
              <w:bottom w:val="single" w:sz="4" w:space="0" w:color="auto"/>
            </w:tcBorders>
            <w:shd w:val="clear" w:color="auto" w:fill="BDD6EE" w:themeFill="accent1" w:themeFillTint="66"/>
            <w:vAlign w:val="center"/>
            <w:hideMark/>
          </w:tcPr>
          <w:p w14:paraId="65B4B0A4" w14:textId="77777777" w:rsidR="00C24948" w:rsidRPr="00EB7ACF"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1134" w:type="dxa"/>
            <w:vMerge/>
            <w:tcBorders>
              <w:bottom w:val="single" w:sz="4" w:space="0" w:color="auto"/>
            </w:tcBorders>
            <w:shd w:val="clear" w:color="auto" w:fill="BDD6EE" w:themeFill="accent1" w:themeFillTint="66"/>
            <w:vAlign w:val="center"/>
            <w:hideMark/>
          </w:tcPr>
          <w:p w14:paraId="5FE97B50" w14:textId="77777777" w:rsidR="00C24948" w:rsidRPr="00EB7ACF"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850" w:type="dxa"/>
            <w:tcBorders>
              <w:bottom w:val="single" w:sz="4" w:space="0" w:color="auto"/>
            </w:tcBorders>
            <w:shd w:val="clear" w:color="auto" w:fill="BDD6EE" w:themeFill="accent1" w:themeFillTint="66"/>
            <w:noWrap/>
            <w:vAlign w:val="center"/>
            <w:hideMark/>
          </w:tcPr>
          <w:p w14:paraId="1B2C8FF2" w14:textId="77777777" w:rsidR="00C24948" w:rsidRPr="00EB7ACF" w:rsidRDefault="1D3ABBAA" w:rsidP="1D3ABBAA">
            <w:pPr>
              <w:keepNext/>
              <w:keepLines/>
              <w:spacing w:after="0" w:line="240" w:lineRule="auto"/>
              <w:jc w:val="center"/>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Mrd Ft</w:t>
            </w:r>
          </w:p>
        </w:tc>
        <w:tc>
          <w:tcPr>
            <w:tcW w:w="771" w:type="dxa"/>
            <w:tcBorders>
              <w:bottom w:val="single" w:sz="4" w:space="0" w:color="auto"/>
            </w:tcBorders>
            <w:shd w:val="clear" w:color="auto" w:fill="BDD6EE" w:themeFill="accent1" w:themeFillTint="66"/>
            <w:noWrap/>
            <w:vAlign w:val="center"/>
            <w:hideMark/>
          </w:tcPr>
          <w:p w14:paraId="179AEF43" w14:textId="77777777" w:rsidR="00C24948" w:rsidRPr="00EB7ACF" w:rsidRDefault="1D3ABBAA" w:rsidP="1D3ABBAA">
            <w:pPr>
              <w:keepNext/>
              <w:keepLines/>
              <w:spacing w:after="0" w:line="240" w:lineRule="auto"/>
              <w:jc w:val="center"/>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w:t>
            </w:r>
          </w:p>
        </w:tc>
      </w:tr>
      <w:tr w:rsidR="007741C9" w:rsidRPr="00377D59" w14:paraId="5CF52B9C" w14:textId="77777777" w:rsidTr="1D3ABBAA">
        <w:trPr>
          <w:trHeight w:val="510"/>
        </w:trPr>
        <w:tc>
          <w:tcPr>
            <w:tcW w:w="5382" w:type="dxa"/>
            <w:vAlign w:val="center"/>
            <w:hideMark/>
          </w:tcPr>
          <w:p w14:paraId="11FF4C49" w14:textId="77777777" w:rsidR="007741C9" w:rsidRPr="00EB7ACF" w:rsidRDefault="1D3ABBAA" w:rsidP="1D3ABBAA">
            <w:pPr>
              <w:keepNext/>
              <w:keepLines/>
              <w:spacing w:after="0" w:line="240" w:lineRule="auto"/>
              <w:rPr>
                <w:rFonts w:ascii="Times New Roman" w:eastAsia="Times New Roman" w:hAnsi="Times New Roman" w:cs="Times New Roman"/>
                <w:b/>
                <w:bCs/>
                <w:sz w:val="20"/>
                <w:szCs w:val="20"/>
                <w:lang w:eastAsia="hu-HU"/>
              </w:rPr>
            </w:pPr>
            <w:r w:rsidRPr="1D3ABBAA">
              <w:rPr>
                <w:rFonts w:ascii="Times New Roman" w:eastAsia="Times New Roman" w:hAnsi="Times New Roman" w:cs="Times New Roman"/>
                <w:b/>
                <w:bCs/>
                <w:sz w:val="20"/>
                <w:szCs w:val="20"/>
                <w:lang w:eastAsia="hu-HU"/>
              </w:rPr>
              <w:t>A helyi önkormányzatok általános működésének és ágazati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1E4CBD" w14:textId="4A322DB1"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141,9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29553" w14:textId="30B16694"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155,0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76081" w14:textId="75B8986A"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13,1</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F60E" w14:textId="5AC43C2C"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109,2</w:t>
            </w:r>
          </w:p>
        </w:tc>
      </w:tr>
      <w:tr w:rsidR="007741C9" w:rsidRPr="00377D59" w14:paraId="66D88640" w14:textId="77777777" w:rsidTr="1D3ABBAA">
        <w:trPr>
          <w:trHeight w:val="340"/>
        </w:trPr>
        <w:tc>
          <w:tcPr>
            <w:tcW w:w="5382" w:type="dxa"/>
            <w:vAlign w:val="center"/>
            <w:hideMark/>
          </w:tcPr>
          <w:p w14:paraId="4496E62C" w14:textId="77777777" w:rsidR="007741C9" w:rsidRPr="00EB7ACF" w:rsidRDefault="1D3ABBAA" w:rsidP="1D3ABBAA">
            <w:pPr>
              <w:keepNext/>
              <w:keepLines/>
              <w:spacing w:after="0" w:line="240" w:lineRule="auto"/>
              <w:rPr>
                <w:rFonts w:ascii="Times New Roman" w:eastAsia="Times New Roman" w:hAnsi="Times New Roman" w:cs="Times New Roman"/>
                <w:i/>
                <w:iCs/>
                <w:sz w:val="20"/>
                <w:szCs w:val="20"/>
                <w:lang w:eastAsia="hu-HU"/>
              </w:rPr>
            </w:pPr>
            <w:r w:rsidRPr="1D3ABBAA">
              <w:rPr>
                <w:rFonts w:ascii="Times New Roman" w:eastAsia="Times New Roman" w:hAnsi="Times New Roman" w:cs="Times New Roman"/>
                <w:i/>
                <w:iCs/>
                <w:sz w:val="20"/>
                <w:szCs w:val="20"/>
                <w:lang w:eastAsia="hu-HU"/>
              </w:rPr>
              <w:t>A helyi önkormányzatok működésének általános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091267" w14:textId="3F3E9859"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36,3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3F341" w14:textId="1AC12C6E"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42,6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7C594" w14:textId="3E23CA7D"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6,3</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384BF" w14:textId="3418B007"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117,</w:t>
            </w:r>
            <w:r w:rsidR="00A61775">
              <w:rPr>
                <w:rFonts w:ascii="Times New Roman" w:hAnsi="Times New Roman" w:cs="Times New Roman"/>
                <w:i/>
                <w:iCs/>
              </w:rPr>
              <w:t>4</w:t>
            </w:r>
          </w:p>
        </w:tc>
      </w:tr>
      <w:tr w:rsidR="007741C9" w:rsidRPr="00377D59" w14:paraId="644FC967" w14:textId="77777777" w:rsidTr="1D3ABBAA">
        <w:trPr>
          <w:trHeight w:val="510"/>
        </w:trPr>
        <w:tc>
          <w:tcPr>
            <w:tcW w:w="5382" w:type="dxa"/>
            <w:vAlign w:val="center"/>
            <w:hideMark/>
          </w:tcPr>
          <w:p w14:paraId="1BA330A0" w14:textId="77777777" w:rsidR="007741C9" w:rsidRPr="00EB7ACF" w:rsidRDefault="1D3ABBAA" w:rsidP="1D3ABBAA">
            <w:pPr>
              <w:keepNext/>
              <w:keepLines/>
              <w:spacing w:after="0" w:line="240" w:lineRule="auto"/>
              <w:rPr>
                <w:rFonts w:ascii="Times New Roman" w:eastAsia="Times New Roman" w:hAnsi="Times New Roman" w:cs="Times New Roman"/>
                <w:i/>
                <w:iCs/>
                <w:sz w:val="20"/>
                <w:szCs w:val="20"/>
                <w:lang w:eastAsia="hu-HU"/>
              </w:rPr>
            </w:pPr>
            <w:r w:rsidRPr="1D3ABBAA">
              <w:rPr>
                <w:rFonts w:ascii="Times New Roman" w:eastAsia="Times New Roman" w:hAnsi="Times New Roman" w:cs="Times New Roman"/>
                <w:i/>
                <w:iCs/>
                <w:sz w:val="20"/>
                <w:szCs w:val="20"/>
                <w:lang w:eastAsia="hu-HU"/>
              </w:rPr>
              <w:t>A települési önkormányzatok egyes köznevelési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8D28C3" w14:textId="0A30CA24"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48,0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1BB58" w14:textId="5A063EA8"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51,0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D1E80" w14:textId="2A2491F6"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3,0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7CDD1" w14:textId="1EA17E80"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106,3</w:t>
            </w:r>
          </w:p>
        </w:tc>
      </w:tr>
      <w:tr w:rsidR="007741C9" w:rsidRPr="00377D59" w14:paraId="11F06AEB" w14:textId="77777777" w:rsidTr="1D3ABBAA">
        <w:trPr>
          <w:trHeight w:val="510"/>
        </w:trPr>
        <w:tc>
          <w:tcPr>
            <w:tcW w:w="5382" w:type="dxa"/>
            <w:vAlign w:val="center"/>
            <w:hideMark/>
          </w:tcPr>
          <w:p w14:paraId="63EE65A2" w14:textId="77777777" w:rsidR="007741C9" w:rsidRPr="00EB7ACF" w:rsidRDefault="1D3ABBAA" w:rsidP="1D3ABBAA">
            <w:pPr>
              <w:keepNext/>
              <w:keepLines/>
              <w:spacing w:after="0" w:line="240" w:lineRule="auto"/>
              <w:rPr>
                <w:rFonts w:ascii="Times New Roman" w:eastAsia="Times New Roman" w:hAnsi="Times New Roman" w:cs="Times New Roman"/>
                <w:i/>
                <w:iCs/>
                <w:sz w:val="20"/>
                <w:szCs w:val="20"/>
                <w:lang w:eastAsia="hu-HU"/>
              </w:rPr>
            </w:pPr>
            <w:r w:rsidRPr="1D3ABBAA">
              <w:rPr>
                <w:rFonts w:ascii="Times New Roman" w:eastAsia="Times New Roman" w:hAnsi="Times New Roman" w:cs="Times New Roman"/>
                <w:i/>
                <w:iCs/>
                <w:sz w:val="20"/>
                <w:szCs w:val="20"/>
                <w:lang w:eastAsia="hu-HU"/>
              </w:rPr>
              <w:t>A települési önkormányzatok egyes szociális, gyermekjóléti és gyermekétkeztetési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BDE34C" w14:textId="7EEFBA96"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54,9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5C695" w14:textId="2619ACC7"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58,7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1228" w14:textId="7DEE782C"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3,8</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53BB5" w14:textId="1C12EA66"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10</w:t>
            </w:r>
            <w:r w:rsidR="00A61775">
              <w:rPr>
                <w:rFonts w:ascii="Times New Roman" w:hAnsi="Times New Roman" w:cs="Times New Roman"/>
                <w:i/>
                <w:iCs/>
              </w:rPr>
              <w:t>6,9</w:t>
            </w:r>
          </w:p>
        </w:tc>
      </w:tr>
      <w:tr w:rsidR="007741C9" w:rsidRPr="00377D59" w14:paraId="1FC403F4" w14:textId="77777777" w:rsidTr="1D3ABBAA">
        <w:trPr>
          <w:trHeight w:val="340"/>
        </w:trPr>
        <w:tc>
          <w:tcPr>
            <w:tcW w:w="5382" w:type="dxa"/>
            <w:vAlign w:val="center"/>
            <w:hideMark/>
          </w:tcPr>
          <w:p w14:paraId="4F427CE2" w14:textId="77777777" w:rsidR="007741C9" w:rsidRPr="00EB7ACF" w:rsidRDefault="1D3ABBAA" w:rsidP="1D3ABBAA">
            <w:pPr>
              <w:keepNext/>
              <w:keepLines/>
              <w:spacing w:after="0" w:line="240" w:lineRule="auto"/>
              <w:rPr>
                <w:rFonts w:ascii="Times New Roman" w:eastAsia="Times New Roman" w:hAnsi="Times New Roman" w:cs="Times New Roman"/>
                <w:i/>
                <w:iCs/>
                <w:sz w:val="20"/>
                <w:szCs w:val="20"/>
                <w:lang w:eastAsia="hu-HU"/>
              </w:rPr>
            </w:pPr>
            <w:r w:rsidRPr="1D3ABBAA">
              <w:rPr>
                <w:rFonts w:ascii="Times New Roman" w:eastAsia="Times New Roman" w:hAnsi="Times New Roman" w:cs="Times New Roman"/>
                <w:i/>
                <w:iCs/>
                <w:sz w:val="20"/>
                <w:szCs w:val="20"/>
                <w:lang w:eastAsia="hu-HU"/>
              </w:rPr>
              <w:t>A települési önkormányzatok kulturális feladatainak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BDB6D4" w14:textId="5A59CEDC"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BBCDB" w14:textId="3C05609E"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8EF3A" w14:textId="1BCAFD58" w:rsidR="007741C9" w:rsidRPr="007741C9" w:rsidRDefault="1D3ABBAA" w:rsidP="1D3ABBAA">
            <w:pPr>
              <w:keepNext/>
              <w:keepLines/>
              <w:spacing w:after="0" w:line="240" w:lineRule="auto"/>
              <w:jc w:val="right"/>
              <w:rPr>
                <w:rFonts w:ascii="Times New Roman" w:eastAsia="Times New Roman" w:hAnsi="Times New Roman" w:cs="Times New Roman"/>
                <w:sz w:val="20"/>
                <w:szCs w:val="20"/>
                <w:lang w:eastAsia="hu-HU"/>
              </w:rPr>
            </w:pPr>
            <w:r w:rsidRPr="1D3ABBAA">
              <w:rPr>
                <w:rFonts w:ascii="Times New Roman" w:hAnsi="Times New Roman" w:cs="Times New Roman"/>
                <w:i/>
                <w:iCs/>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E83D2" w14:textId="4F44AF06" w:rsidR="007741C9" w:rsidRPr="007741C9" w:rsidRDefault="00A61775" w:rsidP="1D3ABBAA">
            <w:pPr>
              <w:keepNext/>
              <w:keepLines/>
              <w:spacing w:after="0" w:line="240" w:lineRule="auto"/>
              <w:jc w:val="right"/>
              <w:rPr>
                <w:rFonts w:ascii="Times New Roman" w:eastAsia="Times New Roman" w:hAnsi="Times New Roman" w:cs="Times New Roman"/>
                <w:sz w:val="20"/>
                <w:szCs w:val="20"/>
                <w:lang w:eastAsia="hu-HU"/>
              </w:rPr>
            </w:pPr>
            <w:r>
              <w:rPr>
                <w:rFonts w:ascii="Times New Roman" w:hAnsi="Times New Roman" w:cs="Times New Roman"/>
                <w:i/>
                <w:iCs/>
              </w:rPr>
              <w:t>100,0</w:t>
            </w:r>
          </w:p>
        </w:tc>
      </w:tr>
      <w:tr w:rsidR="007741C9" w:rsidRPr="00377D59" w14:paraId="44EF96BF" w14:textId="77777777" w:rsidTr="1D3ABBAA">
        <w:trPr>
          <w:trHeight w:val="340"/>
        </w:trPr>
        <w:tc>
          <w:tcPr>
            <w:tcW w:w="5382" w:type="dxa"/>
            <w:vAlign w:val="center"/>
            <w:hideMark/>
          </w:tcPr>
          <w:p w14:paraId="3DD87A70" w14:textId="766307B5" w:rsidR="007741C9" w:rsidRPr="00EB7ACF" w:rsidRDefault="1D3ABBAA" w:rsidP="1D3ABBAA">
            <w:pPr>
              <w:keepNext/>
              <w:keepLines/>
              <w:spacing w:after="0" w:line="240" w:lineRule="auto"/>
              <w:rPr>
                <w:rFonts w:ascii="Times New Roman" w:eastAsia="Times New Roman" w:hAnsi="Times New Roman" w:cs="Times New Roman"/>
                <w:b/>
                <w:bCs/>
                <w:sz w:val="20"/>
                <w:szCs w:val="20"/>
                <w:lang w:eastAsia="hu-HU"/>
              </w:rPr>
            </w:pPr>
            <w:r w:rsidRPr="1D3ABBAA">
              <w:rPr>
                <w:rFonts w:ascii="Times New Roman" w:eastAsia="Times New Roman" w:hAnsi="Times New Roman" w:cs="Times New Roman"/>
                <w:b/>
                <w:bCs/>
                <w:sz w:val="20"/>
                <w:szCs w:val="20"/>
                <w:lang w:eastAsia="hu-HU"/>
              </w:rPr>
              <w:t>Helyi önkormányzatok kiegészítő támogatása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DDE983" w14:textId="774362F3"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12,7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423BA" w14:textId="5033B555"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9,1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B67F0" w14:textId="7225662A"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-3,6</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F6C6E" w14:textId="238C1A03"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71,9</w:t>
            </w:r>
          </w:p>
        </w:tc>
      </w:tr>
      <w:tr w:rsidR="007741C9" w:rsidRPr="00377D59" w14:paraId="648C3F54" w14:textId="77777777" w:rsidTr="1D3ABBAA">
        <w:trPr>
          <w:trHeight w:val="340"/>
        </w:trPr>
        <w:tc>
          <w:tcPr>
            <w:tcW w:w="5382" w:type="dxa"/>
            <w:vAlign w:val="center"/>
            <w:hideMark/>
          </w:tcPr>
          <w:p w14:paraId="3676EE9C" w14:textId="4925EF27" w:rsidR="007741C9" w:rsidRPr="00EB7ACF" w:rsidRDefault="1D3ABBAA" w:rsidP="1D3ABBAA">
            <w:pPr>
              <w:keepNext/>
              <w:keepLines/>
              <w:spacing w:after="0" w:line="240" w:lineRule="auto"/>
              <w:rPr>
                <w:rFonts w:ascii="Times New Roman" w:eastAsia="Times New Roman" w:hAnsi="Times New Roman" w:cs="Times New Roman"/>
                <w:b/>
                <w:bCs/>
                <w:sz w:val="20"/>
                <w:szCs w:val="20"/>
                <w:lang w:eastAsia="hu-HU"/>
              </w:rPr>
            </w:pPr>
            <w:r w:rsidRPr="1D3ABBAA">
              <w:rPr>
                <w:rFonts w:ascii="Times New Roman" w:eastAsia="Times New Roman" w:hAnsi="Times New Roman" w:cs="Times New Roman"/>
                <w:b/>
                <w:bCs/>
                <w:sz w:val="20"/>
                <w:szCs w:val="20"/>
                <w:lang w:eastAsia="hu-HU"/>
              </w:rPr>
              <w:t>Év közben létrejött új jogcímek kiadásai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ACAC9E" w14:textId="2579EDE7"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6E9FC" w14:textId="496A63CC"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13,6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B586A" w14:textId="7863B6DA"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13,6</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BBBB0" w14:textId="2E3ED114"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 </w:t>
            </w:r>
          </w:p>
        </w:tc>
      </w:tr>
      <w:tr w:rsidR="007741C9" w:rsidRPr="00377D59" w14:paraId="60064293" w14:textId="77777777" w:rsidTr="1D3ABBAA">
        <w:trPr>
          <w:trHeight w:val="340"/>
        </w:trPr>
        <w:tc>
          <w:tcPr>
            <w:tcW w:w="5382" w:type="dxa"/>
            <w:noWrap/>
            <w:vAlign w:val="center"/>
            <w:hideMark/>
          </w:tcPr>
          <w:p w14:paraId="73666509" w14:textId="770E1DDA" w:rsidR="007741C9" w:rsidRPr="00EB7ACF" w:rsidRDefault="1D3ABBAA" w:rsidP="1D3ABBAA">
            <w:pPr>
              <w:widowControl w:val="0"/>
              <w:spacing w:after="0" w:line="240" w:lineRule="auto"/>
              <w:rPr>
                <w:rFonts w:ascii="Times New Roman" w:eastAsia="Times New Roman" w:hAnsi="Times New Roman" w:cs="Times New Roman"/>
                <w:b/>
                <w:bCs/>
                <w:sz w:val="20"/>
                <w:szCs w:val="20"/>
                <w:lang w:eastAsia="hu-HU"/>
              </w:rPr>
            </w:pPr>
            <w:r w:rsidRPr="1D3ABBAA">
              <w:rPr>
                <w:rFonts w:ascii="Times New Roman" w:eastAsia="Times New Roman" w:hAnsi="Times New Roman" w:cs="Times New Roman"/>
                <w:b/>
                <w:bCs/>
                <w:sz w:val="20"/>
                <w:szCs w:val="20"/>
                <w:lang w:eastAsia="hu-HU"/>
              </w:rPr>
              <w:t>Összesen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3EFD36" w14:textId="66940367"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154,6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4CCAC" w14:textId="39943C9E"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177,8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CA3FA" w14:textId="4ADDD64F"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23,2</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B57DC" w14:textId="5741CBD8" w:rsidR="007741C9" w:rsidRPr="007741C9" w:rsidRDefault="1D3ABBAA" w:rsidP="1D3ABBAA">
            <w:pPr>
              <w:keepNext/>
              <w:keepLines/>
              <w:spacing w:after="0" w:line="240" w:lineRule="auto"/>
              <w:jc w:val="right"/>
              <w:rPr>
                <w:rFonts w:ascii="Times New Roman" w:eastAsia="Times New Roman" w:hAnsi="Times New Roman" w:cs="Times New Roman"/>
                <w:b/>
                <w:bCs/>
                <w:sz w:val="20"/>
                <w:szCs w:val="20"/>
                <w:lang w:eastAsia="hu-HU"/>
              </w:rPr>
            </w:pPr>
            <w:r w:rsidRPr="1D3ABBAA">
              <w:rPr>
                <w:rFonts w:ascii="Times New Roman" w:hAnsi="Times New Roman" w:cs="Times New Roman"/>
                <w:b/>
                <w:bCs/>
              </w:rPr>
              <w:t>115,0</w:t>
            </w:r>
          </w:p>
        </w:tc>
      </w:tr>
    </w:tbl>
    <w:bookmarkEnd w:id="0"/>
    <w:p w14:paraId="294CBB33" w14:textId="60C55EC9" w:rsidR="74B9DF17" w:rsidRPr="00CD1AC2" w:rsidRDefault="1D3ABBAA" w:rsidP="1D3ABBAA">
      <w:pPr>
        <w:spacing w:before="240" w:after="120"/>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Az </w:t>
      </w:r>
      <w:r w:rsidRPr="1D3ABBAA">
        <w:rPr>
          <w:rFonts w:ascii="Times New Roman" w:eastAsia="Times New Roman" w:hAnsi="Times New Roman" w:cs="Times New Roman"/>
          <w:b/>
          <w:bCs/>
          <w:sz w:val="26"/>
          <w:szCs w:val="26"/>
        </w:rPr>
        <w:t>Uniós programok kiadásai</w:t>
      </w:r>
      <w:r w:rsidRPr="1D3ABBAA">
        <w:rPr>
          <w:rFonts w:ascii="Times New Roman" w:eastAsia="Times New Roman" w:hAnsi="Times New Roman" w:cs="Times New Roman"/>
          <w:i/>
          <w:iCs/>
          <w:sz w:val="26"/>
          <w:szCs w:val="26"/>
        </w:rPr>
        <w:t xml:space="preserve"> </w:t>
      </w:r>
      <w:r w:rsidRPr="1D3ABBAA">
        <w:rPr>
          <w:rFonts w:ascii="Times New Roman" w:eastAsia="Times New Roman" w:hAnsi="Times New Roman" w:cs="Times New Roman"/>
          <w:sz w:val="26"/>
          <w:szCs w:val="26"/>
        </w:rPr>
        <w:t>mérlegsoron 2026. január végéig 155,0 milliárd forint összegű kifizetés történt, amely a törvényi előirányzat (2761,2 milliárd forint) 5,6%-os teljesítését jelenti. A felmerült kiadások túlnyomó részét a 2021-2027-es Széchenyi Plusz programjai adták.</w:t>
      </w:r>
    </w:p>
    <w:p w14:paraId="6ABC464B" w14:textId="73144832" w:rsidR="74B9DF17" w:rsidRPr="00CD1AC2" w:rsidRDefault="1D3ABBAA" w:rsidP="1D3ABBAA">
      <w:pPr>
        <w:spacing w:before="160"/>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A legnagyobb összegű kifizetéseket ezen időszakban a Széchenyi Terv Plusz operatív programok közül az Integrált Közlekedésfejlesztési OP Plusz (IKOP Plusz), Emberi Erőforrás Fejlesztési OP Plusz (EFOP Plusz) és a Terület- és Településfejlesztési OP (TOP Plusz) teljesítette. Kiemelkedők továbbá a Vidékfejlesztési Program és a KAP Stratégiai Terv Vidékfejlesztési Intézkedéseinek kifizetése.</w:t>
      </w:r>
    </w:p>
    <w:p w14:paraId="0738AA04" w14:textId="77777777" w:rsidR="003E05FC" w:rsidRDefault="003E05FC">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0EE0B389" w14:textId="190245B3" w:rsidR="029C2633" w:rsidRPr="00CD1AC2" w:rsidRDefault="1D3ABBAA" w:rsidP="1D3ABBAA">
      <w:pPr>
        <w:keepLines/>
        <w:spacing w:before="160"/>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lastRenderedPageBreak/>
        <w:t xml:space="preserve">Az </w:t>
      </w:r>
      <w:r w:rsidRPr="1D3ABBAA">
        <w:rPr>
          <w:rFonts w:ascii="Times New Roman" w:eastAsia="Times New Roman" w:hAnsi="Times New Roman" w:cs="Times New Roman"/>
          <w:b/>
          <w:bCs/>
          <w:sz w:val="26"/>
          <w:szCs w:val="26"/>
        </w:rPr>
        <w:t>állami vagyonnal kapcsolatos kiadások</w:t>
      </w:r>
      <w:r w:rsidRPr="1D3ABBAA">
        <w:rPr>
          <w:rFonts w:ascii="Times New Roman" w:eastAsia="Times New Roman" w:hAnsi="Times New Roman" w:cs="Times New Roman"/>
          <w:sz w:val="26"/>
          <w:szCs w:val="26"/>
        </w:rPr>
        <w:t xml:space="preserve"> januári összege 16,0 milliárd forint volt, amelynek meghatározó része egyéb kiadásokhoz kapcsolódóan került kifizetésre.</w:t>
      </w:r>
    </w:p>
    <w:p w14:paraId="4D36018A" w14:textId="34866870" w:rsidR="000B49AE" w:rsidRPr="00377D59" w:rsidRDefault="003E05FC" w:rsidP="000B49AE">
      <w:pPr>
        <w:spacing w:before="240" w:after="120" w:line="240" w:lineRule="auto"/>
        <w:jc w:val="center"/>
        <w:rPr>
          <w:rFonts w:ascii="Times New Roman" w:eastAsia="Times New Roman" w:hAnsi="Times New Roman" w:cs="Times New Roman"/>
          <w:b/>
          <w:bCs/>
          <w:sz w:val="26"/>
          <w:szCs w:val="26"/>
        </w:rPr>
      </w:pPr>
      <w:r>
        <w:rPr>
          <w:noProof/>
        </w:rPr>
        <w:drawing>
          <wp:inline distT="0" distB="0" distL="0" distR="0" wp14:anchorId="23616F53" wp14:editId="2EA1D17E">
            <wp:extent cx="6001655" cy="3802438"/>
            <wp:effectExtent l="0" t="0" r="0" b="7620"/>
            <wp:docPr id="1045201785" name="Kép 1" descr="A képen szöveg, képernyőkép, szám, so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1785" name="Kép 1" descr="A képen szöveg, képernyőkép, szám, sor látható&#10;&#10;Előfordulhat, hogy a mesterséges intelligencia által létrehozott tartalom helytelen."/>
                    <pic:cNvPicPr/>
                  </pic:nvPicPr>
                  <pic:blipFill>
                    <a:blip r:embed="rId19"/>
                    <a:stretch>
                      <a:fillRect/>
                    </a:stretch>
                  </pic:blipFill>
                  <pic:spPr>
                    <a:xfrm>
                      <a:off x="0" y="0"/>
                      <a:ext cx="6006540" cy="3805533"/>
                    </a:xfrm>
                    <a:prstGeom prst="rect">
                      <a:avLst/>
                    </a:prstGeom>
                  </pic:spPr>
                </pic:pic>
              </a:graphicData>
            </a:graphic>
          </wp:inline>
        </w:drawing>
      </w:r>
    </w:p>
    <w:p w14:paraId="030326D3" w14:textId="262DE180" w:rsidR="5B67C7D7" w:rsidRPr="00A37FE5"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Az </w:t>
      </w:r>
      <w:r w:rsidRPr="1D3ABBAA">
        <w:rPr>
          <w:rFonts w:ascii="Times New Roman" w:eastAsia="Times New Roman" w:hAnsi="Times New Roman" w:cs="Times New Roman"/>
          <w:b/>
          <w:bCs/>
          <w:sz w:val="26"/>
          <w:szCs w:val="26"/>
        </w:rPr>
        <w:t xml:space="preserve">állami beruházási fejezet kiadásait </w:t>
      </w:r>
      <w:r w:rsidRPr="1D3ABBAA">
        <w:rPr>
          <w:rFonts w:ascii="Times New Roman" w:eastAsia="Times New Roman" w:hAnsi="Times New Roman" w:cs="Times New Roman"/>
          <w:sz w:val="26"/>
          <w:szCs w:val="26"/>
        </w:rPr>
        <w:t>alapvetően az egyes projektek előrehaladása határozza meg. 2026 januárjában összesen 21,4 milliárd forint kiadás teljesült, amely magasabb a 2025 azonos időszakában teljesültekhez képest, amelyet az állami közútfejlesztési beruházások előző évihez képest magasabb teljesítménye okoz. A</w:t>
      </w:r>
      <w:r w:rsidR="000A3AC0">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kifizetések nagy része az állami közútfejlesztési beruházásokhoz (17,2 milliárd forint) és az állami vasútfejlesztési beruházásokhoz (3,6 milliárd forint) kapcsolódtak.</w:t>
      </w:r>
    </w:p>
    <w:p w14:paraId="598CEA5E" w14:textId="053B0486" w:rsidR="00C224F5" w:rsidRPr="00A37FE5"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Az </w:t>
      </w:r>
      <w:r w:rsidRPr="1D3ABBAA">
        <w:rPr>
          <w:rFonts w:ascii="Times New Roman" w:eastAsia="Times New Roman" w:hAnsi="Times New Roman" w:cs="Times New Roman"/>
          <w:b/>
          <w:bCs/>
          <w:sz w:val="26"/>
          <w:szCs w:val="26"/>
        </w:rPr>
        <w:t>egyéb kiadások</w:t>
      </w:r>
      <w:r w:rsidRPr="1D3ABBAA">
        <w:rPr>
          <w:rFonts w:ascii="Times New Roman" w:eastAsia="Times New Roman" w:hAnsi="Times New Roman" w:cs="Times New Roman"/>
          <w:sz w:val="26"/>
          <w:szCs w:val="26"/>
        </w:rPr>
        <w:t xml:space="preserve"> </w:t>
      </w:r>
      <w:r w:rsidR="00FF1C7F" w:rsidRPr="00FF1C7F">
        <w:rPr>
          <w:rFonts w:ascii="Times New Roman" w:eastAsia="Times New Roman" w:hAnsi="Times New Roman" w:cs="Times New Roman"/>
          <w:sz w:val="26"/>
          <w:szCs w:val="26"/>
        </w:rPr>
        <w:t>202</w:t>
      </w:r>
      <w:r w:rsidR="00FF1C7F">
        <w:rPr>
          <w:rFonts w:ascii="Times New Roman" w:eastAsia="Times New Roman" w:hAnsi="Times New Roman" w:cs="Times New Roman"/>
          <w:sz w:val="26"/>
          <w:szCs w:val="26"/>
        </w:rPr>
        <w:t xml:space="preserve">6. </w:t>
      </w:r>
      <w:r w:rsidR="00FF1C7F" w:rsidRPr="00FF1C7F">
        <w:rPr>
          <w:rFonts w:ascii="Times New Roman" w:eastAsia="Times New Roman" w:hAnsi="Times New Roman" w:cs="Times New Roman"/>
          <w:sz w:val="26"/>
          <w:szCs w:val="26"/>
        </w:rPr>
        <w:t>évi január havi teljesítése</w:t>
      </w:r>
      <w:r w:rsidRPr="1D3ABBAA">
        <w:rPr>
          <w:rFonts w:ascii="Times New Roman" w:eastAsia="Times New Roman" w:hAnsi="Times New Roman" w:cs="Times New Roman"/>
          <w:sz w:val="26"/>
          <w:szCs w:val="26"/>
        </w:rPr>
        <w:t xml:space="preserve"> </w:t>
      </w:r>
      <w:r w:rsidR="00FF1C7F">
        <w:rPr>
          <w:rFonts w:ascii="Times New Roman" w:eastAsia="Times New Roman" w:hAnsi="Times New Roman" w:cs="Times New Roman"/>
          <w:sz w:val="26"/>
          <w:szCs w:val="26"/>
        </w:rPr>
        <w:t>74,3</w:t>
      </w:r>
      <w:r w:rsidRPr="1D3ABBAA">
        <w:rPr>
          <w:rFonts w:ascii="Times New Roman" w:eastAsia="Times New Roman" w:hAnsi="Times New Roman" w:cs="Times New Roman"/>
          <w:sz w:val="26"/>
          <w:szCs w:val="26"/>
        </w:rPr>
        <w:t xml:space="preserve"> milliárd forint lett, ami </w:t>
      </w:r>
      <w:r w:rsidR="00FF1C7F">
        <w:rPr>
          <w:rFonts w:ascii="Times New Roman" w:eastAsia="Times New Roman" w:hAnsi="Times New Roman" w:cs="Times New Roman"/>
          <w:sz w:val="26"/>
          <w:szCs w:val="26"/>
        </w:rPr>
        <w:t>23,3</w:t>
      </w:r>
      <w:r w:rsidRPr="1D3ABBAA">
        <w:rPr>
          <w:rFonts w:ascii="Times New Roman" w:eastAsia="Times New Roman" w:hAnsi="Times New Roman" w:cs="Times New Roman"/>
          <w:sz w:val="26"/>
          <w:szCs w:val="26"/>
        </w:rPr>
        <w:t xml:space="preserve"> milliárd forinttal magasabban alakult az előző év azonos időszakához képest. </w:t>
      </w:r>
    </w:p>
    <w:p w14:paraId="15F013A7" w14:textId="078736FA" w:rsidR="74B9DF17" w:rsidRPr="00A37FE5"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 </w:t>
      </w:r>
      <w:r w:rsidRPr="1D3ABBAA">
        <w:rPr>
          <w:rFonts w:ascii="Times New Roman" w:eastAsia="Times New Roman" w:hAnsi="Times New Roman" w:cs="Times New Roman"/>
          <w:b/>
          <w:bCs/>
          <w:sz w:val="26"/>
          <w:szCs w:val="26"/>
        </w:rPr>
        <w:t>Hozzájárulás az EU költségvetéséhez</w:t>
      </w:r>
      <w:r w:rsidRPr="1D3ABBAA">
        <w:rPr>
          <w:rFonts w:ascii="Times New Roman" w:eastAsia="Times New Roman" w:hAnsi="Times New Roman" w:cs="Times New Roman"/>
          <w:sz w:val="26"/>
          <w:szCs w:val="26"/>
        </w:rPr>
        <w:t xml:space="preserve"> mérlegsoron 2026. január végéig 68,2</w:t>
      </w:r>
      <w:r w:rsidR="00AF7E69">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milliárd forint kiadás teljesült, ami a törvényi előirányzat 8,6%-a. E hozzájárulás 8,8</w:t>
      </w:r>
      <w:r w:rsidR="00AF7E69">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milliárd forinttal haladja meg a 2025. év azonos időszakában teljesített kiadásokat.</w:t>
      </w:r>
    </w:p>
    <w:p w14:paraId="0F5A0F03" w14:textId="31521A9F" w:rsidR="6462B5A6" w:rsidRPr="00A37FE5"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 </w:t>
      </w:r>
      <w:r w:rsidRPr="1D3ABBAA">
        <w:rPr>
          <w:rFonts w:ascii="Times New Roman" w:eastAsia="Times New Roman" w:hAnsi="Times New Roman" w:cs="Times New Roman"/>
          <w:b/>
          <w:bCs/>
          <w:sz w:val="26"/>
          <w:szCs w:val="26"/>
        </w:rPr>
        <w:t>Nemzeti Kutatási, Fejlesztési és Innovációs Alapból</w:t>
      </w:r>
      <w:r w:rsidRPr="1D3ABBAA">
        <w:rPr>
          <w:rFonts w:ascii="Times New Roman" w:eastAsia="Times New Roman" w:hAnsi="Times New Roman" w:cs="Times New Roman"/>
          <w:sz w:val="26"/>
          <w:szCs w:val="26"/>
        </w:rPr>
        <w:t xml:space="preserve"> (NKFI Alap) 2026. január végéig 27,9 milliárd forint kiadás teljesült, ami az éves előirányzat 19,2 %-a.</w:t>
      </w:r>
    </w:p>
    <w:p w14:paraId="17605E21" w14:textId="6B2B1E22" w:rsidR="6462B5A6" w:rsidRPr="00A37FE5"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 </w:t>
      </w:r>
      <w:r w:rsidRPr="1D3ABBAA">
        <w:rPr>
          <w:rFonts w:ascii="Times New Roman" w:eastAsia="Times New Roman" w:hAnsi="Times New Roman" w:cs="Times New Roman"/>
          <w:b/>
          <w:bCs/>
          <w:sz w:val="26"/>
          <w:szCs w:val="26"/>
        </w:rPr>
        <w:t>Nemzeti Foglalkoztatási Alap</w:t>
      </w:r>
      <w:r w:rsidRPr="1D3ABBAA">
        <w:rPr>
          <w:rFonts w:ascii="Times New Roman" w:eastAsia="Times New Roman" w:hAnsi="Times New Roman" w:cs="Times New Roman"/>
          <w:sz w:val="26"/>
          <w:szCs w:val="26"/>
        </w:rPr>
        <w:t xml:space="preserve"> (NFA) kiadásai esetében a Start-munkaprogramra összesen 8,7 milliárd forint teljesült. Az uniós elő- és társfinanszírozásra 2,6 milliárd forintot fordítottak.</w:t>
      </w:r>
    </w:p>
    <w:p w14:paraId="76B18BB1" w14:textId="4FD44DCC" w:rsidR="123EFD2F" w:rsidRPr="00A37FE5"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A</w:t>
      </w:r>
      <w:r w:rsidRPr="1D3ABBAA">
        <w:rPr>
          <w:rFonts w:ascii="Times New Roman" w:eastAsia="Times New Roman" w:hAnsi="Times New Roman" w:cs="Times New Roman"/>
          <w:b/>
          <w:bCs/>
          <w:sz w:val="26"/>
          <w:szCs w:val="26"/>
        </w:rPr>
        <w:t xml:space="preserve"> Bethlen Gábor Alapból</w:t>
      </w:r>
      <w:r w:rsidRPr="1D3ABBAA">
        <w:rPr>
          <w:rFonts w:ascii="Times New Roman" w:eastAsia="Times New Roman" w:hAnsi="Times New Roman" w:cs="Times New Roman"/>
          <w:sz w:val="26"/>
          <w:szCs w:val="26"/>
        </w:rPr>
        <w:t xml:space="preserve"> (BGA) 2026. januárban 14,2 millió forint kiadás teljesült. Az</w:t>
      </w:r>
      <w:r w:rsidR="000F76C4">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alapból nyújtott támogatások a BGA irányítását ellátó Bizottság döntései alapján, ütemezetten kerültek kifizetésre.</w:t>
      </w:r>
    </w:p>
    <w:p w14:paraId="29A20A18" w14:textId="3768DF2F" w:rsidR="00D72777" w:rsidRDefault="1D3ABBAA" w:rsidP="15BE4434">
      <w:pPr>
        <w:jc w:val="both"/>
      </w:pPr>
      <w:r w:rsidRPr="1D3ABBAA">
        <w:rPr>
          <w:rFonts w:ascii="Times New Roman" w:eastAsia="Times New Roman" w:hAnsi="Times New Roman" w:cs="Times New Roman"/>
          <w:sz w:val="26"/>
          <w:szCs w:val="26"/>
        </w:rPr>
        <w:lastRenderedPageBreak/>
        <w:t xml:space="preserve">A </w:t>
      </w:r>
      <w:r w:rsidRPr="1D3ABBAA">
        <w:rPr>
          <w:rFonts w:ascii="Times New Roman" w:eastAsia="Times New Roman" w:hAnsi="Times New Roman" w:cs="Times New Roman"/>
          <w:b/>
          <w:bCs/>
          <w:sz w:val="26"/>
          <w:szCs w:val="26"/>
        </w:rPr>
        <w:t xml:space="preserve">Nyugdíjbiztosítási Alap </w:t>
      </w:r>
      <w:r w:rsidRPr="1D3ABBAA">
        <w:rPr>
          <w:rFonts w:ascii="Times New Roman" w:eastAsia="Times New Roman" w:hAnsi="Times New Roman" w:cs="Times New Roman"/>
          <w:sz w:val="26"/>
          <w:szCs w:val="26"/>
        </w:rPr>
        <w:t>nyugellátási kiadásai január végéig 541,2 milliárd forintban teljesültek, ami 42</w:t>
      </w:r>
      <w:r w:rsidR="000F76C4">
        <w:rPr>
          <w:rFonts w:ascii="Times New Roman" w:eastAsia="Times New Roman" w:hAnsi="Times New Roman" w:cs="Times New Roman"/>
          <w:sz w:val="26"/>
          <w:szCs w:val="26"/>
        </w:rPr>
        <w:t>,0 </w:t>
      </w:r>
      <w:r w:rsidRPr="1D3ABBAA">
        <w:rPr>
          <w:rFonts w:ascii="Times New Roman" w:eastAsia="Times New Roman" w:hAnsi="Times New Roman" w:cs="Times New Roman"/>
          <w:sz w:val="26"/>
          <w:szCs w:val="26"/>
        </w:rPr>
        <w:t xml:space="preserve">milliárd forinttal haladta meg az előző év azonos időszakának teljesítési adatait. </w:t>
      </w:r>
    </w:p>
    <w:p w14:paraId="39FE7DED" w14:textId="11589956" w:rsidR="00D72777" w:rsidRDefault="1D3ABBAA" w:rsidP="15BE4434">
      <w:pPr>
        <w:jc w:val="both"/>
      </w:pPr>
      <w:r w:rsidRPr="1D3ABBAA">
        <w:rPr>
          <w:rFonts w:ascii="Times New Roman" w:eastAsia="Times New Roman" w:hAnsi="Times New Roman" w:cs="Times New Roman"/>
          <w:sz w:val="26"/>
          <w:szCs w:val="26"/>
        </w:rPr>
        <w:t xml:space="preserve">A 8,4%-os kiadásnövekedést az előző év novemberében végrehajtott 1,6%-os kiegészítő nyugdíjemelés, a tárgyév január hónapban végrehajtott 3,6%-os inflációkövető nyugdíjemelés, valamint az eltelt időszakban bekövetkezett létszámváltozás és cserélődés együttes hatása okozta. A januári nyugdíjemelés kiadásnövelő hatása a Nyugdíjbiztosítási Alapnál január hónapban 18,5 milliárd </w:t>
      </w:r>
      <w:r w:rsidR="00180C20">
        <w:rPr>
          <w:rFonts w:ascii="Times New Roman" w:eastAsia="Times New Roman" w:hAnsi="Times New Roman" w:cs="Times New Roman"/>
          <w:sz w:val="26"/>
          <w:szCs w:val="26"/>
        </w:rPr>
        <w:t>forint</w:t>
      </w:r>
      <w:r w:rsidRPr="1D3ABBAA">
        <w:rPr>
          <w:rFonts w:ascii="Times New Roman" w:eastAsia="Times New Roman" w:hAnsi="Times New Roman" w:cs="Times New Roman"/>
          <w:sz w:val="26"/>
          <w:szCs w:val="26"/>
        </w:rPr>
        <w:t xml:space="preserve"> volt.</w:t>
      </w:r>
    </w:p>
    <w:p w14:paraId="168226B1" w14:textId="4B944957" w:rsidR="00D72777"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Az első hónapban a nyugellátási kiadásokon belül a korbetöltött öregségi nyugellátások 8,7%-kal, a nők 40 év jogosultsági idővel igénybe vehető öregségi nyugdíja („nők 40”) pedig 9,4%-kal haladta meg az előző év azonos időszakának kiadásait.</w:t>
      </w:r>
    </w:p>
    <w:p w14:paraId="636BCB9D" w14:textId="251B0B15" w:rsidR="00AA22CB" w:rsidRDefault="003676D3" w:rsidP="7A1FFE35">
      <w:pPr>
        <w:jc w:val="both"/>
        <w:rPr>
          <w:rFonts w:ascii="Times New Roman" w:eastAsia="Times New Roman" w:hAnsi="Times New Roman" w:cs="Times New Roman"/>
          <w:sz w:val="26"/>
          <w:szCs w:val="26"/>
        </w:rPr>
      </w:pPr>
      <w:r>
        <w:rPr>
          <w:noProof/>
        </w:rPr>
        <w:drawing>
          <wp:inline distT="0" distB="0" distL="0" distR="0" wp14:anchorId="1984F69A" wp14:editId="1A0D04FD">
            <wp:extent cx="5940425" cy="2531745"/>
            <wp:effectExtent l="0" t="0" r="3175" b="1905"/>
            <wp:docPr id="1271122298" name="Kép 1" descr="A képen szöveg, diagram, képernyőkép, so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22298" name="Kép 1" descr="A képen szöveg, diagram, képernyőkép, sor látható&#10;&#10;Előfordulhat, hogy a mesterséges intelligencia által létrehozott tartalom helytelen."/>
                    <pic:cNvPicPr/>
                  </pic:nvPicPr>
                  <pic:blipFill>
                    <a:blip r:embed="rId20"/>
                    <a:stretch>
                      <a:fillRect/>
                    </a:stretch>
                  </pic:blipFill>
                  <pic:spPr>
                    <a:xfrm>
                      <a:off x="0" y="0"/>
                      <a:ext cx="5940425" cy="2531745"/>
                    </a:xfrm>
                    <a:prstGeom prst="rect">
                      <a:avLst/>
                    </a:prstGeom>
                  </pic:spPr>
                </pic:pic>
              </a:graphicData>
            </a:graphic>
          </wp:inline>
        </w:drawing>
      </w:r>
    </w:p>
    <w:p w14:paraId="7BDB967D" w14:textId="4B2BE85D" w:rsidR="3E75DAF6"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Az öregségi nyugdíjban részesülők 2026. január havi </w:t>
      </w:r>
      <w:r w:rsidRPr="1D3ABBAA">
        <w:rPr>
          <w:rFonts w:ascii="Times New Roman" w:eastAsia="Times New Roman" w:hAnsi="Times New Roman" w:cs="Times New Roman"/>
          <w:b/>
          <w:bCs/>
          <w:sz w:val="26"/>
          <w:szCs w:val="26"/>
        </w:rPr>
        <w:t>átlagos statisztikai állományi létszáma</w:t>
      </w:r>
      <w:r w:rsidRPr="1D3ABBAA">
        <w:rPr>
          <w:rFonts w:ascii="Times New Roman" w:eastAsia="Times New Roman" w:hAnsi="Times New Roman" w:cs="Times New Roman"/>
          <w:sz w:val="26"/>
          <w:szCs w:val="26"/>
        </w:rPr>
        <w:t xml:space="preserve"> az előző év azonos időszakához képest 15 451 fővel nőtt, ezen belül a korbetöltött öregségi nyugdíjban részesülők létszáma 15 271 fővel, a nők kedvezményes nyugdíjában részesülők létszáma 180 fővel lett magasabb. Jelenleg 142 827 fő veszi igénybe a „nők 40” kedvezményes nyugdíját. A nők kedvezményes nyugdíjában részesülők (korhatár alattiak) létszámát az új ellátások megállapításán és az elhalálozottak állományi létszámból való kivezetésén túl a korhatár betöltések is befolyásolják.</w:t>
      </w:r>
    </w:p>
    <w:p w14:paraId="11F8A96C" w14:textId="7C2B7D8E" w:rsidR="3E75DAF6" w:rsidRDefault="1D3ABBAA" w:rsidP="3E75DAF6">
      <w:pPr>
        <w:jc w:val="both"/>
      </w:pPr>
      <w:r w:rsidRPr="1D3ABBAA">
        <w:rPr>
          <w:rFonts w:ascii="Times New Roman" w:eastAsia="Times New Roman" w:hAnsi="Times New Roman" w:cs="Times New Roman"/>
          <w:sz w:val="26"/>
          <w:szCs w:val="26"/>
        </w:rPr>
        <w:t>A kiugró létszámnövekedés oka, hogy 2026. január 1-jétől az egészségügyi ágazatban foglalkoztatottak – a szociális, gyermekvédelmi és köznevelési intézményekben foglalkoztatottakhoz hasonlóan – mentesülnek az öregségi nyugdíjuk szüneteltetése alól, részükre januártól ismét folyósításra kerülnek a Nyugdíjbiztosítási Alapból az öregségi nyugellátások. A jogszabálymódosítás következtében egy hónap alatt (decemberről</w:t>
      </w:r>
      <w:r w:rsidR="00180C20">
        <w:rPr>
          <w:rFonts w:ascii="Times New Roman" w:eastAsia="Times New Roman" w:hAnsi="Times New Roman" w:cs="Times New Roman"/>
          <w:sz w:val="26"/>
          <w:szCs w:val="26"/>
        </w:rPr>
        <w:t xml:space="preserve"> </w:t>
      </w:r>
      <w:r w:rsidRPr="1D3ABBAA">
        <w:rPr>
          <w:rFonts w:ascii="Times New Roman" w:eastAsia="Times New Roman" w:hAnsi="Times New Roman" w:cs="Times New Roman"/>
          <w:sz w:val="26"/>
          <w:szCs w:val="26"/>
        </w:rPr>
        <w:t>januárra) 7224 fővel nőtt a korbetöltött öregségi nyugellátásban részesülők és 5293 fővel a nők kedvezményes nyugdíjában részesülők (korhatár alattiak) létszáma, ami január hónapban hozzávetőleg mintegy 4,2</w:t>
      </w:r>
      <w:r w:rsidR="000C6AA1">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milliárd forinttal emelte meg a nyugellátási kiadásokat.</w:t>
      </w:r>
    </w:p>
    <w:p w14:paraId="52250089" w14:textId="13159D12" w:rsidR="3E75DAF6" w:rsidRDefault="1D3ABBAA" w:rsidP="3E75DAF6">
      <w:pPr>
        <w:jc w:val="both"/>
      </w:pPr>
      <w:r w:rsidRPr="1D3ABBAA">
        <w:rPr>
          <w:rFonts w:ascii="Times New Roman" w:eastAsia="Times New Roman" w:hAnsi="Times New Roman" w:cs="Times New Roman"/>
          <w:sz w:val="26"/>
          <w:szCs w:val="26"/>
        </w:rPr>
        <w:lastRenderedPageBreak/>
        <w:t>Az öregségi nyugdíjak átlagos havi összege egy év alatt 18 666 forinttal emelkedett, 2026.</w:t>
      </w:r>
      <w:r w:rsidR="000C6AA1">
        <w:rPr>
          <w:rFonts w:ascii="Times New Roman" w:eastAsia="Times New Roman" w:hAnsi="Times New Roman" w:cs="Times New Roman"/>
          <w:sz w:val="26"/>
          <w:szCs w:val="26"/>
        </w:rPr>
        <w:t> </w:t>
      </w:r>
      <w:r w:rsidRPr="1D3ABBAA">
        <w:rPr>
          <w:rFonts w:ascii="Times New Roman" w:eastAsia="Times New Roman" w:hAnsi="Times New Roman" w:cs="Times New Roman"/>
          <w:sz w:val="26"/>
          <w:szCs w:val="26"/>
        </w:rPr>
        <w:t>januárban 260 993 forint volt.</w:t>
      </w:r>
    </w:p>
    <w:p w14:paraId="725BF303" w14:textId="174F7D04" w:rsidR="7BF38582"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Az ellátások egy főre jutó havi átlagos összege az egyes ellátotti jogcímeken belül az előző év azonos időszakával összehasonlítva az alábbiak szerint alakult.</w:t>
      </w:r>
    </w:p>
    <w:p w14:paraId="503DFEB7" w14:textId="63928225" w:rsidR="00EF1F5B" w:rsidRDefault="003676D3" w:rsidP="002D6802">
      <w:pPr>
        <w:pStyle w:val="NormlWeb"/>
        <w:spacing w:before="0" w:beforeAutospacing="0" w:after="0" w:afterAutospacing="0"/>
        <w:jc w:val="center"/>
      </w:pPr>
      <w:r>
        <w:rPr>
          <w:noProof/>
        </w:rPr>
        <w:drawing>
          <wp:inline distT="0" distB="0" distL="0" distR="0" wp14:anchorId="0697A62D" wp14:editId="6E7B5F28">
            <wp:extent cx="5297575" cy="3385804"/>
            <wp:effectExtent l="0" t="0" r="0" b="5715"/>
            <wp:docPr id="475760896" name="Kép 1" descr="A képen szöveg, képernyőkép, szám,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60896" name="Kép 1" descr="A képen szöveg, képernyőkép, szám, diagram látható&#10;&#10;Előfordulhat, hogy a mesterséges intelligencia által létrehozott tartalom helytelen."/>
                    <pic:cNvPicPr/>
                  </pic:nvPicPr>
                  <pic:blipFill>
                    <a:blip r:embed="rId21"/>
                    <a:stretch>
                      <a:fillRect/>
                    </a:stretch>
                  </pic:blipFill>
                  <pic:spPr>
                    <a:xfrm>
                      <a:off x="0" y="0"/>
                      <a:ext cx="5314082" cy="3396354"/>
                    </a:xfrm>
                    <a:prstGeom prst="rect">
                      <a:avLst/>
                    </a:prstGeom>
                  </pic:spPr>
                </pic:pic>
              </a:graphicData>
            </a:graphic>
          </wp:inline>
        </w:drawing>
      </w:r>
    </w:p>
    <w:p w14:paraId="3779DB9C" w14:textId="246CB37A" w:rsidR="0022104D" w:rsidRDefault="1D3ABBAA" w:rsidP="00A31F84">
      <w:pPr>
        <w:widowControl w:val="0"/>
        <w:spacing w:before="240"/>
        <w:jc w:val="both"/>
      </w:pPr>
      <w:r w:rsidRPr="1D3ABBAA">
        <w:rPr>
          <w:rFonts w:ascii="Times New Roman" w:eastAsia="Times New Roman" w:hAnsi="Times New Roman" w:cs="Times New Roman"/>
          <w:sz w:val="26"/>
          <w:szCs w:val="26"/>
        </w:rPr>
        <w:t xml:space="preserve">Az öregségi nyugdíjban, hozzátartozói nyugellátásban részesülők jogcím szerinti megoszlásának összehasonlítását a korábbi adatokkal az alábbi ábrák mutatják. </w:t>
      </w:r>
    </w:p>
    <w:p w14:paraId="6E229341" w14:textId="31DFE09F" w:rsidR="00EF1F5B" w:rsidRDefault="003676D3" w:rsidP="003676D3">
      <w:pPr>
        <w:pStyle w:val="NormlWeb"/>
        <w:widowControl w:val="0"/>
        <w:ind w:right="424"/>
        <w:jc w:val="center"/>
      </w:pPr>
      <w:r>
        <w:rPr>
          <w:noProof/>
        </w:rPr>
        <w:drawing>
          <wp:inline distT="0" distB="0" distL="0" distR="0" wp14:anchorId="74B8F64C" wp14:editId="497D01BA">
            <wp:extent cx="5940425" cy="2576946"/>
            <wp:effectExtent l="0" t="0" r="3175" b="0"/>
            <wp:docPr id="439372628" name="Kép 1" descr="A képen szöveg, képernyőkép, diagram, Betűtípu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72628" name="Kép 1" descr="A képen szöveg, képernyőkép, diagram, Betűtípus látható&#10;&#10;Előfordulhat, hogy a mesterséges intelligencia által létrehozott tartalom helytelen."/>
                    <pic:cNvPicPr/>
                  </pic:nvPicPr>
                  <pic:blipFill>
                    <a:blip r:embed="rId22"/>
                    <a:stretch>
                      <a:fillRect/>
                    </a:stretch>
                  </pic:blipFill>
                  <pic:spPr>
                    <a:xfrm>
                      <a:off x="0" y="0"/>
                      <a:ext cx="5942728" cy="2577945"/>
                    </a:xfrm>
                    <a:prstGeom prst="rect">
                      <a:avLst/>
                    </a:prstGeom>
                  </pic:spPr>
                </pic:pic>
              </a:graphicData>
            </a:graphic>
          </wp:inline>
        </w:drawing>
      </w:r>
    </w:p>
    <w:p w14:paraId="1A6AC2DB" w14:textId="013DFE04" w:rsidR="3E75DAF6" w:rsidRDefault="3E75DAF6" w:rsidP="3E75DAF6">
      <w:pPr>
        <w:rPr>
          <w:rFonts w:ascii="Times New Roman" w:eastAsia="Times New Roman" w:hAnsi="Times New Roman" w:cs="Times New Roman"/>
          <w:sz w:val="26"/>
          <w:szCs w:val="26"/>
        </w:rPr>
      </w:pPr>
    </w:p>
    <w:p w14:paraId="7431C42B" w14:textId="77777777" w:rsidR="003676D3" w:rsidRDefault="003676D3">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2A4F88FB" w14:textId="0DFE69E9" w:rsidR="00D4148C" w:rsidRPr="002B492B" w:rsidRDefault="1D3ABBAA" w:rsidP="1D3ABBAA">
      <w:pPr>
        <w:widowControl w:val="0"/>
        <w:rPr>
          <w:rFonts w:ascii="Times New Roman" w:eastAsia="Times New Roman" w:hAnsi="Times New Roman" w:cs="Times New Roman"/>
          <w:b/>
          <w:bCs/>
          <w:sz w:val="26"/>
          <w:szCs w:val="26"/>
        </w:rPr>
      </w:pPr>
      <w:r w:rsidRPr="1D3ABBAA">
        <w:rPr>
          <w:rFonts w:ascii="Times New Roman" w:eastAsia="Times New Roman" w:hAnsi="Times New Roman" w:cs="Times New Roman"/>
          <w:sz w:val="26"/>
          <w:szCs w:val="26"/>
        </w:rPr>
        <w:lastRenderedPageBreak/>
        <w:t xml:space="preserve">Az </w:t>
      </w:r>
      <w:r w:rsidRPr="1D3ABBAA">
        <w:rPr>
          <w:rFonts w:ascii="Times New Roman" w:eastAsia="Times New Roman" w:hAnsi="Times New Roman" w:cs="Times New Roman"/>
          <w:b/>
          <w:bCs/>
          <w:sz w:val="26"/>
          <w:szCs w:val="26"/>
        </w:rPr>
        <w:t>Egészségbiztosítási Alap kiadásainak</w:t>
      </w:r>
      <w:r w:rsidRPr="1D3ABBAA">
        <w:rPr>
          <w:rFonts w:ascii="Times New Roman" w:eastAsia="Times New Roman" w:hAnsi="Times New Roman" w:cs="Times New Roman"/>
          <w:sz w:val="26"/>
          <w:szCs w:val="26"/>
        </w:rPr>
        <w:t xml:space="preserve"> összetételét a következő ábra mutatja be:</w:t>
      </w:r>
      <w:r w:rsidRPr="1D3ABBAA">
        <w:rPr>
          <w:rFonts w:ascii="Times New Roman" w:eastAsia="Times New Roman" w:hAnsi="Times New Roman" w:cs="Times New Roman"/>
          <w:b/>
          <w:bCs/>
          <w:sz w:val="26"/>
          <w:szCs w:val="26"/>
        </w:rPr>
        <w:t xml:space="preserve"> </w:t>
      </w:r>
    </w:p>
    <w:p w14:paraId="57C38B59" w14:textId="11497682" w:rsidR="00D4148C" w:rsidRDefault="003676D3" w:rsidP="003676D3">
      <w:pPr>
        <w:widowControl w:val="0"/>
        <w:spacing w:after="240"/>
        <w:jc w:val="center"/>
        <w:rPr>
          <w:rFonts w:ascii="Times New Roman" w:eastAsia="Times New Roman" w:hAnsi="Times New Roman" w:cs="Times New Roman"/>
          <w:sz w:val="26"/>
          <w:szCs w:val="26"/>
        </w:rPr>
      </w:pPr>
      <w:r>
        <w:rPr>
          <w:noProof/>
        </w:rPr>
        <w:drawing>
          <wp:inline distT="0" distB="0" distL="0" distR="0" wp14:anchorId="4A5413AC" wp14:editId="6D95AFB3">
            <wp:extent cx="5496329" cy="2179197"/>
            <wp:effectExtent l="0" t="0" r="0" b="0"/>
            <wp:docPr id="109604548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45487" name=""/>
                    <pic:cNvPicPr/>
                  </pic:nvPicPr>
                  <pic:blipFill>
                    <a:blip r:embed="rId23"/>
                    <a:stretch>
                      <a:fillRect/>
                    </a:stretch>
                  </pic:blipFill>
                  <pic:spPr>
                    <a:xfrm>
                      <a:off x="0" y="0"/>
                      <a:ext cx="5527437" cy="2191531"/>
                    </a:xfrm>
                    <a:prstGeom prst="rect">
                      <a:avLst/>
                    </a:prstGeom>
                  </pic:spPr>
                </pic:pic>
              </a:graphicData>
            </a:graphic>
          </wp:inline>
        </w:drawing>
      </w:r>
    </w:p>
    <w:p w14:paraId="19FDF989" w14:textId="46C8FE3F" w:rsidR="00CA3468" w:rsidRDefault="1D3ABBAA" w:rsidP="003676D3">
      <w:pPr>
        <w:widowControl w:val="0"/>
        <w:spacing w:after="120"/>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Az </w:t>
      </w:r>
      <w:r w:rsidRPr="1D3ABBAA">
        <w:rPr>
          <w:rFonts w:ascii="Times New Roman" w:eastAsia="Times New Roman" w:hAnsi="Times New Roman" w:cs="Times New Roman"/>
          <w:b/>
          <w:bCs/>
          <w:sz w:val="26"/>
          <w:szCs w:val="26"/>
        </w:rPr>
        <w:t>Egészségbiztosítási Alap</w:t>
      </w:r>
      <w:r w:rsidRPr="1D3ABBAA">
        <w:rPr>
          <w:rFonts w:ascii="Times New Roman" w:eastAsia="Times New Roman" w:hAnsi="Times New Roman" w:cs="Times New Roman"/>
          <w:sz w:val="26"/>
          <w:szCs w:val="26"/>
        </w:rPr>
        <w:t xml:space="preserve"> összes kiadásának 27,4%-át a </w:t>
      </w:r>
      <w:r w:rsidRPr="1D3ABBAA">
        <w:rPr>
          <w:rFonts w:ascii="Times New Roman" w:eastAsia="Times New Roman" w:hAnsi="Times New Roman" w:cs="Times New Roman"/>
          <w:b/>
          <w:bCs/>
          <w:sz w:val="26"/>
          <w:szCs w:val="26"/>
        </w:rPr>
        <w:t>pénzbeli ellátásokra</w:t>
      </w:r>
      <w:r w:rsidRPr="1D3ABBAA">
        <w:rPr>
          <w:rFonts w:ascii="Times New Roman" w:eastAsia="Times New Roman" w:hAnsi="Times New Roman" w:cs="Times New Roman"/>
          <w:sz w:val="26"/>
          <w:szCs w:val="26"/>
        </w:rPr>
        <w:t xml:space="preserve"> fordított összeg adta. Az ellátások részletes bemutatását a következő táblázat tartalmazza:</w:t>
      </w:r>
    </w:p>
    <w:p w14:paraId="1D31F2C8" w14:textId="3F5AAC59" w:rsidR="00DA4FBC" w:rsidRPr="001074A1" w:rsidRDefault="1D3ABBAA" w:rsidP="1D3ABBAA">
      <w:pPr>
        <w:widowControl w:val="0"/>
        <w:spacing w:after="240"/>
        <w:jc w:val="center"/>
        <w:rPr>
          <w:rFonts w:ascii="Times New Roman" w:eastAsia="Times New Roman" w:hAnsi="Times New Roman" w:cs="Times New Roman"/>
          <w:b/>
          <w:bCs/>
        </w:rPr>
      </w:pPr>
      <w:r w:rsidRPr="1D3ABBAA">
        <w:rPr>
          <w:rFonts w:ascii="Times New Roman" w:eastAsia="Times New Roman" w:hAnsi="Times New Roman" w:cs="Times New Roman"/>
          <w:b/>
          <w:bCs/>
        </w:rPr>
        <w:t>Az Egészségbiztosítási Alap pénzbeli ellátásokra fordított kiadásainak alakulása (milliárd forint)</w:t>
      </w:r>
    </w:p>
    <w:tbl>
      <w:tblPr>
        <w:tblpPr w:leftFromText="141" w:rightFromText="141" w:vertAnchor="text" w:tblpXSpec="center" w:tblpY="1"/>
        <w:tblOverlap w:val="never"/>
        <w:tblW w:w="8718" w:type="dxa"/>
        <w:tblLayout w:type="fixed"/>
        <w:tblCellMar>
          <w:left w:w="70" w:type="dxa"/>
          <w:right w:w="70" w:type="dxa"/>
        </w:tblCellMar>
        <w:tblLook w:val="04A0" w:firstRow="1" w:lastRow="0" w:firstColumn="1" w:lastColumn="0" w:noHBand="0" w:noVBand="1"/>
      </w:tblPr>
      <w:tblGrid>
        <w:gridCol w:w="4248"/>
        <w:gridCol w:w="1276"/>
        <w:gridCol w:w="1209"/>
        <w:gridCol w:w="992"/>
        <w:gridCol w:w="993"/>
      </w:tblGrid>
      <w:tr w:rsidR="00E601EF" w:rsidRPr="00377D59" w14:paraId="06E6BC15" w14:textId="77777777" w:rsidTr="1D3ABBAA">
        <w:trPr>
          <w:trHeight w:val="340"/>
        </w:trPr>
        <w:tc>
          <w:tcPr>
            <w:tcW w:w="4248" w:type="dxa"/>
            <w:vMerge w:val="restart"/>
            <w:tcBorders>
              <w:top w:val="single" w:sz="4" w:space="0" w:color="auto"/>
              <w:left w:val="single" w:sz="4" w:space="0" w:color="auto"/>
              <w:bottom w:val="single" w:sz="4" w:space="0" w:color="000000" w:themeColor="text1"/>
              <w:right w:val="single" w:sz="4" w:space="0" w:color="auto"/>
            </w:tcBorders>
            <w:shd w:val="clear" w:color="auto" w:fill="BDD6EE" w:themeFill="accent1" w:themeFillTint="66"/>
            <w:noWrap/>
            <w:vAlign w:val="center"/>
            <w:hideMark/>
          </w:tcPr>
          <w:p w14:paraId="510863DA" w14:textId="77777777" w:rsidR="00E601EF" w:rsidRPr="00377D59" w:rsidRDefault="1D3ABBAA" w:rsidP="1D3ABBAA">
            <w:pPr>
              <w:widowControl w:val="0"/>
              <w:spacing w:after="0" w:line="240" w:lineRule="auto"/>
              <w:jc w:val="center"/>
              <w:rPr>
                <w:rFonts w:ascii="Times New Roman" w:eastAsia="Times New Roman" w:hAnsi="Times New Roman" w:cs="Times New Roman"/>
                <w:b/>
                <w:bCs/>
              </w:rPr>
            </w:pPr>
            <w:r w:rsidRPr="1D3ABBAA">
              <w:rPr>
                <w:rFonts w:ascii="Times New Roman" w:eastAsia="Times New Roman" w:hAnsi="Times New Roman" w:cs="Times New Roman"/>
                <w:b/>
                <w:bCs/>
              </w:rPr>
              <w:t>Megnevezés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A7FE5D" w14:textId="77777777" w:rsidR="005F7B25" w:rsidRDefault="1D3ABBAA" w:rsidP="1D3ABBAA">
            <w:pPr>
              <w:widowControl w:val="0"/>
              <w:spacing w:after="0" w:line="240" w:lineRule="auto"/>
              <w:jc w:val="center"/>
              <w:rPr>
                <w:rFonts w:ascii="Times New Roman" w:eastAsia="Times New Roman" w:hAnsi="Times New Roman" w:cs="Times New Roman"/>
                <w:b/>
                <w:bCs/>
              </w:rPr>
            </w:pPr>
            <w:r w:rsidRPr="1D3ABBAA">
              <w:rPr>
                <w:rFonts w:ascii="Times New Roman" w:eastAsia="Times New Roman" w:hAnsi="Times New Roman" w:cs="Times New Roman"/>
                <w:b/>
                <w:bCs/>
              </w:rPr>
              <w:t xml:space="preserve">2025. </w:t>
            </w:r>
          </w:p>
          <w:p w14:paraId="6BB44369" w14:textId="3ED9769B" w:rsidR="00E601EF" w:rsidRPr="00377D59" w:rsidRDefault="1D3ABBAA" w:rsidP="1D3ABBAA">
            <w:pPr>
              <w:widowControl w:val="0"/>
              <w:spacing w:after="0" w:line="240" w:lineRule="auto"/>
              <w:jc w:val="center"/>
              <w:rPr>
                <w:rFonts w:ascii="Times New Roman" w:eastAsia="Times New Roman" w:hAnsi="Times New Roman" w:cs="Times New Roman"/>
                <w:b/>
                <w:bCs/>
              </w:rPr>
            </w:pPr>
            <w:r w:rsidRPr="1D3ABBAA">
              <w:rPr>
                <w:rFonts w:ascii="Times New Roman" w:eastAsia="Times New Roman" w:hAnsi="Times New Roman" w:cs="Times New Roman"/>
                <w:b/>
                <w:bCs/>
              </w:rPr>
              <w:t>I. hó</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26BDEFD" w14:textId="77777777" w:rsidR="005F7B25" w:rsidRDefault="1D3ABBAA" w:rsidP="1D3ABBAA">
            <w:pPr>
              <w:widowControl w:val="0"/>
              <w:spacing w:after="0" w:line="240" w:lineRule="auto"/>
              <w:jc w:val="center"/>
              <w:rPr>
                <w:rFonts w:ascii="Times New Roman" w:eastAsia="Times New Roman" w:hAnsi="Times New Roman" w:cs="Times New Roman"/>
                <w:b/>
                <w:bCs/>
              </w:rPr>
            </w:pPr>
            <w:r w:rsidRPr="1D3ABBAA">
              <w:rPr>
                <w:rFonts w:ascii="Times New Roman" w:eastAsia="Times New Roman" w:hAnsi="Times New Roman" w:cs="Times New Roman"/>
                <w:b/>
                <w:bCs/>
              </w:rPr>
              <w:t xml:space="preserve">2026. </w:t>
            </w:r>
          </w:p>
          <w:p w14:paraId="5A1BFE64" w14:textId="03ECE723" w:rsidR="00E601EF" w:rsidRPr="004E5F60" w:rsidRDefault="1D3ABBAA" w:rsidP="1D3ABBAA">
            <w:pPr>
              <w:widowControl w:val="0"/>
              <w:spacing w:after="0" w:line="240" w:lineRule="auto"/>
              <w:jc w:val="center"/>
              <w:rPr>
                <w:rFonts w:ascii="Times New Roman" w:eastAsia="Times New Roman" w:hAnsi="Times New Roman" w:cs="Times New Roman"/>
                <w:b/>
                <w:bCs/>
              </w:rPr>
            </w:pPr>
            <w:r w:rsidRPr="1D3ABBAA">
              <w:rPr>
                <w:rFonts w:ascii="Times New Roman" w:eastAsia="Times New Roman" w:hAnsi="Times New Roman" w:cs="Times New Roman"/>
                <w:b/>
                <w:bCs/>
              </w:rPr>
              <w:t>I. hó</w:t>
            </w:r>
          </w:p>
        </w:tc>
        <w:tc>
          <w:tcPr>
            <w:tcW w:w="1985"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EFB39D6" w14:textId="77777777" w:rsidR="00E601EF" w:rsidRPr="00377D59" w:rsidRDefault="1D3ABBAA" w:rsidP="1D3ABBAA">
            <w:pPr>
              <w:widowControl w:val="0"/>
              <w:spacing w:after="0" w:line="240" w:lineRule="auto"/>
              <w:jc w:val="center"/>
              <w:rPr>
                <w:rFonts w:ascii="Times New Roman" w:eastAsia="Times New Roman" w:hAnsi="Times New Roman" w:cs="Times New Roman"/>
                <w:b/>
                <w:bCs/>
              </w:rPr>
            </w:pPr>
            <w:r w:rsidRPr="1D3ABBAA">
              <w:rPr>
                <w:rFonts w:ascii="Times New Roman" w:eastAsia="Times New Roman" w:hAnsi="Times New Roman" w:cs="Times New Roman"/>
                <w:b/>
                <w:bCs/>
              </w:rPr>
              <w:t>Eltérés</w:t>
            </w:r>
          </w:p>
        </w:tc>
      </w:tr>
      <w:tr w:rsidR="00E601EF" w:rsidRPr="00377D59" w14:paraId="67C6C54B" w14:textId="77777777" w:rsidTr="1D3ABBAA">
        <w:trPr>
          <w:trHeight w:val="340"/>
        </w:trPr>
        <w:tc>
          <w:tcPr>
            <w:tcW w:w="4248"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5CCA367D" w14:textId="77777777" w:rsidR="00E601EF" w:rsidRPr="00377D59" w:rsidRDefault="00E601EF" w:rsidP="00A31F84">
            <w:pPr>
              <w:widowControl w:val="0"/>
              <w:spacing w:after="0" w:line="240" w:lineRule="auto"/>
              <w:rPr>
                <w:rFonts w:ascii="Times New Roman" w:eastAsia="Times New Roman" w:hAnsi="Times New Roman" w:cs="Times New Roman"/>
                <w:b/>
                <w:bCs/>
                <w:lang w:eastAsia="hu-HU"/>
              </w:rPr>
            </w:pPr>
          </w:p>
        </w:tc>
        <w:tc>
          <w:tcPr>
            <w:tcW w:w="127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99307A"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12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E594B6"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986BC2B" w14:textId="77777777" w:rsidR="00E601EF" w:rsidRPr="00377D59" w:rsidRDefault="1D3ABBAA" w:rsidP="1D3ABBAA">
            <w:pPr>
              <w:widowControl w:val="0"/>
              <w:spacing w:after="0" w:line="240" w:lineRule="auto"/>
              <w:jc w:val="center"/>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Mrd Ft</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0EDA458" w14:textId="77777777" w:rsidR="00E601EF" w:rsidRPr="00377D59" w:rsidRDefault="1D3ABBAA" w:rsidP="1D3ABBAA">
            <w:pPr>
              <w:widowControl w:val="0"/>
              <w:spacing w:after="0" w:line="240" w:lineRule="auto"/>
              <w:jc w:val="center"/>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w:t>
            </w:r>
          </w:p>
        </w:tc>
      </w:tr>
      <w:tr w:rsidR="00494D4B" w:rsidRPr="00377D59" w14:paraId="0F7FB8C0" w14:textId="77777777" w:rsidTr="1D3ABBAA">
        <w:trPr>
          <w:trHeight w:val="340"/>
        </w:trPr>
        <w:tc>
          <w:tcPr>
            <w:tcW w:w="4248" w:type="dxa"/>
            <w:tcBorders>
              <w:top w:val="nil"/>
              <w:left w:val="single" w:sz="4" w:space="0" w:color="auto"/>
              <w:bottom w:val="single" w:sz="4" w:space="0" w:color="auto"/>
              <w:right w:val="single" w:sz="4" w:space="0" w:color="auto"/>
            </w:tcBorders>
            <w:noWrap/>
            <w:vAlign w:val="center"/>
            <w:hideMark/>
          </w:tcPr>
          <w:p w14:paraId="4F8BBBDE" w14:textId="77777777" w:rsidR="00494D4B" w:rsidRPr="00377D59" w:rsidRDefault="1D3ABBAA" w:rsidP="1D3ABBAA">
            <w:pPr>
              <w:widowControl w:val="0"/>
              <w:spacing w:after="0" w:line="240" w:lineRule="auto"/>
              <w:ind w:firstLine="67"/>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Pénzbeli ellátások</w:t>
            </w:r>
          </w:p>
        </w:tc>
        <w:tc>
          <w:tcPr>
            <w:tcW w:w="1276" w:type="dxa"/>
            <w:tcBorders>
              <w:top w:val="single" w:sz="4" w:space="0" w:color="auto"/>
              <w:left w:val="nil"/>
              <w:bottom w:val="single" w:sz="4" w:space="0" w:color="auto"/>
              <w:right w:val="single" w:sz="4" w:space="0" w:color="auto"/>
            </w:tcBorders>
            <w:vAlign w:val="center"/>
          </w:tcPr>
          <w:p w14:paraId="3EB30386" w14:textId="0B05B167" w:rsidR="00494D4B" w:rsidRPr="001074A1" w:rsidRDefault="1D3ABBAA" w:rsidP="1D3ABBAA">
            <w:pPr>
              <w:widowControl w:val="0"/>
              <w:spacing w:after="0"/>
              <w:jc w:val="right"/>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102,9</w:t>
            </w:r>
          </w:p>
        </w:tc>
        <w:tc>
          <w:tcPr>
            <w:tcW w:w="1209" w:type="dxa"/>
            <w:tcBorders>
              <w:top w:val="single" w:sz="4" w:space="0" w:color="auto"/>
              <w:left w:val="nil"/>
              <w:bottom w:val="single" w:sz="4" w:space="0" w:color="auto"/>
              <w:right w:val="single" w:sz="4" w:space="0" w:color="auto"/>
            </w:tcBorders>
            <w:vAlign w:val="center"/>
          </w:tcPr>
          <w:p w14:paraId="749AF748" w14:textId="1AF6B5B9" w:rsidR="00494D4B" w:rsidRPr="001074A1" w:rsidRDefault="1D3ABBAA" w:rsidP="1D3ABBAA">
            <w:pPr>
              <w:widowControl w:val="0"/>
              <w:spacing w:after="0"/>
              <w:jc w:val="right"/>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110,1</w:t>
            </w:r>
          </w:p>
        </w:tc>
        <w:tc>
          <w:tcPr>
            <w:tcW w:w="992" w:type="dxa"/>
            <w:tcBorders>
              <w:top w:val="single" w:sz="4" w:space="0" w:color="auto"/>
              <w:left w:val="nil"/>
              <w:bottom w:val="single" w:sz="4" w:space="0" w:color="auto"/>
              <w:right w:val="single" w:sz="4" w:space="0" w:color="auto"/>
            </w:tcBorders>
            <w:noWrap/>
            <w:vAlign w:val="center"/>
          </w:tcPr>
          <w:p w14:paraId="780D698F" w14:textId="14EB6A2F" w:rsidR="00494D4B" w:rsidRPr="001074A1" w:rsidRDefault="1D3ABBAA" w:rsidP="1D3ABBAA">
            <w:pPr>
              <w:widowControl w:val="0"/>
              <w:spacing w:after="0"/>
              <w:jc w:val="right"/>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7,2</w:t>
            </w:r>
          </w:p>
        </w:tc>
        <w:tc>
          <w:tcPr>
            <w:tcW w:w="993" w:type="dxa"/>
            <w:tcBorders>
              <w:top w:val="single" w:sz="4" w:space="0" w:color="auto"/>
              <w:left w:val="nil"/>
              <w:bottom w:val="single" w:sz="4" w:space="0" w:color="auto"/>
              <w:right w:val="single" w:sz="4" w:space="0" w:color="auto"/>
            </w:tcBorders>
            <w:noWrap/>
            <w:vAlign w:val="center"/>
          </w:tcPr>
          <w:p w14:paraId="35977C13" w14:textId="1DAB6EBD" w:rsidR="00494D4B" w:rsidRPr="001074A1" w:rsidRDefault="1D3ABBAA" w:rsidP="1D3ABBAA">
            <w:pPr>
              <w:widowControl w:val="0"/>
              <w:spacing w:after="0"/>
              <w:jc w:val="right"/>
              <w:rPr>
                <w:rFonts w:ascii="Times New Roman" w:eastAsia="Times New Roman" w:hAnsi="Times New Roman" w:cs="Times New Roman"/>
                <w:b/>
                <w:bCs/>
                <w:lang w:eastAsia="hu-HU"/>
              </w:rPr>
            </w:pPr>
            <w:r w:rsidRPr="1D3ABBAA">
              <w:rPr>
                <w:rFonts w:ascii="Times New Roman" w:eastAsia="Times New Roman" w:hAnsi="Times New Roman" w:cs="Times New Roman"/>
                <w:b/>
                <w:bCs/>
                <w:lang w:eastAsia="hu-HU"/>
              </w:rPr>
              <w:t>107,0</w:t>
            </w:r>
          </w:p>
        </w:tc>
      </w:tr>
      <w:tr w:rsidR="00494D4B" w:rsidRPr="00377D59" w14:paraId="07715518" w14:textId="77777777" w:rsidTr="1D3ABBAA">
        <w:trPr>
          <w:trHeight w:val="284"/>
        </w:trPr>
        <w:tc>
          <w:tcPr>
            <w:tcW w:w="4248" w:type="dxa"/>
            <w:tcBorders>
              <w:top w:val="nil"/>
              <w:left w:val="single" w:sz="4" w:space="0" w:color="auto"/>
              <w:bottom w:val="single" w:sz="4" w:space="0" w:color="auto"/>
              <w:right w:val="single" w:sz="4" w:space="0" w:color="auto"/>
            </w:tcBorders>
            <w:noWrap/>
            <w:vAlign w:val="center"/>
            <w:hideMark/>
          </w:tcPr>
          <w:p w14:paraId="31DF5B0B" w14:textId="77777777" w:rsidR="00494D4B" w:rsidRPr="003D21B5" w:rsidRDefault="1D3ABBAA" w:rsidP="1D3ABBAA">
            <w:pPr>
              <w:widowControl w:val="0"/>
              <w:spacing w:after="0" w:line="240" w:lineRule="auto"/>
              <w:ind w:firstLine="285"/>
              <w:rPr>
                <w:rFonts w:ascii="Times New Roman" w:eastAsia="Times New Roman" w:hAnsi="Times New Roman" w:cs="Times New Roman"/>
                <w:i/>
                <w:iCs/>
                <w:lang w:eastAsia="hu-HU"/>
              </w:rPr>
            </w:pPr>
            <w:r w:rsidRPr="1D3ABBAA">
              <w:rPr>
                <w:rFonts w:ascii="Times New Roman" w:eastAsia="Times New Roman" w:hAnsi="Times New Roman" w:cs="Times New Roman"/>
                <w:i/>
                <w:iCs/>
                <w:lang w:eastAsia="hu-HU"/>
              </w:rPr>
              <w:t>Ebből:</w:t>
            </w:r>
          </w:p>
        </w:tc>
        <w:tc>
          <w:tcPr>
            <w:tcW w:w="4470" w:type="dxa"/>
            <w:gridSpan w:val="4"/>
            <w:tcBorders>
              <w:top w:val="single" w:sz="4" w:space="0" w:color="auto"/>
              <w:left w:val="nil"/>
              <w:bottom w:val="single" w:sz="4" w:space="0" w:color="auto"/>
              <w:right w:val="single" w:sz="4" w:space="0" w:color="auto"/>
            </w:tcBorders>
            <w:vAlign w:val="center"/>
          </w:tcPr>
          <w:p w14:paraId="60B47ECC" w14:textId="007D4839" w:rsidR="00494D4B" w:rsidRPr="003D21B5" w:rsidRDefault="1D3ABBAA" w:rsidP="1D3ABBAA">
            <w:pPr>
              <w:widowControl w:val="0"/>
              <w:spacing w:after="0" w:line="240" w:lineRule="auto"/>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 </w:t>
            </w:r>
          </w:p>
        </w:tc>
      </w:tr>
      <w:tr w:rsidR="00494D4B" w:rsidRPr="00377D59" w14:paraId="72B9616A" w14:textId="77777777" w:rsidTr="1D3ABBAA">
        <w:trPr>
          <w:trHeight w:val="340"/>
        </w:trPr>
        <w:tc>
          <w:tcPr>
            <w:tcW w:w="4248" w:type="dxa"/>
            <w:tcBorders>
              <w:top w:val="nil"/>
              <w:left w:val="single" w:sz="4" w:space="0" w:color="auto"/>
              <w:bottom w:val="single" w:sz="4" w:space="0" w:color="auto"/>
              <w:right w:val="single" w:sz="4" w:space="0" w:color="auto"/>
            </w:tcBorders>
            <w:noWrap/>
            <w:vAlign w:val="center"/>
            <w:hideMark/>
          </w:tcPr>
          <w:p w14:paraId="21DA2C4C" w14:textId="77777777" w:rsidR="00494D4B" w:rsidRPr="003D21B5" w:rsidRDefault="1D3ABBAA" w:rsidP="1D3ABBAA">
            <w:pPr>
              <w:widowControl w:val="0"/>
              <w:spacing w:after="0" w:line="240" w:lineRule="auto"/>
              <w:ind w:firstLine="67"/>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Rokkantsági, rehabilitációs ellátások</w:t>
            </w:r>
          </w:p>
        </w:tc>
        <w:tc>
          <w:tcPr>
            <w:tcW w:w="1276" w:type="dxa"/>
            <w:tcBorders>
              <w:top w:val="single" w:sz="4" w:space="0" w:color="auto"/>
              <w:left w:val="nil"/>
              <w:bottom w:val="single" w:sz="4" w:space="0" w:color="auto"/>
              <w:right w:val="single" w:sz="4" w:space="0" w:color="auto"/>
            </w:tcBorders>
            <w:noWrap/>
            <w:vAlign w:val="center"/>
          </w:tcPr>
          <w:p w14:paraId="49E22A63" w14:textId="61219F0A"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31,3</w:t>
            </w:r>
          </w:p>
        </w:tc>
        <w:tc>
          <w:tcPr>
            <w:tcW w:w="1209" w:type="dxa"/>
            <w:tcBorders>
              <w:top w:val="single" w:sz="4" w:space="0" w:color="auto"/>
              <w:left w:val="nil"/>
              <w:bottom w:val="single" w:sz="4" w:space="0" w:color="auto"/>
              <w:right w:val="single" w:sz="4" w:space="0" w:color="auto"/>
            </w:tcBorders>
            <w:noWrap/>
            <w:vAlign w:val="center"/>
          </w:tcPr>
          <w:p w14:paraId="0480FC73" w14:textId="52321FAA"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33,3</w:t>
            </w:r>
          </w:p>
        </w:tc>
        <w:tc>
          <w:tcPr>
            <w:tcW w:w="992" w:type="dxa"/>
            <w:tcBorders>
              <w:top w:val="single" w:sz="4" w:space="0" w:color="auto"/>
              <w:left w:val="nil"/>
              <w:bottom w:val="single" w:sz="4" w:space="0" w:color="auto"/>
              <w:right w:val="single" w:sz="4" w:space="0" w:color="auto"/>
            </w:tcBorders>
            <w:noWrap/>
            <w:vAlign w:val="center"/>
          </w:tcPr>
          <w:p w14:paraId="63616B24" w14:textId="47F44B0C"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2,0</w:t>
            </w:r>
          </w:p>
        </w:tc>
        <w:tc>
          <w:tcPr>
            <w:tcW w:w="993" w:type="dxa"/>
            <w:tcBorders>
              <w:top w:val="single" w:sz="4" w:space="0" w:color="auto"/>
              <w:left w:val="nil"/>
              <w:bottom w:val="single" w:sz="4" w:space="0" w:color="auto"/>
              <w:right w:val="single" w:sz="4" w:space="0" w:color="auto"/>
            </w:tcBorders>
            <w:noWrap/>
            <w:vAlign w:val="center"/>
          </w:tcPr>
          <w:p w14:paraId="2B583A17" w14:textId="2DABDCC6"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106,4</w:t>
            </w:r>
          </w:p>
        </w:tc>
      </w:tr>
      <w:tr w:rsidR="00494D4B" w:rsidRPr="00377D59" w14:paraId="778FD915" w14:textId="77777777" w:rsidTr="1D3ABBAA">
        <w:trPr>
          <w:trHeight w:val="340"/>
        </w:trPr>
        <w:tc>
          <w:tcPr>
            <w:tcW w:w="4248" w:type="dxa"/>
            <w:tcBorders>
              <w:top w:val="nil"/>
              <w:left w:val="single" w:sz="4" w:space="0" w:color="auto"/>
              <w:bottom w:val="single" w:sz="4" w:space="0" w:color="auto"/>
              <w:right w:val="single" w:sz="4" w:space="0" w:color="auto"/>
            </w:tcBorders>
            <w:noWrap/>
            <w:vAlign w:val="center"/>
            <w:hideMark/>
          </w:tcPr>
          <w:p w14:paraId="4CDB1046" w14:textId="4891E4FD" w:rsidR="00494D4B" w:rsidRPr="003D21B5" w:rsidRDefault="1D3ABBAA" w:rsidP="1D3ABBAA">
            <w:pPr>
              <w:widowControl w:val="0"/>
              <w:spacing w:after="0" w:line="240" w:lineRule="auto"/>
              <w:ind w:firstLine="67"/>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Gyermekgondozási díj és örökbefogadói díj</w:t>
            </w:r>
          </w:p>
        </w:tc>
        <w:tc>
          <w:tcPr>
            <w:tcW w:w="1276" w:type="dxa"/>
            <w:tcBorders>
              <w:top w:val="single" w:sz="4" w:space="0" w:color="auto"/>
              <w:left w:val="nil"/>
              <w:bottom w:val="single" w:sz="4" w:space="0" w:color="auto"/>
              <w:right w:val="single" w:sz="4" w:space="0" w:color="auto"/>
            </w:tcBorders>
            <w:noWrap/>
            <w:vAlign w:val="center"/>
          </w:tcPr>
          <w:p w14:paraId="0B0C3582" w14:textId="54F356C9"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34,2</w:t>
            </w:r>
          </w:p>
        </w:tc>
        <w:tc>
          <w:tcPr>
            <w:tcW w:w="1209" w:type="dxa"/>
            <w:tcBorders>
              <w:top w:val="single" w:sz="4" w:space="0" w:color="auto"/>
              <w:left w:val="nil"/>
              <w:bottom w:val="single" w:sz="4" w:space="0" w:color="auto"/>
              <w:right w:val="single" w:sz="4" w:space="0" w:color="auto"/>
            </w:tcBorders>
            <w:noWrap/>
            <w:vAlign w:val="center"/>
          </w:tcPr>
          <w:p w14:paraId="6E6D7B2A" w14:textId="1270FFFF"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35,9</w:t>
            </w:r>
          </w:p>
        </w:tc>
        <w:tc>
          <w:tcPr>
            <w:tcW w:w="992" w:type="dxa"/>
            <w:tcBorders>
              <w:top w:val="single" w:sz="4" w:space="0" w:color="auto"/>
              <w:left w:val="nil"/>
              <w:bottom w:val="single" w:sz="4" w:space="0" w:color="auto"/>
              <w:right w:val="single" w:sz="4" w:space="0" w:color="auto"/>
            </w:tcBorders>
            <w:noWrap/>
            <w:vAlign w:val="center"/>
          </w:tcPr>
          <w:p w14:paraId="791AEA46" w14:textId="6BF8E8BB"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1,7</w:t>
            </w:r>
          </w:p>
        </w:tc>
        <w:tc>
          <w:tcPr>
            <w:tcW w:w="993" w:type="dxa"/>
            <w:tcBorders>
              <w:top w:val="single" w:sz="4" w:space="0" w:color="auto"/>
              <w:left w:val="nil"/>
              <w:bottom w:val="single" w:sz="4" w:space="0" w:color="auto"/>
              <w:right w:val="single" w:sz="4" w:space="0" w:color="auto"/>
            </w:tcBorders>
            <w:noWrap/>
            <w:vAlign w:val="center"/>
          </w:tcPr>
          <w:p w14:paraId="189A6E8D" w14:textId="396C3BD1"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105,0</w:t>
            </w:r>
          </w:p>
        </w:tc>
      </w:tr>
      <w:tr w:rsidR="00494D4B" w:rsidRPr="00377D59" w14:paraId="7D62EFFD" w14:textId="77777777" w:rsidTr="1D3ABBAA">
        <w:trPr>
          <w:trHeight w:val="340"/>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487EDDE" w14:textId="77777777" w:rsidR="00494D4B" w:rsidRPr="003D21B5" w:rsidRDefault="1D3ABBAA" w:rsidP="1D3ABBAA">
            <w:pPr>
              <w:widowControl w:val="0"/>
              <w:spacing w:after="0" w:line="240" w:lineRule="auto"/>
              <w:ind w:firstLine="67"/>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Táppénz</w:t>
            </w:r>
          </w:p>
        </w:tc>
        <w:tc>
          <w:tcPr>
            <w:tcW w:w="1276" w:type="dxa"/>
            <w:tcBorders>
              <w:top w:val="single" w:sz="4" w:space="0" w:color="auto"/>
              <w:left w:val="nil"/>
              <w:bottom w:val="single" w:sz="4" w:space="0" w:color="auto"/>
              <w:right w:val="single" w:sz="4" w:space="0" w:color="auto"/>
            </w:tcBorders>
            <w:noWrap/>
            <w:vAlign w:val="center"/>
          </w:tcPr>
          <w:p w14:paraId="4DBD4593" w14:textId="7BE0FF19"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23,7</w:t>
            </w:r>
          </w:p>
        </w:tc>
        <w:tc>
          <w:tcPr>
            <w:tcW w:w="1209" w:type="dxa"/>
            <w:tcBorders>
              <w:top w:val="single" w:sz="4" w:space="0" w:color="auto"/>
              <w:left w:val="nil"/>
              <w:bottom w:val="single" w:sz="4" w:space="0" w:color="auto"/>
              <w:right w:val="single" w:sz="4" w:space="0" w:color="auto"/>
            </w:tcBorders>
            <w:noWrap/>
            <w:vAlign w:val="center"/>
          </w:tcPr>
          <w:p w14:paraId="7122EFC4" w14:textId="0CAEEFEB"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27,1</w:t>
            </w:r>
          </w:p>
        </w:tc>
        <w:tc>
          <w:tcPr>
            <w:tcW w:w="992" w:type="dxa"/>
            <w:tcBorders>
              <w:top w:val="single" w:sz="4" w:space="0" w:color="auto"/>
              <w:left w:val="nil"/>
              <w:bottom w:val="single" w:sz="4" w:space="0" w:color="auto"/>
              <w:right w:val="single" w:sz="4" w:space="0" w:color="auto"/>
            </w:tcBorders>
            <w:noWrap/>
            <w:vAlign w:val="center"/>
          </w:tcPr>
          <w:p w14:paraId="64552A76" w14:textId="22B5CD2E"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3,4</w:t>
            </w:r>
          </w:p>
        </w:tc>
        <w:tc>
          <w:tcPr>
            <w:tcW w:w="993" w:type="dxa"/>
            <w:tcBorders>
              <w:top w:val="single" w:sz="4" w:space="0" w:color="auto"/>
              <w:left w:val="nil"/>
              <w:bottom w:val="single" w:sz="4" w:space="0" w:color="auto"/>
              <w:right w:val="single" w:sz="4" w:space="0" w:color="auto"/>
            </w:tcBorders>
            <w:noWrap/>
            <w:vAlign w:val="center"/>
          </w:tcPr>
          <w:p w14:paraId="324ADF3D" w14:textId="0EB362C0" w:rsidR="00494D4B" w:rsidRPr="003D21B5" w:rsidRDefault="1D3ABBAA" w:rsidP="1D3ABBAA">
            <w:pPr>
              <w:widowControl w:val="0"/>
              <w:spacing w:after="0"/>
              <w:jc w:val="right"/>
              <w:rPr>
                <w:rFonts w:ascii="Times New Roman" w:eastAsia="Times New Roman" w:hAnsi="Times New Roman" w:cs="Times New Roman"/>
                <w:lang w:eastAsia="hu-HU"/>
              </w:rPr>
            </w:pPr>
            <w:r w:rsidRPr="1D3ABBAA">
              <w:rPr>
                <w:rFonts w:ascii="Times New Roman" w:eastAsia="Times New Roman" w:hAnsi="Times New Roman" w:cs="Times New Roman"/>
                <w:lang w:eastAsia="hu-HU"/>
              </w:rPr>
              <w:t>114,3</w:t>
            </w:r>
          </w:p>
        </w:tc>
      </w:tr>
    </w:tbl>
    <w:p w14:paraId="7F2895FE" w14:textId="4AAB3CE2" w:rsidR="001074A1" w:rsidRDefault="1D3ABBAA" w:rsidP="1D3ABBAA">
      <w:pPr>
        <w:widowControl w:val="0"/>
        <w:spacing w:before="240"/>
        <w:jc w:val="both"/>
        <w:rPr>
          <w:rFonts w:ascii="Times New Roman" w:eastAsia="Times New Roman" w:hAnsi="Times New Roman" w:cs="Times New Roman"/>
          <w:sz w:val="26"/>
          <w:szCs w:val="26"/>
        </w:rPr>
      </w:pPr>
      <w:r w:rsidRPr="1D3ABBAA">
        <w:rPr>
          <w:rFonts w:ascii="Times New Roman" w:eastAsia="Times New Roman" w:hAnsi="Times New Roman" w:cs="Times New Roman"/>
          <w:sz w:val="26"/>
          <w:szCs w:val="26"/>
        </w:rPr>
        <w:t xml:space="preserve">A </w:t>
      </w:r>
      <w:r w:rsidRPr="1D3ABBAA">
        <w:rPr>
          <w:rFonts w:ascii="Times New Roman" w:eastAsia="Times New Roman" w:hAnsi="Times New Roman" w:cs="Times New Roman"/>
          <w:b/>
          <w:bCs/>
          <w:sz w:val="26"/>
          <w:szCs w:val="26"/>
        </w:rPr>
        <w:t>gyógyító-megelőző ellátásokra</w:t>
      </w:r>
      <w:r w:rsidRPr="1D3ABBAA">
        <w:rPr>
          <w:rFonts w:ascii="Times New Roman" w:eastAsia="Times New Roman" w:hAnsi="Times New Roman" w:cs="Times New Roman"/>
          <w:sz w:val="26"/>
          <w:szCs w:val="26"/>
        </w:rPr>
        <w:t xml:space="preserve"> fordított kiadás 2026 januárjában 232,4 milliárd forintot tett ki a 2025 januárjában felmerült 224,4 milliárd forint összegű kiadással szemben.</w:t>
      </w:r>
    </w:p>
    <w:p w14:paraId="69E4940B" w14:textId="49E7047E" w:rsidR="001074A1" w:rsidRDefault="1D3ABBAA" w:rsidP="1D3ABBAA">
      <w:pPr>
        <w:jc w:val="both"/>
        <w:rPr>
          <w:rFonts w:ascii="Times New Roman" w:eastAsia="Times New Roman" w:hAnsi="Times New Roman" w:cs="Times New Roman"/>
          <w:sz w:val="26"/>
          <w:szCs w:val="26"/>
        </w:rPr>
      </w:pPr>
      <w:r w:rsidRPr="1D3ABBAA">
        <w:rPr>
          <w:rFonts w:ascii="Times New Roman" w:eastAsia="Times New Roman" w:hAnsi="Times New Roman" w:cs="Times New Roman"/>
          <w:b/>
          <w:bCs/>
          <w:sz w:val="26"/>
          <w:szCs w:val="26"/>
        </w:rPr>
        <w:t>Gyógyszertámogatásra</w:t>
      </w:r>
      <w:r w:rsidRPr="1D3ABBAA">
        <w:rPr>
          <w:rFonts w:ascii="Times New Roman" w:eastAsia="Times New Roman" w:hAnsi="Times New Roman" w:cs="Times New Roman"/>
          <w:sz w:val="26"/>
          <w:szCs w:val="26"/>
        </w:rPr>
        <w:t xml:space="preserve"> </w:t>
      </w:r>
      <w:r w:rsidR="21E1F21E" w:rsidRPr="21E1F21E">
        <w:rPr>
          <w:rFonts w:ascii="Times New Roman" w:eastAsia="Times New Roman" w:hAnsi="Times New Roman" w:cs="Times New Roman"/>
          <w:sz w:val="26"/>
          <w:szCs w:val="26"/>
        </w:rPr>
        <w:t>2026 januárjában 48,8</w:t>
      </w:r>
      <w:r w:rsidRPr="1D3ABBAA">
        <w:rPr>
          <w:rFonts w:ascii="Times New Roman" w:eastAsia="Times New Roman" w:hAnsi="Times New Roman" w:cs="Times New Roman"/>
          <w:sz w:val="26"/>
          <w:szCs w:val="26"/>
        </w:rPr>
        <w:t xml:space="preserve"> milliárd forint került kifizetésre, amely </w:t>
      </w:r>
      <w:r w:rsidR="21E1F21E" w:rsidRPr="21E1F21E">
        <w:rPr>
          <w:rFonts w:ascii="Times New Roman" w:eastAsia="Times New Roman" w:hAnsi="Times New Roman" w:cs="Times New Roman"/>
          <w:sz w:val="26"/>
          <w:szCs w:val="26"/>
        </w:rPr>
        <w:t>3,7</w:t>
      </w:r>
      <w:r w:rsidRPr="1D3ABBAA">
        <w:rPr>
          <w:rFonts w:ascii="Times New Roman" w:eastAsia="Times New Roman" w:hAnsi="Times New Roman" w:cs="Times New Roman"/>
          <w:sz w:val="26"/>
          <w:szCs w:val="26"/>
        </w:rPr>
        <w:t xml:space="preserve"> milliárd forinttal magasabb az előző év </w:t>
      </w:r>
      <w:r w:rsidR="21E1F21E" w:rsidRPr="21E1F21E">
        <w:rPr>
          <w:rFonts w:ascii="Times New Roman" w:eastAsia="Times New Roman" w:hAnsi="Times New Roman" w:cs="Times New Roman"/>
          <w:sz w:val="26"/>
          <w:szCs w:val="26"/>
        </w:rPr>
        <w:t>januárjában</w:t>
      </w:r>
      <w:r w:rsidRPr="1D3ABBAA">
        <w:rPr>
          <w:rFonts w:ascii="Times New Roman" w:eastAsia="Times New Roman" w:hAnsi="Times New Roman" w:cs="Times New Roman"/>
          <w:sz w:val="26"/>
          <w:szCs w:val="26"/>
        </w:rPr>
        <w:t xml:space="preserve"> kifizetett összegnél.</w:t>
      </w:r>
    </w:p>
    <w:p w14:paraId="7B768C24" w14:textId="4F783F64" w:rsidR="00B155FE" w:rsidRPr="004966FE" w:rsidRDefault="1D3ABBAA" w:rsidP="1D3ABBAA">
      <w:pPr>
        <w:keepNext/>
        <w:pageBreakBefore/>
        <w:numPr>
          <w:ilvl w:val="0"/>
          <w:numId w:val="3"/>
        </w:numPr>
        <w:spacing w:after="120" w:line="240" w:lineRule="auto"/>
        <w:ind w:left="714" w:hanging="357"/>
        <w:jc w:val="both"/>
        <w:outlineLvl w:val="2"/>
        <w:rPr>
          <w:rFonts w:ascii="Times New Roman" w:eastAsia="Times New Roman" w:hAnsi="Times New Roman" w:cs="Times New Roman"/>
          <w:b/>
          <w:bCs/>
          <w:smallCaps/>
          <w:sz w:val="28"/>
          <w:szCs w:val="28"/>
          <w:lang w:eastAsia="hu-HU"/>
        </w:rPr>
      </w:pPr>
      <w:r w:rsidRPr="1D3ABBAA">
        <w:rPr>
          <w:rFonts w:ascii="Times New Roman" w:eastAsia="Times New Roman" w:hAnsi="Times New Roman" w:cs="Times New Roman"/>
          <w:b/>
          <w:bCs/>
          <w:smallCaps/>
          <w:sz w:val="28"/>
          <w:szCs w:val="28"/>
          <w:lang w:eastAsia="hu-HU"/>
        </w:rPr>
        <w:lastRenderedPageBreak/>
        <w:t>A költségvetési szervek és fejezeti kezelésű előirányzatok alakulása</w:t>
      </w:r>
    </w:p>
    <w:p w14:paraId="41120C33" w14:textId="0523A054" w:rsidR="00484365" w:rsidRPr="00145F79" w:rsidRDefault="1D3ABBAA" w:rsidP="1D3ABBAA">
      <w:pPr>
        <w:spacing w:before="240"/>
        <w:jc w:val="both"/>
        <w:rPr>
          <w:rFonts w:ascii="Times New Roman" w:eastAsia="Times New Roman" w:hAnsi="Times New Roman" w:cs="Times New Roman"/>
          <w:color w:val="000000" w:themeColor="text1"/>
          <w:sz w:val="26"/>
          <w:szCs w:val="26"/>
          <w:lang w:eastAsia="hu-HU"/>
        </w:rPr>
      </w:pPr>
      <w:r w:rsidRPr="1D3ABBAA">
        <w:rPr>
          <w:rFonts w:ascii="Times New Roman" w:eastAsia="Times New Roman" w:hAnsi="Times New Roman" w:cs="Times New Roman"/>
          <w:sz w:val="26"/>
          <w:szCs w:val="26"/>
          <w:lang w:eastAsia="hu-HU"/>
        </w:rPr>
        <w:t xml:space="preserve">A </w:t>
      </w:r>
      <w:r w:rsidRPr="1D3ABBAA">
        <w:rPr>
          <w:rFonts w:ascii="Times New Roman" w:eastAsia="Times New Roman" w:hAnsi="Times New Roman" w:cs="Times New Roman"/>
          <w:b/>
          <w:bCs/>
          <w:sz w:val="26"/>
          <w:szCs w:val="26"/>
          <w:lang w:eastAsia="hu-HU"/>
        </w:rPr>
        <w:t>költségvetési szervek bevételei</w:t>
      </w:r>
      <w:r w:rsidRPr="1D3ABBAA">
        <w:rPr>
          <w:rFonts w:ascii="Times New Roman" w:eastAsia="Times New Roman" w:hAnsi="Times New Roman" w:cs="Times New Roman"/>
          <w:sz w:val="26"/>
          <w:szCs w:val="26"/>
          <w:lang w:eastAsia="hu-HU"/>
        </w:rPr>
        <w:t xml:space="preserve"> 2026 első hónapjában 211,8 milliárd forintot tettek ki, amely </w:t>
      </w:r>
      <w:r w:rsidR="001941D1">
        <w:rPr>
          <w:rFonts w:ascii="Times New Roman" w:eastAsia="Times New Roman" w:hAnsi="Times New Roman" w:cs="Times New Roman"/>
          <w:sz w:val="26"/>
          <w:szCs w:val="26"/>
          <w:lang w:eastAsia="hu-HU"/>
        </w:rPr>
        <w:t>12,6</w:t>
      </w:r>
      <w:r w:rsidRPr="1D3ABBAA">
        <w:rPr>
          <w:rFonts w:ascii="Times New Roman" w:eastAsia="Times New Roman" w:hAnsi="Times New Roman" w:cs="Times New Roman"/>
          <w:sz w:val="26"/>
          <w:szCs w:val="26"/>
          <w:lang w:eastAsia="hu-HU"/>
        </w:rPr>
        <w:t xml:space="preserve">%-kal magasabb az előző év azonos időszakának bevételeihez képest. Az intézmények bevételei közül 121,7 milliárd forintot tett ki a Nemzeti Egészségbiztosítási Alapkezelő által az egészségügyi intézményeknek utalt </w:t>
      </w:r>
      <w:r w:rsidRPr="1D3ABBAA">
        <w:rPr>
          <w:rFonts w:ascii="Times New Roman" w:eastAsia="Times New Roman" w:hAnsi="Times New Roman" w:cs="Times New Roman"/>
          <w:color w:val="000000" w:themeColor="text1"/>
          <w:sz w:val="26"/>
          <w:szCs w:val="26"/>
          <w:lang w:eastAsia="hu-HU"/>
        </w:rPr>
        <w:t>támogatás.</w:t>
      </w:r>
    </w:p>
    <w:p w14:paraId="6C6ADA97" w14:textId="1B3BBBD9" w:rsidR="00484365" w:rsidRPr="007B6DF2" w:rsidRDefault="1D3ABBAA" w:rsidP="1D3ABBAA">
      <w:p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t xml:space="preserve">A </w:t>
      </w:r>
      <w:r w:rsidRPr="1D3ABBAA">
        <w:rPr>
          <w:rFonts w:ascii="Times New Roman" w:eastAsia="Times New Roman" w:hAnsi="Times New Roman" w:cs="Times New Roman"/>
          <w:b/>
          <w:bCs/>
          <w:sz w:val="26"/>
          <w:szCs w:val="26"/>
          <w:lang w:eastAsia="hu-HU"/>
        </w:rPr>
        <w:t>szakmai fejezeti kezelésű előirányzatok bevételei</w:t>
      </w:r>
      <w:r w:rsidRPr="1D3ABBAA">
        <w:rPr>
          <w:rFonts w:ascii="Times New Roman" w:eastAsia="Times New Roman" w:hAnsi="Times New Roman" w:cs="Times New Roman"/>
          <w:sz w:val="26"/>
          <w:szCs w:val="26"/>
          <w:lang w:eastAsia="hu-HU"/>
        </w:rPr>
        <w:t xml:space="preserve"> 2026 első hónapjában 45,7 milliárd forintot tettek ki, mely közel kétszerese </w:t>
      </w:r>
      <w:r w:rsidR="001941D1">
        <w:rPr>
          <w:rFonts w:ascii="Times New Roman" w:eastAsia="Times New Roman" w:hAnsi="Times New Roman" w:cs="Times New Roman"/>
          <w:sz w:val="26"/>
          <w:szCs w:val="26"/>
          <w:lang w:eastAsia="hu-HU"/>
        </w:rPr>
        <w:t xml:space="preserve">az </w:t>
      </w:r>
      <w:r w:rsidRPr="1D3ABBAA">
        <w:rPr>
          <w:rFonts w:ascii="Times New Roman" w:eastAsia="Times New Roman" w:hAnsi="Times New Roman" w:cs="Times New Roman"/>
          <w:sz w:val="26"/>
          <w:szCs w:val="26"/>
          <w:lang w:eastAsia="hu-HU"/>
        </w:rPr>
        <w:t>előző év azonos időszakának bevételéhez képest. A bevételek jelentős részét az „Alapok alapja GINOP pénzügyi eszközök” törvényi sorra befolyt összegek teszik ki, melyek nem uniós bevételként jóváírt tételek.</w:t>
      </w:r>
    </w:p>
    <w:p w14:paraId="5A50B96E" w14:textId="16DE37BF" w:rsidR="00484365" w:rsidRPr="004966FE" w:rsidRDefault="1D3ABBAA" w:rsidP="1D3ABBAA">
      <w:p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t xml:space="preserve">A </w:t>
      </w:r>
      <w:r w:rsidRPr="1D3ABBAA">
        <w:rPr>
          <w:rFonts w:ascii="Times New Roman" w:hAnsi="Times New Roman" w:cs="Times New Roman"/>
          <w:sz w:val="26"/>
          <w:szCs w:val="26"/>
          <w:lang w:eastAsia="hu-HU"/>
        </w:rPr>
        <w:t>2026. év első havi, 257,5</w:t>
      </w:r>
      <w:r w:rsidR="001941D1">
        <w:rPr>
          <w:rFonts w:ascii="Times New Roman" w:hAnsi="Times New Roman" w:cs="Times New Roman"/>
          <w:sz w:val="26"/>
          <w:szCs w:val="26"/>
          <w:lang w:eastAsia="hu-HU"/>
        </w:rPr>
        <w:t> </w:t>
      </w:r>
      <w:r w:rsidRPr="1D3ABBAA">
        <w:rPr>
          <w:rFonts w:ascii="Times New Roman" w:hAnsi="Times New Roman" w:cs="Times New Roman"/>
          <w:sz w:val="26"/>
          <w:szCs w:val="26"/>
          <w:lang w:eastAsia="hu-HU"/>
        </w:rPr>
        <w:t>milliárd forint összegű bevételek megoszlását a következő grafikon szemlélteti</w:t>
      </w:r>
      <w:r w:rsidRPr="1D3ABBAA">
        <w:rPr>
          <w:rFonts w:ascii="Times New Roman" w:eastAsia="Times New Roman" w:hAnsi="Times New Roman" w:cs="Times New Roman"/>
          <w:sz w:val="26"/>
          <w:szCs w:val="26"/>
          <w:lang w:eastAsia="hu-HU"/>
        </w:rPr>
        <w:t>:</w:t>
      </w:r>
    </w:p>
    <w:p w14:paraId="576D18BB" w14:textId="28830D25" w:rsidR="00B056CC" w:rsidRPr="00377D59" w:rsidRDefault="003676D3" w:rsidP="00C2238F">
      <w:pPr>
        <w:spacing w:before="240" w:after="120"/>
        <w:jc w:val="center"/>
        <w:rPr>
          <w:rFonts w:ascii="Times New Roman" w:eastAsia="Times New Roman" w:hAnsi="Times New Roman" w:cs="Times New Roman"/>
          <w:b/>
          <w:sz w:val="26"/>
          <w:szCs w:val="26"/>
        </w:rPr>
      </w:pPr>
      <w:r>
        <w:rPr>
          <w:noProof/>
        </w:rPr>
        <w:drawing>
          <wp:inline distT="0" distB="0" distL="0" distR="0" wp14:anchorId="469C070D" wp14:editId="1B416C24">
            <wp:extent cx="5679962" cy="3075862"/>
            <wp:effectExtent l="0" t="0" r="0" b="0"/>
            <wp:docPr id="1878502193" name="Kép 1" descr="A képen szöveg, képernyőkép,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02193" name="Kép 1" descr="A képen szöveg, képernyőkép, sor, Diagram látható&#10;&#10;Előfordulhat, hogy a mesterséges intelligencia által létrehozott tartalom helytelen."/>
                    <pic:cNvPicPr/>
                  </pic:nvPicPr>
                  <pic:blipFill>
                    <a:blip r:embed="rId24"/>
                    <a:stretch>
                      <a:fillRect/>
                    </a:stretch>
                  </pic:blipFill>
                  <pic:spPr>
                    <a:xfrm>
                      <a:off x="0" y="0"/>
                      <a:ext cx="5691334" cy="3082020"/>
                    </a:xfrm>
                    <a:prstGeom prst="rect">
                      <a:avLst/>
                    </a:prstGeom>
                  </pic:spPr>
                </pic:pic>
              </a:graphicData>
            </a:graphic>
          </wp:inline>
        </w:drawing>
      </w:r>
    </w:p>
    <w:p w14:paraId="1D98D1A9" w14:textId="66CC9AA0" w:rsidR="00484365" w:rsidRPr="00E56F21" w:rsidRDefault="1D3ABBAA" w:rsidP="1D3ABBAA">
      <w:pPr>
        <w:spacing w:before="240"/>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t xml:space="preserve">A </w:t>
      </w:r>
      <w:r w:rsidRPr="1D3ABBAA">
        <w:rPr>
          <w:rFonts w:ascii="Times New Roman" w:eastAsia="Times New Roman" w:hAnsi="Times New Roman" w:cs="Times New Roman"/>
          <w:b/>
          <w:bCs/>
          <w:sz w:val="26"/>
          <w:szCs w:val="26"/>
          <w:lang w:eastAsia="hu-HU"/>
        </w:rPr>
        <w:t>költségvetési szervek kiadásai</w:t>
      </w:r>
      <w:r w:rsidRPr="1D3ABBAA">
        <w:rPr>
          <w:rFonts w:ascii="Times New Roman" w:eastAsia="Times New Roman" w:hAnsi="Times New Roman" w:cs="Times New Roman"/>
          <w:sz w:val="26"/>
          <w:szCs w:val="26"/>
          <w:lang w:eastAsia="hu-HU"/>
        </w:rPr>
        <w:t xml:space="preserve"> mérlegsoron 2026 első hónapjában 942,3 milliárd forint kiadás teljesült, mely 46,1%-kal magasabb az előző év azonos időszakának kiadásaihoz képest. A kiadásból 725,5 milliárd forint a személyi juttatásokra és munkaadókat terhelő járulékokra kifizetett összeg.</w:t>
      </w:r>
      <w:r w:rsidR="00093C26">
        <w:rPr>
          <w:rFonts w:ascii="Times New Roman" w:eastAsia="Times New Roman" w:hAnsi="Times New Roman" w:cs="Times New Roman"/>
          <w:sz w:val="26"/>
          <w:szCs w:val="26"/>
          <w:lang w:eastAsia="hu-HU"/>
        </w:rPr>
        <w:t xml:space="preserve"> </w:t>
      </w:r>
      <w:r w:rsidR="00093C26" w:rsidRPr="00093C26">
        <w:rPr>
          <w:rFonts w:ascii="Times New Roman" w:eastAsia="Times New Roman" w:hAnsi="Times New Roman" w:cs="Times New Roman"/>
          <w:sz w:val="26"/>
          <w:szCs w:val="26"/>
          <w:lang w:eastAsia="hu-HU"/>
        </w:rPr>
        <w:t>Január hónapban kifizetésre került a hivatásos szolgálatban álló honvédelmi és rendvédelmi foglalkoztatottak részére a hathavi illetményn</w:t>
      </w:r>
      <w:r w:rsidR="00093C26">
        <w:rPr>
          <w:rFonts w:ascii="Times New Roman" w:eastAsia="Times New Roman" w:hAnsi="Times New Roman" w:cs="Times New Roman"/>
          <w:sz w:val="26"/>
          <w:szCs w:val="26"/>
          <w:lang w:eastAsia="hu-HU"/>
        </w:rPr>
        <w:t>e</w:t>
      </w:r>
      <w:r w:rsidR="00093C26" w:rsidRPr="00093C26">
        <w:rPr>
          <w:rFonts w:ascii="Times New Roman" w:eastAsia="Times New Roman" w:hAnsi="Times New Roman" w:cs="Times New Roman"/>
          <w:sz w:val="26"/>
          <w:szCs w:val="26"/>
          <w:lang w:eastAsia="hu-HU"/>
        </w:rPr>
        <w:t>k megfelelő szolgálati juttatás („fegyverpénz”).</w:t>
      </w:r>
    </w:p>
    <w:p w14:paraId="0AB00615" w14:textId="5A73AE08" w:rsidR="00484365" w:rsidRPr="004966FE" w:rsidRDefault="1D3ABBAA" w:rsidP="1D3ABBAA">
      <w:pPr>
        <w:spacing w:before="240"/>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t xml:space="preserve">A </w:t>
      </w:r>
      <w:r w:rsidRPr="1D3ABBAA">
        <w:rPr>
          <w:rFonts w:ascii="Times New Roman" w:eastAsia="Times New Roman" w:hAnsi="Times New Roman" w:cs="Times New Roman"/>
          <w:b/>
          <w:bCs/>
          <w:sz w:val="26"/>
          <w:szCs w:val="26"/>
          <w:lang w:eastAsia="hu-HU"/>
        </w:rPr>
        <w:t>szakmai fejezeti kezelésű előirányzatok kiadásai</w:t>
      </w:r>
      <w:r w:rsidRPr="1D3ABBAA">
        <w:rPr>
          <w:rFonts w:ascii="Times New Roman" w:eastAsia="Times New Roman" w:hAnsi="Times New Roman" w:cs="Times New Roman"/>
          <w:sz w:val="26"/>
          <w:szCs w:val="26"/>
          <w:lang w:eastAsia="hu-HU"/>
        </w:rPr>
        <w:t xml:space="preserve"> mérlegsoron 202</w:t>
      </w:r>
      <w:r w:rsidR="001941D1">
        <w:rPr>
          <w:rFonts w:ascii="Times New Roman" w:eastAsia="Times New Roman" w:hAnsi="Times New Roman" w:cs="Times New Roman"/>
          <w:sz w:val="26"/>
          <w:szCs w:val="26"/>
          <w:lang w:eastAsia="hu-HU"/>
        </w:rPr>
        <w:t>6</w:t>
      </w:r>
      <w:r w:rsidRPr="1D3ABBAA">
        <w:rPr>
          <w:rFonts w:ascii="Times New Roman" w:eastAsia="Times New Roman" w:hAnsi="Times New Roman" w:cs="Times New Roman"/>
          <w:sz w:val="26"/>
          <w:szCs w:val="26"/>
          <w:lang w:eastAsia="hu-HU"/>
        </w:rPr>
        <w:t xml:space="preserve"> első hónapjában 1019,9 milliárd forint kiadás teljesült, mely 631,0 milliárd forinttal magasabb, mint az előző év azonos időszakának kiadása. Ezen időszak teljesítéséből az alábbi kiadások emelhetők ki:</w:t>
      </w:r>
    </w:p>
    <w:p w14:paraId="1DE60443" w14:textId="77777777" w:rsidR="00484365" w:rsidRPr="00BE4BAC" w:rsidRDefault="00484365" w:rsidP="00484365">
      <w:pPr>
        <w:jc w:val="both"/>
        <w:rPr>
          <w:rFonts w:ascii="Times New Roman" w:eastAsia="Times New Roman" w:hAnsi="Times New Roman" w:cs="Times New Roman"/>
          <w:sz w:val="26"/>
          <w:szCs w:val="26"/>
          <w:lang w:eastAsia="hu-HU"/>
        </w:rPr>
      </w:pPr>
      <w:r w:rsidRPr="004966FE">
        <w:rPr>
          <w:rFonts w:ascii="Times New Roman" w:eastAsia="Times New Roman" w:hAnsi="Times New Roman" w:cs="Times New Roman"/>
          <w:color w:val="FF0000"/>
          <w:sz w:val="26"/>
          <w:szCs w:val="26"/>
          <w:lang w:eastAsia="hu-HU"/>
        </w:rPr>
        <w:br w:type="page"/>
      </w:r>
    </w:p>
    <w:p w14:paraId="1C3E2D66" w14:textId="77777777" w:rsidR="00484365" w:rsidRPr="008E4041" w:rsidRDefault="1D3ABBAA" w:rsidP="1D3ABBAA">
      <w:pPr>
        <w:spacing w:after="120" w:line="240" w:lineRule="auto"/>
        <w:jc w:val="right"/>
        <w:rPr>
          <w:rFonts w:ascii="Times New Roman" w:eastAsia="Times New Roman" w:hAnsi="Times New Roman" w:cs="Times New Roman"/>
          <w:i/>
          <w:iCs/>
          <w:sz w:val="20"/>
          <w:szCs w:val="20"/>
          <w:lang w:eastAsia="hu-HU"/>
        </w:rPr>
      </w:pPr>
      <w:r w:rsidRPr="1D3ABBAA">
        <w:rPr>
          <w:rFonts w:ascii="Times New Roman" w:eastAsia="Times New Roman" w:hAnsi="Times New Roman" w:cs="Times New Roman"/>
          <w:i/>
          <w:iCs/>
          <w:sz w:val="20"/>
          <w:szCs w:val="20"/>
          <w:lang w:eastAsia="hu-HU"/>
        </w:rPr>
        <w:lastRenderedPageBreak/>
        <w:t>milliárd forint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51"/>
        <w:gridCol w:w="992"/>
      </w:tblGrid>
      <w:tr w:rsidR="00711674" w:rsidRPr="008E4041" w14:paraId="165EDCFB" w14:textId="77777777" w:rsidTr="1D3ABBAA">
        <w:trPr>
          <w:trHeight w:val="283"/>
        </w:trPr>
        <w:tc>
          <w:tcPr>
            <w:tcW w:w="8251" w:type="dxa"/>
            <w:tcMar>
              <w:top w:w="0" w:type="dxa"/>
              <w:left w:w="108" w:type="dxa"/>
              <w:bottom w:w="0" w:type="dxa"/>
              <w:right w:w="108" w:type="dxa"/>
            </w:tcMar>
            <w:vAlign w:val="center"/>
            <w:hideMark/>
          </w:tcPr>
          <w:p w14:paraId="6D2249A8" w14:textId="77777777" w:rsidR="00711674" w:rsidRPr="008E4041" w:rsidRDefault="1D3ABBAA" w:rsidP="1D3ABBAA">
            <w:pPr>
              <w:spacing w:after="0" w:line="240" w:lineRule="auto"/>
              <w:jc w:val="both"/>
              <w:rPr>
                <w:rFonts w:ascii="Times New Roman" w:hAnsi="Times New Roman" w:cs="Times New Roman"/>
                <w:sz w:val="24"/>
                <w:szCs w:val="24"/>
                <w:lang w:eastAsia="hu-HU"/>
              </w:rPr>
            </w:pPr>
            <w:r w:rsidRPr="1D3ABBAA">
              <w:rPr>
                <w:rFonts w:ascii="Times New Roman" w:hAnsi="Times New Roman" w:cs="Times New Roman"/>
                <w:sz w:val="24"/>
                <w:szCs w:val="24"/>
                <w:lang w:eastAsia="hu-HU"/>
              </w:rPr>
              <w:t>Nem állami felsőoktatási intézmények támogatása</w:t>
            </w:r>
          </w:p>
        </w:tc>
        <w:tc>
          <w:tcPr>
            <w:tcW w:w="992" w:type="dxa"/>
            <w:noWrap/>
            <w:tcMar>
              <w:top w:w="0" w:type="dxa"/>
              <w:left w:w="108" w:type="dxa"/>
              <w:bottom w:w="0" w:type="dxa"/>
              <w:right w:w="108" w:type="dxa"/>
            </w:tcMar>
            <w:vAlign w:val="center"/>
          </w:tcPr>
          <w:p w14:paraId="57709DB4" w14:textId="77777777" w:rsidR="00711674" w:rsidRPr="008E4041" w:rsidRDefault="1D3ABBAA" w:rsidP="1D3ABBAA">
            <w:pPr>
              <w:spacing w:after="0" w:line="240" w:lineRule="auto"/>
              <w:jc w:val="right"/>
              <w:rPr>
                <w:rFonts w:ascii="Times New Roman" w:hAnsi="Times New Roman" w:cs="Times New Roman"/>
                <w:sz w:val="24"/>
                <w:szCs w:val="24"/>
                <w:lang w:eastAsia="hu-HU"/>
              </w:rPr>
            </w:pPr>
            <w:r w:rsidRPr="1D3ABBAA">
              <w:rPr>
                <w:rFonts w:ascii="Times New Roman" w:hAnsi="Times New Roman" w:cs="Times New Roman"/>
                <w:sz w:val="24"/>
                <w:szCs w:val="24"/>
                <w:lang w:eastAsia="hu-HU"/>
              </w:rPr>
              <w:t>189,2</w:t>
            </w:r>
          </w:p>
        </w:tc>
      </w:tr>
      <w:tr w:rsidR="00711674" w:rsidRPr="008E4041" w14:paraId="653C7308" w14:textId="77777777" w:rsidTr="1D3ABBAA">
        <w:trPr>
          <w:trHeight w:val="340"/>
        </w:trPr>
        <w:tc>
          <w:tcPr>
            <w:tcW w:w="8251" w:type="dxa"/>
            <w:tcMar>
              <w:top w:w="0" w:type="dxa"/>
              <w:left w:w="108" w:type="dxa"/>
              <w:bottom w:w="0" w:type="dxa"/>
              <w:right w:w="108" w:type="dxa"/>
            </w:tcMar>
            <w:vAlign w:val="center"/>
            <w:hideMark/>
          </w:tcPr>
          <w:p w14:paraId="6E666FF1" w14:textId="77777777" w:rsidR="00711674" w:rsidRPr="008E4041" w:rsidRDefault="1D3ABBAA" w:rsidP="1D3ABBAA">
            <w:pPr>
              <w:spacing w:after="0" w:line="240" w:lineRule="auto"/>
              <w:rPr>
                <w:rFonts w:ascii="Times New Roman" w:hAnsi="Times New Roman" w:cs="Times New Roman"/>
                <w:sz w:val="24"/>
                <w:szCs w:val="24"/>
                <w:lang w:eastAsia="hu-HU"/>
              </w:rPr>
            </w:pPr>
            <w:r w:rsidRPr="1D3ABBAA">
              <w:rPr>
                <w:rFonts w:ascii="Times New Roman" w:hAnsi="Times New Roman" w:cs="Times New Roman"/>
                <w:sz w:val="24"/>
                <w:szCs w:val="24"/>
                <w:lang w:eastAsia="hu-HU"/>
              </w:rPr>
              <w:t>Normatív finanszírozás (köznevelési célú humánszolgáltatás és működési támogatás, hit- és erkölcstanoktatás és tankönyvtámogatás, illetve szociális, gyermekvédelmi, gyermekjóléti és fogyatékos személyek esélyegyenlőségét elősegítő célelőirányzatok)</w:t>
            </w:r>
          </w:p>
        </w:tc>
        <w:tc>
          <w:tcPr>
            <w:tcW w:w="992" w:type="dxa"/>
            <w:noWrap/>
            <w:tcMar>
              <w:top w:w="0" w:type="dxa"/>
              <w:left w:w="108" w:type="dxa"/>
              <w:bottom w:w="0" w:type="dxa"/>
              <w:right w:w="108" w:type="dxa"/>
            </w:tcMar>
            <w:vAlign w:val="center"/>
          </w:tcPr>
          <w:p w14:paraId="6AE16DC1" w14:textId="77777777" w:rsidR="00711674" w:rsidRPr="008E4041" w:rsidRDefault="1D3ABBAA" w:rsidP="1D3ABBAA">
            <w:pPr>
              <w:spacing w:after="0" w:line="240" w:lineRule="auto"/>
              <w:jc w:val="right"/>
              <w:rPr>
                <w:rFonts w:ascii="Times New Roman" w:hAnsi="Times New Roman" w:cs="Times New Roman"/>
                <w:sz w:val="24"/>
                <w:szCs w:val="24"/>
                <w:lang w:eastAsia="hu-HU"/>
              </w:rPr>
            </w:pPr>
            <w:r w:rsidRPr="1D3ABBAA">
              <w:rPr>
                <w:rFonts w:ascii="Times New Roman" w:hAnsi="Times New Roman" w:cs="Times New Roman"/>
                <w:sz w:val="24"/>
                <w:szCs w:val="24"/>
                <w:lang w:eastAsia="hu-HU"/>
              </w:rPr>
              <w:t>86,9</w:t>
            </w:r>
          </w:p>
        </w:tc>
      </w:tr>
      <w:tr w:rsidR="00711674" w:rsidRPr="008E4041" w14:paraId="3C01C8B1" w14:textId="77777777" w:rsidTr="1D3ABBAA">
        <w:trPr>
          <w:trHeight w:val="283"/>
        </w:trPr>
        <w:tc>
          <w:tcPr>
            <w:tcW w:w="8251" w:type="dxa"/>
            <w:tcMar>
              <w:top w:w="0" w:type="dxa"/>
              <w:left w:w="108" w:type="dxa"/>
              <w:bottom w:w="0" w:type="dxa"/>
              <w:right w:w="108" w:type="dxa"/>
            </w:tcMar>
            <w:vAlign w:val="center"/>
          </w:tcPr>
          <w:p w14:paraId="4BB1C2C8" w14:textId="1584109D" w:rsidR="00711674" w:rsidRPr="15BE4434" w:rsidRDefault="1D3ABBAA" w:rsidP="1D3ABBAA">
            <w:pPr>
              <w:spacing w:after="0" w:line="240" w:lineRule="auto"/>
              <w:jc w:val="both"/>
              <w:rPr>
                <w:rFonts w:ascii="Times New Roman" w:hAnsi="Times New Roman" w:cs="Times New Roman"/>
                <w:sz w:val="24"/>
                <w:szCs w:val="24"/>
                <w:lang w:eastAsia="hu-HU"/>
              </w:rPr>
            </w:pPr>
            <w:r w:rsidRPr="1D3ABBAA">
              <w:rPr>
                <w:rFonts w:ascii="Times New Roman" w:hAnsi="Times New Roman" w:cs="Times New Roman"/>
                <w:sz w:val="24"/>
                <w:szCs w:val="24"/>
                <w:lang w:eastAsia="hu-HU"/>
              </w:rPr>
              <w:t>Turisztikai fejlesztési feladatok</w:t>
            </w:r>
          </w:p>
        </w:tc>
        <w:tc>
          <w:tcPr>
            <w:tcW w:w="992" w:type="dxa"/>
            <w:noWrap/>
            <w:tcMar>
              <w:top w:w="0" w:type="dxa"/>
              <w:left w:w="108" w:type="dxa"/>
              <w:bottom w:w="0" w:type="dxa"/>
              <w:right w:w="108" w:type="dxa"/>
            </w:tcMar>
            <w:vAlign w:val="center"/>
          </w:tcPr>
          <w:p w14:paraId="7D8A418D" w14:textId="799C1449" w:rsidR="00711674" w:rsidRDefault="1D3ABBAA" w:rsidP="1D3ABBAA">
            <w:pPr>
              <w:spacing w:after="0" w:line="240" w:lineRule="auto"/>
              <w:jc w:val="right"/>
              <w:rPr>
                <w:rFonts w:ascii="Times New Roman" w:hAnsi="Times New Roman" w:cs="Times New Roman"/>
                <w:sz w:val="24"/>
                <w:szCs w:val="24"/>
                <w:lang w:eastAsia="hu-HU"/>
              </w:rPr>
            </w:pPr>
            <w:r w:rsidRPr="1D3ABBAA">
              <w:rPr>
                <w:rFonts w:ascii="Times New Roman" w:hAnsi="Times New Roman" w:cs="Times New Roman"/>
                <w:sz w:val="24"/>
                <w:szCs w:val="24"/>
                <w:lang w:eastAsia="hu-HU"/>
              </w:rPr>
              <w:t>86,3</w:t>
            </w:r>
          </w:p>
        </w:tc>
      </w:tr>
      <w:tr w:rsidR="00711674" w:rsidRPr="008E4041" w14:paraId="3B84CF10" w14:textId="77777777" w:rsidTr="1D3ABBAA">
        <w:trPr>
          <w:trHeight w:val="283"/>
        </w:trPr>
        <w:tc>
          <w:tcPr>
            <w:tcW w:w="8251" w:type="dxa"/>
            <w:tcMar>
              <w:top w:w="0" w:type="dxa"/>
              <w:left w:w="108" w:type="dxa"/>
              <w:bottom w:w="0" w:type="dxa"/>
              <w:right w:w="108" w:type="dxa"/>
            </w:tcMar>
            <w:vAlign w:val="center"/>
          </w:tcPr>
          <w:p w14:paraId="0FD0169A" w14:textId="77741588" w:rsidR="00711674" w:rsidRDefault="1D3ABBAA" w:rsidP="1D3ABBAA">
            <w:pPr>
              <w:spacing w:after="0" w:line="240" w:lineRule="auto"/>
              <w:jc w:val="both"/>
              <w:rPr>
                <w:rFonts w:ascii="Times New Roman" w:hAnsi="Times New Roman" w:cs="Times New Roman"/>
                <w:sz w:val="24"/>
                <w:szCs w:val="24"/>
                <w:lang w:eastAsia="hu-HU"/>
              </w:rPr>
            </w:pPr>
            <w:r w:rsidRPr="1D3ABBAA">
              <w:rPr>
                <w:rFonts w:ascii="Times New Roman" w:hAnsi="Times New Roman" w:cs="Times New Roman"/>
                <w:sz w:val="24"/>
                <w:szCs w:val="24"/>
                <w:lang w:eastAsia="hu-HU"/>
              </w:rPr>
              <w:t>Egyházi alapintézmény működés, SZJA rendelkezés és kiegészítése</w:t>
            </w:r>
          </w:p>
        </w:tc>
        <w:tc>
          <w:tcPr>
            <w:tcW w:w="992" w:type="dxa"/>
            <w:noWrap/>
            <w:tcMar>
              <w:top w:w="0" w:type="dxa"/>
              <w:left w:w="108" w:type="dxa"/>
              <w:bottom w:w="0" w:type="dxa"/>
              <w:right w:w="108" w:type="dxa"/>
            </w:tcMar>
            <w:vAlign w:val="center"/>
          </w:tcPr>
          <w:p w14:paraId="3CFFC712" w14:textId="4FCC8C51" w:rsidR="00711674" w:rsidRDefault="1D3ABBAA" w:rsidP="1D3ABBAA">
            <w:pPr>
              <w:spacing w:after="0" w:line="240" w:lineRule="auto"/>
              <w:jc w:val="right"/>
              <w:rPr>
                <w:rFonts w:ascii="Times New Roman" w:hAnsi="Times New Roman" w:cs="Times New Roman"/>
                <w:sz w:val="24"/>
                <w:szCs w:val="24"/>
                <w:lang w:eastAsia="hu-HU"/>
              </w:rPr>
            </w:pPr>
            <w:r w:rsidRPr="1D3ABBAA">
              <w:rPr>
                <w:rFonts w:ascii="Times New Roman" w:hAnsi="Times New Roman" w:cs="Times New Roman"/>
                <w:sz w:val="24"/>
                <w:szCs w:val="24"/>
                <w:lang w:eastAsia="hu-HU"/>
              </w:rPr>
              <w:t>31,6</w:t>
            </w:r>
          </w:p>
        </w:tc>
      </w:tr>
      <w:tr w:rsidR="00711674" w:rsidRPr="008E4041" w14:paraId="0C4084D1" w14:textId="77777777" w:rsidTr="1D3ABBAA">
        <w:trPr>
          <w:trHeight w:val="283"/>
        </w:trPr>
        <w:tc>
          <w:tcPr>
            <w:tcW w:w="8251" w:type="dxa"/>
            <w:tcMar>
              <w:top w:w="0" w:type="dxa"/>
              <w:left w:w="108" w:type="dxa"/>
              <w:bottom w:w="0" w:type="dxa"/>
              <w:right w:w="108" w:type="dxa"/>
            </w:tcMar>
            <w:vAlign w:val="center"/>
          </w:tcPr>
          <w:p w14:paraId="394DD88A" w14:textId="1AB9AC18" w:rsidR="00711674" w:rsidRDefault="1D3ABBAA" w:rsidP="1D3ABBAA">
            <w:pPr>
              <w:spacing w:after="0" w:line="240" w:lineRule="auto"/>
              <w:jc w:val="both"/>
              <w:rPr>
                <w:rFonts w:ascii="Times New Roman" w:hAnsi="Times New Roman" w:cs="Times New Roman"/>
                <w:sz w:val="24"/>
                <w:szCs w:val="24"/>
                <w:lang w:eastAsia="hu-HU"/>
              </w:rPr>
            </w:pPr>
            <w:r w:rsidRPr="1D3ABBAA">
              <w:rPr>
                <w:rFonts w:ascii="Times New Roman" w:hAnsi="Times New Roman" w:cs="Times New Roman"/>
                <w:sz w:val="24"/>
                <w:szCs w:val="24"/>
                <w:lang w:eastAsia="hu-HU"/>
              </w:rPr>
              <w:t>HUN-REN Magyar Kutatási Hálózat támogatása</w:t>
            </w:r>
          </w:p>
        </w:tc>
        <w:tc>
          <w:tcPr>
            <w:tcW w:w="992" w:type="dxa"/>
            <w:noWrap/>
            <w:tcMar>
              <w:top w:w="0" w:type="dxa"/>
              <w:left w:w="108" w:type="dxa"/>
              <w:bottom w:w="0" w:type="dxa"/>
              <w:right w:w="108" w:type="dxa"/>
            </w:tcMar>
            <w:vAlign w:val="center"/>
          </w:tcPr>
          <w:p w14:paraId="7A78ED9C" w14:textId="7346CE91" w:rsidR="00711674" w:rsidRDefault="1D3ABBAA" w:rsidP="1D3ABBAA">
            <w:pPr>
              <w:spacing w:after="0" w:line="240" w:lineRule="auto"/>
              <w:jc w:val="right"/>
              <w:rPr>
                <w:rFonts w:ascii="Times New Roman" w:hAnsi="Times New Roman" w:cs="Times New Roman"/>
                <w:sz w:val="24"/>
                <w:szCs w:val="24"/>
                <w:lang w:eastAsia="hu-HU"/>
              </w:rPr>
            </w:pPr>
            <w:r w:rsidRPr="1D3ABBAA">
              <w:rPr>
                <w:rFonts w:ascii="Times New Roman" w:hAnsi="Times New Roman" w:cs="Times New Roman"/>
                <w:sz w:val="24"/>
                <w:szCs w:val="24"/>
                <w:lang w:eastAsia="hu-HU"/>
              </w:rPr>
              <w:t>27,8</w:t>
            </w:r>
          </w:p>
        </w:tc>
      </w:tr>
      <w:tr w:rsidR="00711674" w:rsidRPr="008E4041" w14:paraId="245CFEE2" w14:textId="77777777" w:rsidTr="1D3ABBAA">
        <w:trPr>
          <w:trHeight w:val="283"/>
        </w:trPr>
        <w:tc>
          <w:tcPr>
            <w:tcW w:w="8251" w:type="dxa"/>
            <w:tcMar>
              <w:top w:w="0" w:type="dxa"/>
              <w:left w:w="108" w:type="dxa"/>
              <w:bottom w:w="0" w:type="dxa"/>
              <w:right w:w="108" w:type="dxa"/>
            </w:tcMar>
            <w:vAlign w:val="center"/>
          </w:tcPr>
          <w:p w14:paraId="575A9507" w14:textId="1E7B6EB7" w:rsidR="00711674" w:rsidRDefault="1D3ABBAA" w:rsidP="1D3ABBAA">
            <w:pPr>
              <w:spacing w:after="0" w:line="240" w:lineRule="auto"/>
              <w:jc w:val="both"/>
              <w:rPr>
                <w:rFonts w:ascii="Times New Roman" w:hAnsi="Times New Roman" w:cs="Times New Roman"/>
                <w:sz w:val="24"/>
                <w:szCs w:val="24"/>
                <w:lang w:eastAsia="hu-HU"/>
              </w:rPr>
            </w:pPr>
            <w:r w:rsidRPr="1D3ABBAA">
              <w:rPr>
                <w:rFonts w:ascii="Times New Roman" w:hAnsi="Times New Roman" w:cs="Times New Roman"/>
                <w:sz w:val="24"/>
                <w:szCs w:val="24"/>
                <w:lang w:eastAsia="hu-HU"/>
              </w:rPr>
              <w:t>Infrastrukturális, innovációs és ökoszisztéma fejlesztések</w:t>
            </w:r>
          </w:p>
        </w:tc>
        <w:tc>
          <w:tcPr>
            <w:tcW w:w="992" w:type="dxa"/>
            <w:noWrap/>
            <w:tcMar>
              <w:top w:w="0" w:type="dxa"/>
              <w:left w:w="108" w:type="dxa"/>
              <w:bottom w:w="0" w:type="dxa"/>
              <w:right w:w="108" w:type="dxa"/>
            </w:tcMar>
            <w:vAlign w:val="center"/>
          </w:tcPr>
          <w:p w14:paraId="491421AE" w14:textId="5ABC1D44" w:rsidR="00711674" w:rsidRDefault="1D3ABBAA" w:rsidP="1D3ABBAA">
            <w:pPr>
              <w:spacing w:after="0" w:line="240" w:lineRule="auto"/>
              <w:jc w:val="right"/>
              <w:rPr>
                <w:rFonts w:ascii="Times New Roman" w:hAnsi="Times New Roman" w:cs="Times New Roman"/>
                <w:sz w:val="24"/>
                <w:szCs w:val="24"/>
                <w:lang w:eastAsia="hu-HU"/>
              </w:rPr>
            </w:pPr>
            <w:r w:rsidRPr="1D3ABBAA">
              <w:rPr>
                <w:rFonts w:ascii="Times New Roman" w:hAnsi="Times New Roman" w:cs="Times New Roman"/>
                <w:sz w:val="24"/>
                <w:szCs w:val="24"/>
                <w:lang w:eastAsia="hu-HU"/>
              </w:rPr>
              <w:t>22,5</w:t>
            </w:r>
          </w:p>
        </w:tc>
      </w:tr>
      <w:tr w:rsidR="00484365" w:rsidRPr="008E4041" w14:paraId="08B0739D" w14:textId="77777777" w:rsidTr="1D3ABBAA">
        <w:trPr>
          <w:trHeight w:val="283"/>
        </w:trPr>
        <w:tc>
          <w:tcPr>
            <w:tcW w:w="8251" w:type="dxa"/>
            <w:tcMar>
              <w:top w:w="0" w:type="dxa"/>
              <w:left w:w="108" w:type="dxa"/>
              <w:bottom w:w="0" w:type="dxa"/>
              <w:right w:w="108" w:type="dxa"/>
            </w:tcMar>
            <w:vAlign w:val="center"/>
          </w:tcPr>
          <w:p w14:paraId="714CE83C" w14:textId="71A3FCA5" w:rsidR="00484365" w:rsidRPr="008E4041" w:rsidRDefault="1D3ABBAA" w:rsidP="1D3ABBAA">
            <w:pPr>
              <w:spacing w:after="0" w:line="240" w:lineRule="auto"/>
              <w:rPr>
                <w:rFonts w:ascii="Times New Roman" w:hAnsi="Times New Roman" w:cs="Times New Roman"/>
                <w:sz w:val="24"/>
                <w:szCs w:val="24"/>
                <w:lang w:eastAsia="hu-HU"/>
              </w:rPr>
            </w:pPr>
            <w:r w:rsidRPr="1D3ABBAA">
              <w:rPr>
                <w:rFonts w:ascii="Times New Roman" w:hAnsi="Times New Roman" w:cs="Times New Roman"/>
                <w:sz w:val="24"/>
                <w:szCs w:val="24"/>
                <w:lang w:eastAsia="hu-HU"/>
              </w:rPr>
              <w:t>Utánpótlás-nevelési feladatok, sportiskolai program, államilag elismert sportakadémiák és kiemelt régiós alközpontok támogatása</w:t>
            </w:r>
          </w:p>
        </w:tc>
        <w:tc>
          <w:tcPr>
            <w:tcW w:w="992" w:type="dxa"/>
            <w:noWrap/>
            <w:tcMar>
              <w:top w:w="0" w:type="dxa"/>
              <w:left w:w="108" w:type="dxa"/>
              <w:bottom w:w="0" w:type="dxa"/>
              <w:right w:w="108" w:type="dxa"/>
            </w:tcMar>
            <w:vAlign w:val="center"/>
          </w:tcPr>
          <w:p w14:paraId="2E763A89" w14:textId="6D428585" w:rsidR="00A60C9D" w:rsidRPr="008E4041" w:rsidRDefault="1D3ABBAA" w:rsidP="1D3ABBAA">
            <w:pPr>
              <w:spacing w:after="0" w:line="240" w:lineRule="auto"/>
              <w:jc w:val="right"/>
              <w:rPr>
                <w:rFonts w:ascii="Times New Roman" w:hAnsi="Times New Roman" w:cs="Times New Roman"/>
                <w:sz w:val="24"/>
                <w:szCs w:val="24"/>
                <w:lang w:eastAsia="hu-HU"/>
              </w:rPr>
            </w:pPr>
            <w:r w:rsidRPr="1D3ABBAA">
              <w:rPr>
                <w:rFonts w:ascii="Times New Roman" w:hAnsi="Times New Roman" w:cs="Times New Roman"/>
                <w:sz w:val="24"/>
                <w:szCs w:val="24"/>
                <w:lang w:eastAsia="hu-HU"/>
              </w:rPr>
              <w:t>21,1</w:t>
            </w:r>
          </w:p>
        </w:tc>
      </w:tr>
    </w:tbl>
    <w:p w14:paraId="032A8560" w14:textId="7E959325" w:rsidR="00484365" w:rsidRPr="00A61DE1" w:rsidRDefault="1D3ABBAA" w:rsidP="1D3ABBAA">
      <w:pPr>
        <w:spacing w:before="160" w:after="0"/>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t>A 2026</w:t>
      </w:r>
      <w:r w:rsidR="001941D1">
        <w:rPr>
          <w:rFonts w:ascii="Times New Roman" w:eastAsia="Times New Roman" w:hAnsi="Times New Roman" w:cs="Times New Roman"/>
          <w:sz w:val="26"/>
          <w:szCs w:val="26"/>
          <w:lang w:eastAsia="hu-HU"/>
        </w:rPr>
        <w:t>.</w:t>
      </w:r>
      <w:r w:rsidRPr="1D3ABBAA">
        <w:rPr>
          <w:rFonts w:ascii="Times New Roman" w:eastAsia="Times New Roman" w:hAnsi="Times New Roman" w:cs="Times New Roman"/>
          <w:sz w:val="26"/>
          <w:szCs w:val="26"/>
          <w:lang w:eastAsia="hu-HU"/>
        </w:rPr>
        <w:t xml:space="preserve"> év első havi, </w:t>
      </w:r>
      <w:r w:rsidR="00D252B3">
        <w:rPr>
          <w:rFonts w:ascii="Times New Roman" w:eastAsia="Times New Roman" w:hAnsi="Times New Roman" w:cs="Times New Roman"/>
          <w:sz w:val="26"/>
          <w:szCs w:val="26"/>
          <w:lang w:eastAsia="hu-HU"/>
        </w:rPr>
        <w:t>1962,2</w:t>
      </w:r>
      <w:r w:rsidRPr="1D3ABBAA">
        <w:rPr>
          <w:rFonts w:ascii="Times New Roman" w:eastAsia="Times New Roman" w:hAnsi="Times New Roman" w:cs="Times New Roman"/>
          <w:sz w:val="26"/>
          <w:szCs w:val="26"/>
          <w:lang w:eastAsia="hu-HU"/>
        </w:rPr>
        <w:t> milliárd forint összegű kiadásának megoszlását a következő grafikon szemlélteti:</w:t>
      </w:r>
    </w:p>
    <w:p w14:paraId="3599A16D" w14:textId="2BE68170" w:rsidR="00B056CC" w:rsidRDefault="00E668D9" w:rsidP="009C33A4">
      <w:pPr>
        <w:spacing w:before="240"/>
        <w:jc w:val="center"/>
        <w:rPr>
          <w:rFonts w:ascii="Times New Roman" w:eastAsia="Times New Roman" w:hAnsi="Times New Roman" w:cs="Times New Roman"/>
          <w:b/>
          <w:sz w:val="26"/>
          <w:szCs w:val="26"/>
        </w:rPr>
      </w:pPr>
      <w:r>
        <w:rPr>
          <w:noProof/>
        </w:rPr>
        <w:drawing>
          <wp:inline distT="0" distB="0" distL="0" distR="0" wp14:anchorId="450075B6" wp14:editId="03EB133D">
            <wp:extent cx="5442066" cy="3202940"/>
            <wp:effectExtent l="0" t="0" r="6350" b="0"/>
            <wp:docPr id="2121674715" name="Kép 1" descr="A képen szöveg, képernyőkép, sor, Diagram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74715" name="Kép 1" descr="A képen szöveg, képernyőkép, sor, Diagram látható&#10;&#10;Előfordulhat, hogy a mesterséges intelligencia által létrehozott tartalom helytelen."/>
                    <pic:cNvPicPr/>
                  </pic:nvPicPr>
                  <pic:blipFill rotWithShape="1">
                    <a:blip r:embed="rId25"/>
                    <a:srcRect l="3452" r="4929" b="3123"/>
                    <a:stretch/>
                  </pic:blipFill>
                  <pic:spPr bwMode="auto">
                    <a:xfrm>
                      <a:off x="0" y="0"/>
                      <a:ext cx="5442513" cy="3203203"/>
                    </a:xfrm>
                    <a:prstGeom prst="rect">
                      <a:avLst/>
                    </a:prstGeom>
                    <a:ln>
                      <a:noFill/>
                    </a:ln>
                    <a:extLst>
                      <a:ext uri="{53640926-AAD7-44D8-BBD7-CCE9431645EC}">
                        <a14:shadowObscured xmlns:a14="http://schemas.microsoft.com/office/drawing/2010/main"/>
                      </a:ext>
                    </a:extLst>
                  </pic:spPr>
                </pic:pic>
              </a:graphicData>
            </a:graphic>
          </wp:inline>
        </w:drawing>
      </w:r>
    </w:p>
    <w:p w14:paraId="7B768C4E" w14:textId="3E063542" w:rsidR="00B155FE" w:rsidRPr="00377D59" w:rsidRDefault="1D3ABBAA" w:rsidP="1D3ABBAA">
      <w:pPr>
        <w:keepNext/>
        <w:numPr>
          <w:ilvl w:val="0"/>
          <w:numId w:val="3"/>
        </w:numPr>
        <w:ind w:left="714" w:hanging="357"/>
        <w:jc w:val="both"/>
        <w:outlineLvl w:val="2"/>
        <w:rPr>
          <w:rFonts w:ascii="Times New Roman" w:eastAsia="Times New Roman" w:hAnsi="Times New Roman" w:cs="Times New Roman"/>
          <w:b/>
          <w:bCs/>
          <w:smallCaps/>
          <w:sz w:val="28"/>
          <w:szCs w:val="28"/>
          <w:lang w:eastAsia="hu-HU"/>
        </w:rPr>
      </w:pPr>
      <w:r w:rsidRPr="1D3ABBAA">
        <w:rPr>
          <w:rFonts w:ascii="Times New Roman" w:eastAsia="Times New Roman" w:hAnsi="Times New Roman" w:cs="Times New Roman"/>
          <w:b/>
          <w:bCs/>
          <w:smallCaps/>
          <w:sz w:val="28"/>
          <w:szCs w:val="28"/>
          <w:lang w:eastAsia="hu-HU"/>
        </w:rPr>
        <w:t>Kamategyenleg</w:t>
      </w:r>
    </w:p>
    <w:p w14:paraId="0047F521" w14:textId="3876C5FB" w:rsidR="003F3151" w:rsidRDefault="1D3ABBAA" w:rsidP="1D3ABBAA">
      <w:pPr>
        <w:jc w:val="both"/>
        <w:rPr>
          <w:rFonts w:ascii="Times New Roman" w:hAnsi="Times New Roman" w:cs="Times New Roman"/>
          <w:sz w:val="26"/>
          <w:szCs w:val="26"/>
        </w:rPr>
      </w:pPr>
      <w:bookmarkStart w:id="1" w:name="_Hlk211416201"/>
      <w:r w:rsidRPr="1D3ABBAA">
        <w:rPr>
          <w:rFonts w:ascii="Times New Roman" w:hAnsi="Times New Roman" w:cs="Times New Roman"/>
          <w:sz w:val="26"/>
          <w:szCs w:val="26"/>
          <w:lang w:eastAsia="hu-HU"/>
        </w:rPr>
        <w:t xml:space="preserve">A bevételek és kiadások egyenlegeként adódó 150,0 milliárd forint összegű </w:t>
      </w:r>
      <w:r w:rsidRPr="1D3ABBAA">
        <w:rPr>
          <w:rFonts w:ascii="Times New Roman" w:hAnsi="Times New Roman" w:cs="Times New Roman"/>
          <w:b/>
          <w:bCs/>
          <w:sz w:val="26"/>
          <w:szCs w:val="26"/>
          <w:lang w:eastAsia="hu-HU"/>
        </w:rPr>
        <w:t>nettó</w:t>
      </w:r>
      <w:r w:rsidRPr="1D3ABBAA">
        <w:rPr>
          <w:rFonts w:ascii="Times New Roman" w:hAnsi="Times New Roman" w:cs="Times New Roman"/>
          <w:b/>
          <w:bCs/>
          <w:sz w:val="26"/>
          <w:szCs w:val="26"/>
        </w:rPr>
        <w:t xml:space="preserve"> kamatkiadás</w:t>
      </w:r>
      <w:r w:rsidRPr="1D3ABBAA">
        <w:rPr>
          <w:rFonts w:ascii="Times New Roman" w:hAnsi="Times New Roman" w:cs="Times New Roman"/>
          <w:sz w:val="26"/>
          <w:szCs w:val="26"/>
        </w:rPr>
        <w:t xml:space="preserve"> 2026 januárjában 205,3 milliárd forinttal lett alacsonyabb az előző évhez képest, mely az előző évitől különböző hozamokkal és finanszírozási szerkezettel magyarázható.</w:t>
      </w:r>
    </w:p>
    <w:bookmarkEnd w:id="1"/>
    <w:p w14:paraId="1475120F" w14:textId="77777777" w:rsidR="00224E67" w:rsidRDefault="00224E67" w:rsidP="716D41F4">
      <w:pPr>
        <w:jc w:val="both"/>
        <w:rPr>
          <w:rFonts w:ascii="Times New Roman" w:hAnsi="Times New Roman" w:cs="Times New Roman"/>
          <w:sz w:val="26"/>
          <w:szCs w:val="26"/>
        </w:rPr>
      </w:pPr>
    </w:p>
    <w:p w14:paraId="12833000" w14:textId="77777777" w:rsidR="00224E67" w:rsidRDefault="00224E67" w:rsidP="716D41F4">
      <w:pPr>
        <w:jc w:val="both"/>
        <w:rPr>
          <w:rFonts w:ascii="Times New Roman" w:hAnsi="Times New Roman" w:cs="Times New Roman"/>
          <w:sz w:val="26"/>
          <w:szCs w:val="26"/>
        </w:rPr>
      </w:pPr>
    </w:p>
    <w:p w14:paraId="7B768C50" w14:textId="77777777" w:rsidR="00B155FE" w:rsidRPr="00377D59" w:rsidRDefault="00B155FE" w:rsidP="00B155FE">
      <w:pPr>
        <w:tabs>
          <w:tab w:val="left" w:pos="550"/>
        </w:tabs>
        <w:spacing w:before="120" w:after="120" w:line="240" w:lineRule="auto"/>
        <w:jc w:val="both"/>
        <w:rPr>
          <w:rFonts w:ascii="Times New Roman" w:eastAsia="Times New Roman" w:hAnsi="Times New Roman" w:cs="Times New Roman"/>
          <w:caps/>
          <w:sz w:val="26"/>
          <w:szCs w:val="20"/>
          <w:lang w:eastAsia="hu-HU"/>
        </w:rPr>
      </w:pPr>
      <w:r w:rsidRPr="00377D59">
        <w:rPr>
          <w:rFonts w:ascii="Times New Roman" w:eastAsia="Times New Roman" w:hAnsi="Times New Roman" w:cs="Times New Roman"/>
          <w:caps/>
          <w:sz w:val="26"/>
          <w:szCs w:val="20"/>
          <w:lang w:eastAsia="hu-HU"/>
        </w:rPr>
        <w:br w:type="page"/>
      </w:r>
    </w:p>
    <w:p w14:paraId="688B9DA7" w14:textId="77777777" w:rsidR="00C9408B" w:rsidRDefault="1D3ABBAA" w:rsidP="1D3ABBAA">
      <w:pPr>
        <w:keepNext/>
        <w:spacing w:after="120" w:line="240" w:lineRule="auto"/>
        <w:jc w:val="center"/>
        <w:outlineLvl w:val="3"/>
        <w:rPr>
          <w:rFonts w:ascii="Times New Roman" w:eastAsia="Times New Roman" w:hAnsi="Times New Roman" w:cs="Times New Roman"/>
          <w:b/>
          <w:bCs/>
          <w:caps/>
          <w:sz w:val="26"/>
          <w:szCs w:val="26"/>
          <w:lang w:eastAsia="hu-HU"/>
        </w:rPr>
      </w:pPr>
      <w:r w:rsidRPr="1D3ABBAA">
        <w:rPr>
          <w:rFonts w:ascii="Times New Roman" w:eastAsia="Times New Roman" w:hAnsi="Times New Roman" w:cs="Times New Roman"/>
          <w:b/>
          <w:bCs/>
          <w:caps/>
          <w:sz w:val="26"/>
          <w:szCs w:val="26"/>
          <w:lang w:eastAsia="hu-HU"/>
        </w:rPr>
        <w:lastRenderedPageBreak/>
        <w:t>II.</w:t>
      </w:r>
    </w:p>
    <w:p w14:paraId="7B768C51" w14:textId="63BB059C" w:rsidR="00B155FE" w:rsidRPr="00377D59" w:rsidRDefault="1D3ABBAA" w:rsidP="1D3ABBAA">
      <w:pPr>
        <w:keepNext/>
        <w:spacing w:after="240" w:line="240" w:lineRule="auto"/>
        <w:jc w:val="center"/>
        <w:outlineLvl w:val="3"/>
        <w:rPr>
          <w:rFonts w:ascii="Times New Roman" w:eastAsia="Times New Roman" w:hAnsi="Times New Roman" w:cs="Times New Roman"/>
          <w:b/>
          <w:bCs/>
          <w:caps/>
          <w:sz w:val="26"/>
          <w:szCs w:val="26"/>
          <w:lang w:eastAsia="hu-HU"/>
        </w:rPr>
      </w:pPr>
      <w:r w:rsidRPr="1D3ABBAA">
        <w:rPr>
          <w:rFonts w:ascii="Times New Roman" w:eastAsia="Times New Roman" w:hAnsi="Times New Roman" w:cs="Times New Roman"/>
          <w:b/>
          <w:bCs/>
          <w:caps/>
          <w:sz w:val="26"/>
          <w:szCs w:val="26"/>
          <w:lang w:eastAsia="hu-HU"/>
        </w:rPr>
        <w:t>Az államháztartás központi alrendszerének finanszírozása</w:t>
      </w:r>
    </w:p>
    <w:p w14:paraId="401A33AB" w14:textId="308EF264" w:rsidR="00D424B8" w:rsidRPr="008E6DF0" w:rsidRDefault="1D3ABBAA" w:rsidP="1D3ABBAA">
      <w:pPr>
        <w:ind w:right="23"/>
        <w:jc w:val="both"/>
        <w:rPr>
          <w:rFonts w:ascii="Times New Roman" w:eastAsia="Times New Roman" w:hAnsi="Times New Roman" w:cs="Times New Roman"/>
          <w:b/>
          <w:bCs/>
          <w:sz w:val="26"/>
          <w:szCs w:val="26"/>
          <w:lang w:eastAsia="hu-HU"/>
        </w:rPr>
      </w:pPr>
      <w:r w:rsidRPr="1D3ABBAA">
        <w:rPr>
          <w:rFonts w:ascii="Times New Roman" w:eastAsia="Times New Roman" w:hAnsi="Times New Roman" w:cs="Times New Roman"/>
          <w:sz w:val="26"/>
          <w:szCs w:val="26"/>
          <w:lang w:eastAsia="hu-HU"/>
        </w:rPr>
        <w:t>A központi költségvetés adóssága 2026. január végéig 1550,3 milliárd forinttal növekedett a következő négy tényező eredményeképpen:</w:t>
      </w:r>
    </w:p>
    <w:p w14:paraId="12882507" w14:textId="5B19F8DA" w:rsidR="00956B15" w:rsidRDefault="1D3ABBAA" w:rsidP="1D3ABBAA">
      <w:pPr>
        <w:pStyle w:val="Listaszerbekezds"/>
        <w:numPr>
          <w:ilvl w:val="0"/>
          <w:numId w:val="2"/>
        </w:num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b/>
          <w:bCs/>
          <w:sz w:val="26"/>
          <w:szCs w:val="26"/>
          <w:lang w:eastAsia="hu-HU"/>
        </w:rPr>
        <w:t>Az első tényező</w:t>
      </w:r>
      <w:r w:rsidRPr="1D3ABBAA">
        <w:rPr>
          <w:rFonts w:ascii="Times New Roman" w:eastAsia="Times New Roman" w:hAnsi="Times New Roman" w:cs="Times New Roman"/>
          <w:sz w:val="26"/>
          <w:szCs w:val="26"/>
          <w:lang w:eastAsia="hu-HU"/>
        </w:rPr>
        <w:t xml:space="preserve"> a nettó devizakibocsátás, amely 1183,4 milliárd forint összegben hozzájárul a hiány finanszírozásához és a devizabetétállomány növekedéséhez.</w:t>
      </w:r>
    </w:p>
    <w:p w14:paraId="7DA4F6A7" w14:textId="5EE8779F" w:rsidR="00956B15" w:rsidRDefault="1D3ABBAA" w:rsidP="1D3ABBAA">
      <w:pPr>
        <w:pStyle w:val="Listaszerbekezds"/>
        <w:numPr>
          <w:ilvl w:val="0"/>
          <w:numId w:val="2"/>
        </w:num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b/>
          <w:bCs/>
          <w:sz w:val="26"/>
          <w:szCs w:val="26"/>
          <w:lang w:eastAsia="hu-HU"/>
        </w:rPr>
        <w:t>A második – szintén növelő hatású – tényező</w:t>
      </w:r>
      <w:r w:rsidRPr="1D3ABBAA">
        <w:rPr>
          <w:rFonts w:ascii="Times New Roman" w:eastAsia="Times New Roman" w:hAnsi="Times New Roman" w:cs="Times New Roman"/>
          <w:sz w:val="26"/>
          <w:szCs w:val="26"/>
          <w:lang w:eastAsia="hu-HU"/>
        </w:rPr>
        <w:t xml:space="preserve"> a nettó forintkibocsátás, amely 553,7 milliárd forinttal növelte az adósságot, így segítette a költségvetési hiány egy részének finanszírozását.</w:t>
      </w:r>
    </w:p>
    <w:p w14:paraId="79E9D3A4" w14:textId="61D8057A" w:rsidR="00956B15" w:rsidRDefault="1D3ABBAA" w:rsidP="1D3ABBAA">
      <w:pPr>
        <w:pStyle w:val="Listaszerbekezds"/>
        <w:numPr>
          <w:ilvl w:val="0"/>
          <w:numId w:val="2"/>
        </w:num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b/>
          <w:bCs/>
          <w:sz w:val="26"/>
          <w:szCs w:val="26"/>
          <w:lang w:eastAsia="hu-HU"/>
        </w:rPr>
        <w:t xml:space="preserve">A harmadik – fentiekkel ellentétes, csökkentő </w:t>
      </w:r>
      <w:r w:rsidRPr="1D3ABBAA">
        <w:rPr>
          <w:rFonts w:ascii="Times New Roman" w:eastAsia="Times New Roman" w:hAnsi="Times New Roman" w:cs="Times New Roman"/>
          <w:sz w:val="26"/>
          <w:szCs w:val="26"/>
          <w:lang w:eastAsia="hu-HU"/>
        </w:rPr>
        <w:t>hatású – tényező a forint árfolyamának az elmúlt év végéhez képest bekövetkezett erősödése, amely az adósság devizában fennálló részének forintban számított nyilvántartási értékét 175,2 milliárd forinttal mérsékelte.</w:t>
      </w:r>
    </w:p>
    <w:p w14:paraId="7045AB8E" w14:textId="49E03894" w:rsidR="00D424B8" w:rsidRPr="00956B15" w:rsidRDefault="1D3ABBAA" w:rsidP="1D3ABBAA">
      <w:pPr>
        <w:pStyle w:val="Listaszerbekezds"/>
        <w:numPr>
          <w:ilvl w:val="0"/>
          <w:numId w:val="2"/>
        </w:num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b/>
          <w:bCs/>
          <w:sz w:val="26"/>
          <w:szCs w:val="26"/>
          <w:lang w:eastAsia="hu-HU"/>
        </w:rPr>
        <w:t>A negyedik – további csökkentő hatású – tényező</w:t>
      </w:r>
      <w:r w:rsidRPr="1D3ABBAA">
        <w:rPr>
          <w:rFonts w:ascii="Times New Roman" w:eastAsia="Times New Roman" w:hAnsi="Times New Roman" w:cs="Times New Roman"/>
          <w:sz w:val="26"/>
          <w:szCs w:val="26"/>
          <w:lang w:eastAsia="hu-HU"/>
        </w:rPr>
        <w:t xml:space="preserve"> a deviza-keresztárfolyamok változása és az egyéb tényezők miatt bekövetkezett mark-</w:t>
      </w:r>
      <w:proofErr w:type="spellStart"/>
      <w:r w:rsidRPr="1D3ABBAA">
        <w:rPr>
          <w:rFonts w:ascii="Times New Roman" w:eastAsia="Times New Roman" w:hAnsi="Times New Roman" w:cs="Times New Roman"/>
          <w:sz w:val="26"/>
          <w:szCs w:val="26"/>
          <w:lang w:eastAsia="hu-HU"/>
        </w:rPr>
        <w:t>to</w:t>
      </w:r>
      <w:proofErr w:type="spellEnd"/>
      <w:r w:rsidRPr="1D3ABBAA">
        <w:rPr>
          <w:rFonts w:ascii="Times New Roman" w:eastAsia="Times New Roman" w:hAnsi="Times New Roman" w:cs="Times New Roman"/>
          <w:sz w:val="26"/>
          <w:szCs w:val="26"/>
          <w:lang w:eastAsia="hu-HU"/>
        </w:rPr>
        <w:t>-market betétállományok csökkenése 11,6 milliárd forint összegben.</w:t>
      </w:r>
    </w:p>
    <w:p w14:paraId="4882F075" w14:textId="17456F9F" w:rsidR="00B37A83" w:rsidRPr="00B37A83" w:rsidRDefault="00B37A83" w:rsidP="00D424B8">
      <w:pPr>
        <w:pStyle w:val="Listaszerbekezds"/>
        <w:jc w:val="both"/>
        <w:rPr>
          <w:rFonts w:ascii="Times New Roman" w:eastAsia="Times New Roman" w:hAnsi="Times New Roman" w:cs="Times New Roman"/>
          <w:sz w:val="26"/>
          <w:szCs w:val="26"/>
          <w:lang w:eastAsia="hu-HU"/>
        </w:rPr>
      </w:pPr>
    </w:p>
    <w:p w14:paraId="510E0310" w14:textId="55B98873" w:rsidR="00CE4893" w:rsidRDefault="00CE4893" w:rsidP="00224E67">
      <w:pPr>
        <w:ind w:right="23"/>
        <w:jc w:val="both"/>
        <w:rPr>
          <w:rFonts w:ascii="Times New Roman" w:eastAsia="Times New Roman" w:hAnsi="Times New Roman" w:cs="Times New Roman"/>
          <w:sz w:val="26"/>
          <w:szCs w:val="26"/>
          <w:lang w:eastAsia="hu-HU"/>
        </w:rPr>
      </w:pPr>
    </w:p>
    <w:p w14:paraId="111568C6" w14:textId="77777777" w:rsidR="007B0B76" w:rsidRDefault="007B0B76" w:rsidP="007B0B76">
      <w:pPr>
        <w:jc w:val="both"/>
        <w:rPr>
          <w:rFonts w:ascii="Times New Roman" w:eastAsia="Times New Roman" w:hAnsi="Times New Roman" w:cs="Times New Roman"/>
          <w:sz w:val="26"/>
          <w:szCs w:val="26"/>
          <w:lang w:eastAsia="hu-HU"/>
        </w:rPr>
      </w:pPr>
    </w:p>
    <w:p w14:paraId="157CBCF7" w14:textId="192A582E" w:rsidR="007B0B76" w:rsidRPr="007B0B76" w:rsidRDefault="007B0B76" w:rsidP="007B0B76">
      <w:pPr>
        <w:jc w:val="both"/>
        <w:rPr>
          <w:rFonts w:ascii="Times New Roman" w:eastAsia="Times New Roman" w:hAnsi="Times New Roman" w:cs="Times New Roman"/>
          <w:sz w:val="26"/>
          <w:szCs w:val="26"/>
          <w:lang w:eastAsia="hu-HU"/>
        </w:rPr>
        <w:sectPr w:rsidR="007B0B76" w:rsidRPr="007B0B76" w:rsidSect="007449BF">
          <w:headerReference w:type="default" r:id="rId26"/>
          <w:footerReference w:type="default" r:id="rId27"/>
          <w:footnotePr>
            <w:numRestart w:val="eachPage"/>
          </w:footnotePr>
          <w:pgSz w:w="11907" w:h="16840" w:code="9"/>
          <w:pgMar w:top="1134" w:right="1134" w:bottom="1418" w:left="1418" w:header="709" w:footer="709" w:gutter="0"/>
          <w:cols w:space="708"/>
          <w:docGrid w:linePitch="354"/>
        </w:sectPr>
      </w:pPr>
    </w:p>
    <w:p w14:paraId="7B768C5C" w14:textId="5543FDD7" w:rsidR="00B155FE" w:rsidRPr="00377D59" w:rsidRDefault="1D3ABBAA" w:rsidP="1D3ABBAA">
      <w:pPr>
        <w:spacing w:after="120" w:line="240" w:lineRule="auto"/>
        <w:ind w:right="23"/>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lastRenderedPageBreak/>
        <w:t xml:space="preserve">Az előzetes adatok szerint 2026. január végén a </w:t>
      </w:r>
      <w:r w:rsidRPr="1D3ABBAA">
        <w:rPr>
          <w:rFonts w:ascii="Times New Roman" w:eastAsia="Times New Roman" w:hAnsi="Times New Roman" w:cs="Times New Roman"/>
          <w:b/>
          <w:bCs/>
          <w:sz w:val="26"/>
          <w:szCs w:val="26"/>
          <w:lang w:eastAsia="hu-HU"/>
        </w:rPr>
        <w:t xml:space="preserve">központi költségvetés forint- és devizaadóssága </w:t>
      </w:r>
      <w:r w:rsidRPr="1D3ABBAA">
        <w:rPr>
          <w:rFonts w:ascii="Times New Roman" w:eastAsia="Times New Roman" w:hAnsi="Times New Roman" w:cs="Times New Roman"/>
          <w:sz w:val="26"/>
          <w:szCs w:val="26"/>
          <w:lang w:eastAsia="hu-HU"/>
        </w:rPr>
        <w:t>az alábbiak szerint alakult:</w:t>
      </w:r>
    </w:p>
    <w:p w14:paraId="7B768C5D" w14:textId="32A84022" w:rsidR="00B155FE" w:rsidRDefault="1D3ABBAA" w:rsidP="1D3ABBAA">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t>A központi költségvetés adósságának alakulása 2026-ban, milliárd forint</w:t>
      </w:r>
    </w:p>
    <w:p w14:paraId="31C86ED1" w14:textId="060F9202" w:rsidR="007B0B76" w:rsidRDefault="00C02F55" w:rsidP="13E847AC">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00C02F55">
        <w:rPr>
          <w:noProof/>
        </w:rPr>
        <w:drawing>
          <wp:inline distT="0" distB="0" distL="0" distR="0" wp14:anchorId="340C835B" wp14:editId="1BB190E0">
            <wp:extent cx="8936355" cy="4227830"/>
            <wp:effectExtent l="0" t="0" r="0" b="1270"/>
            <wp:docPr id="63559505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36355" cy="4227830"/>
                    </a:xfrm>
                    <a:prstGeom prst="rect">
                      <a:avLst/>
                    </a:prstGeom>
                    <a:noFill/>
                    <a:ln>
                      <a:noFill/>
                    </a:ln>
                  </pic:spPr>
                </pic:pic>
              </a:graphicData>
            </a:graphic>
          </wp:inline>
        </w:drawing>
      </w:r>
    </w:p>
    <w:p w14:paraId="7B768C5F" w14:textId="77777777" w:rsidR="00B155FE" w:rsidRPr="00377D59" w:rsidRDefault="1D3ABBAA" w:rsidP="1D3ABBAA">
      <w:pPr>
        <w:spacing w:after="120" w:line="240" w:lineRule="auto"/>
        <w:jc w:val="both"/>
        <w:rPr>
          <w:rFonts w:ascii="Times New Roman" w:eastAsia="Times New Roman" w:hAnsi="Times New Roman" w:cs="Times New Roman"/>
          <w:sz w:val="24"/>
          <w:szCs w:val="24"/>
          <w:lang w:eastAsia="hu-HU"/>
        </w:rPr>
      </w:pPr>
      <w:r w:rsidRPr="1D3ABBAA">
        <w:rPr>
          <w:rFonts w:ascii="Times New Roman" w:eastAsia="Times New Roman" w:hAnsi="Times New Roman" w:cs="Times New Roman"/>
          <w:i/>
          <w:iCs/>
          <w:sz w:val="24"/>
          <w:szCs w:val="24"/>
          <w:lang w:eastAsia="hu-HU"/>
        </w:rPr>
        <w:t>Megjegyzés: a táblában szereplő tizedes eltérések kerekítésből adódnak.</w:t>
      </w:r>
    </w:p>
    <w:p w14:paraId="67FEF71B" w14:textId="4352F928" w:rsidR="00617877" w:rsidRPr="00377D59" w:rsidRDefault="00617877" w:rsidP="00617877">
      <w:pPr>
        <w:jc w:val="center"/>
        <w:rPr>
          <w:rFonts w:ascii="Times New Roman" w:eastAsia="Times New Roman" w:hAnsi="Times New Roman" w:cs="Times New Roman"/>
          <w:sz w:val="26"/>
          <w:szCs w:val="26"/>
          <w:lang w:eastAsia="hu-HU"/>
        </w:rPr>
      </w:pPr>
    </w:p>
    <w:p w14:paraId="612D5E01" w14:textId="247C2A7A" w:rsidR="00617877" w:rsidRPr="00377D59" w:rsidRDefault="00617877" w:rsidP="00617877">
      <w:pPr>
        <w:rPr>
          <w:rFonts w:ascii="Times New Roman" w:eastAsia="Times New Roman" w:hAnsi="Times New Roman" w:cs="Times New Roman"/>
          <w:sz w:val="26"/>
          <w:szCs w:val="26"/>
          <w:lang w:eastAsia="hu-HU"/>
        </w:rPr>
      </w:pPr>
    </w:p>
    <w:p w14:paraId="4A764331" w14:textId="77777777" w:rsidR="00EA1F58" w:rsidRPr="00377D59" w:rsidRDefault="00EA1F58" w:rsidP="00617877">
      <w:pPr>
        <w:rPr>
          <w:rFonts w:ascii="Times New Roman" w:eastAsia="Times New Roman" w:hAnsi="Times New Roman" w:cs="Times New Roman"/>
          <w:sz w:val="26"/>
          <w:szCs w:val="26"/>
          <w:lang w:eastAsia="hu-HU"/>
        </w:rPr>
        <w:sectPr w:rsidR="00EA1F58" w:rsidRPr="00377D59" w:rsidSect="007449BF">
          <w:headerReference w:type="default" r:id="rId29"/>
          <w:headerReference w:type="first" r:id="rId30"/>
          <w:footnotePr>
            <w:numRestart w:val="eachPage"/>
          </w:footnotePr>
          <w:pgSz w:w="16840" w:h="11907" w:orient="landscape" w:code="9"/>
          <w:pgMar w:top="993" w:right="1134" w:bottom="1134" w:left="1418" w:header="709" w:footer="709" w:gutter="0"/>
          <w:pgNumType w:start="19"/>
          <w:cols w:space="708"/>
          <w:titlePg/>
          <w:docGrid w:linePitch="299"/>
        </w:sectPr>
      </w:pPr>
    </w:p>
    <w:p w14:paraId="43A75E4A" w14:textId="477A83F6" w:rsidR="00C02F55" w:rsidRPr="00C02F55" w:rsidRDefault="1D3ABBAA" w:rsidP="1D3ABBAA">
      <w:p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b/>
          <w:bCs/>
          <w:sz w:val="26"/>
          <w:szCs w:val="26"/>
          <w:lang w:eastAsia="hu-HU"/>
        </w:rPr>
        <w:lastRenderedPageBreak/>
        <w:t>A központi költségvetés devizaadóssága</w:t>
      </w:r>
      <w:r w:rsidRPr="1D3ABBAA">
        <w:rPr>
          <w:rFonts w:ascii="Times New Roman" w:eastAsia="Times New Roman" w:hAnsi="Times New Roman" w:cs="Times New Roman"/>
          <w:sz w:val="26"/>
          <w:szCs w:val="26"/>
          <w:lang w:eastAsia="hu-HU"/>
        </w:rPr>
        <w:t xml:space="preserve"> 2026-ban 1008,2 milliárd forinttal 18 817,8 milliárd forintra növekedett az elmúlt év végéhez képest. A devizaadósság részaránya a 2025. év végi 29,4%-os szintről 30,3%-os szintre emelkedett a teljes adósságon belül.</w:t>
      </w:r>
    </w:p>
    <w:p w14:paraId="06D90E2F" w14:textId="66EEF4B0" w:rsidR="00C02F55" w:rsidRPr="00C02F55" w:rsidRDefault="1D3ABBAA" w:rsidP="1D3ABBAA">
      <w:p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t>A növekedés hátterében döntően a január elején végrehajtott devizakötvény-kibocsátások állnak. 2026</w:t>
      </w:r>
      <w:r w:rsidR="001941D1">
        <w:rPr>
          <w:rFonts w:ascii="Times New Roman" w:eastAsia="Times New Roman" w:hAnsi="Times New Roman" w:cs="Times New Roman"/>
          <w:sz w:val="26"/>
          <w:szCs w:val="26"/>
          <w:lang w:eastAsia="hu-HU"/>
        </w:rPr>
        <w:t>.</w:t>
      </w:r>
      <w:r w:rsidRPr="1D3ABBAA">
        <w:rPr>
          <w:rFonts w:ascii="Times New Roman" w:eastAsia="Times New Roman" w:hAnsi="Times New Roman" w:cs="Times New Roman"/>
          <w:sz w:val="26"/>
          <w:szCs w:val="26"/>
          <w:lang w:eastAsia="hu-HU"/>
        </w:rPr>
        <w:t xml:space="preserve"> január 7-én került sor az idei év első nemzetközi eurókötvény-kibocsátására összesen 1157,9 milliárd forint (3,0 milliárd euró) összegben. Két sorozat piacra vitele történt meg, egy 7 éves futamidejű hagyományos sorozat 771,9 milliárd forint (2,0 milliárd EUR) összegben és egy 12 éves futamidejű zöld sorozat 386,0 milliárd forint (1,0 milliárd EUR) összegben.</w:t>
      </w:r>
    </w:p>
    <w:p w14:paraId="5001D79F" w14:textId="77777777" w:rsidR="00C02F55" w:rsidRPr="00C02F55" w:rsidRDefault="1D3ABBAA" w:rsidP="1D3ABBAA">
      <w:p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t>A további devizahitel lehívások összege szintén emelte, míg az árfolyamerősödés ugyanakkor csökkentette a devizaadósság részarányát.</w:t>
      </w:r>
    </w:p>
    <w:p w14:paraId="00AA7E1A" w14:textId="2B94F7FB" w:rsidR="00C02F55" w:rsidRPr="00C02F55" w:rsidRDefault="1D3ABBAA" w:rsidP="1D3ABBAA">
      <w:p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b/>
          <w:bCs/>
          <w:sz w:val="26"/>
          <w:szCs w:val="26"/>
          <w:lang w:eastAsia="hu-HU"/>
        </w:rPr>
        <w:t>A költségvetés forintadóssága</w:t>
      </w:r>
      <w:r w:rsidRPr="1D3ABBAA">
        <w:rPr>
          <w:rFonts w:ascii="Times New Roman" w:eastAsia="Times New Roman" w:hAnsi="Times New Roman" w:cs="Times New Roman"/>
          <w:sz w:val="26"/>
          <w:szCs w:val="26"/>
          <w:lang w:eastAsia="hu-HU"/>
        </w:rPr>
        <w:t xml:space="preserve"> január végéig 553,7 milliárd forinttal növekedett és 43 129,6 milliárd forintot ért el, a forint adósság a teljes államadósság 69,5%-át teszi ki. 2025</w:t>
      </w:r>
      <w:r w:rsidR="009A1018">
        <w:rPr>
          <w:rFonts w:ascii="Times New Roman" w:eastAsia="Times New Roman" w:hAnsi="Times New Roman" w:cs="Times New Roman"/>
          <w:sz w:val="26"/>
          <w:szCs w:val="26"/>
          <w:lang w:eastAsia="hu-HU"/>
        </w:rPr>
        <w:t> </w:t>
      </w:r>
      <w:r w:rsidRPr="1D3ABBAA">
        <w:rPr>
          <w:rFonts w:ascii="Times New Roman" w:eastAsia="Times New Roman" w:hAnsi="Times New Roman" w:cs="Times New Roman"/>
          <w:sz w:val="26"/>
          <w:szCs w:val="26"/>
          <w:lang w:eastAsia="hu-HU"/>
        </w:rPr>
        <w:t>decemberében ez az arány 70,3% volt.</w:t>
      </w:r>
    </w:p>
    <w:p w14:paraId="27B462D2" w14:textId="43BBAC37" w:rsidR="00C02F55" w:rsidRPr="00C02F55" w:rsidRDefault="1D3ABBAA" w:rsidP="1D3ABBAA">
      <w:p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t>2026. január végén a forint lakossági állampapírok állománya 11 879,3 milliárd forintot tett ki, ami 153,2 milliárd forint növekedést jelent 2025. december vége óta. A Fix Magyar Állampapír állománya 196,5 milliárd forinttal növekedett és elérte a 3848,3 milliárd forintot hó végén. Szintén emelkedett a Bónusz Magyar Állampapír állománya is, 5,9 milliárd forint növekedést követően a hó végén 2076,4 milliárd forintot tett ki. A Magyar Állampapír Plusz állománya, a nyomdai kibocsátású és a korábban értékesített papírokkal együtt, 62,0 milliárd forinttal emelkedett, így hó végén 1210,2 milliárd forintot tett ki. A Prémium Magyar Állampapír állománya 2026. január végére 121,9 milliárd forinttal csökkent, amely így 3587,9 milliárd forintot tett ki. A lakossági állampapírok közül a Fix Magyar Állampapír értékesítése volt a legmagasabb januárban.</w:t>
      </w:r>
    </w:p>
    <w:p w14:paraId="00E8DDFE" w14:textId="36C690A9" w:rsidR="00C02F55" w:rsidRPr="00C02F55" w:rsidRDefault="1D3ABBAA" w:rsidP="1D3ABBAA">
      <w:p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t xml:space="preserve">Az ÁKK Zrt. január hó folyamán összesen 8,6 milliárd forint összegben vásárolt vissza lakossági állampapírokat a forgalmazó bankoktól. A forgalmazóknak lehetősége van saját számlájukra került lakossági állampapírok cseréjére, amelynek keretében a lakossági állampapírokat az épp értékesítés alatt álló sorozatokra válthatják be, majd a másodpiacon tovább értékesíthetik a lakosság számára. 2026 januártól új lakossági állampapírok kerültek kibocsátásra, ezért, hogy a bankoknak lehetőség nyíljon ezeket a papírokat is figyelembe venni a csere során, a december havi csere áthúzódott január elejére, amelynek során a bankok 29,8 milliárd forint összegben éltek a cserelehetőséggel. Ezt követően a január végén megvalósult január havi lakossági állampapírcsere 12,6 milliárd forintos összege tovább emelte a csereösszegét. </w:t>
      </w:r>
    </w:p>
    <w:p w14:paraId="0098FCF2" w14:textId="75B9E2BE" w:rsidR="00C02F55" w:rsidRPr="00C02F55" w:rsidRDefault="1D3ABBAA" w:rsidP="1D3ABBAA">
      <w:p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b/>
          <w:bCs/>
          <w:sz w:val="26"/>
          <w:szCs w:val="26"/>
          <w:lang w:eastAsia="hu-HU"/>
        </w:rPr>
        <w:t>A külföldi befektetők állampapír állománya</w:t>
      </w:r>
      <w:r w:rsidRPr="1D3ABBAA">
        <w:rPr>
          <w:rFonts w:ascii="Times New Roman" w:eastAsia="Times New Roman" w:hAnsi="Times New Roman" w:cs="Times New Roman"/>
          <w:sz w:val="26"/>
          <w:szCs w:val="26"/>
          <w:lang w:eastAsia="hu-HU"/>
        </w:rPr>
        <w:t xml:space="preserve"> januárban 2227,8 milliárd forinttal 8082,0 milliárd forintra növekedett az előző hónaphoz képest. A külföldi állomány 99,4%-a, 8031,6 milliárd forint államkötvény, 0,6%-a, 50,4 milliárd forint diszkontkincstárjegy. A külföldi állomány átlagos hátralévő futamideje január végén 5,7 év volt.</w:t>
      </w:r>
    </w:p>
    <w:p w14:paraId="4E509B8F" w14:textId="302C35E8" w:rsidR="00CE4482" w:rsidRPr="00CE4482" w:rsidRDefault="1D3ABBAA" w:rsidP="1D3ABBAA">
      <w:pPr>
        <w:jc w:val="both"/>
        <w:rPr>
          <w:rFonts w:ascii="Times New Roman" w:eastAsia="Times New Roman" w:hAnsi="Times New Roman" w:cs="Times New Roman"/>
          <w:sz w:val="26"/>
          <w:szCs w:val="26"/>
          <w:lang w:eastAsia="hu-HU"/>
        </w:rPr>
      </w:pPr>
      <w:r w:rsidRPr="1D3ABBAA">
        <w:rPr>
          <w:rFonts w:ascii="Times New Roman" w:eastAsia="Times New Roman" w:hAnsi="Times New Roman" w:cs="Times New Roman"/>
          <w:sz w:val="26"/>
          <w:szCs w:val="26"/>
          <w:lang w:eastAsia="hu-HU"/>
        </w:rPr>
        <w:lastRenderedPageBreak/>
        <w:t xml:space="preserve">A devizaállamadósság kockázatainak mérséklése érdekében az ÁKK Zrt. </w:t>
      </w:r>
      <w:proofErr w:type="spellStart"/>
      <w:r w:rsidRPr="1D3ABBAA">
        <w:rPr>
          <w:rFonts w:ascii="Times New Roman" w:eastAsia="Times New Roman" w:hAnsi="Times New Roman" w:cs="Times New Roman"/>
          <w:sz w:val="26"/>
          <w:szCs w:val="26"/>
          <w:lang w:eastAsia="hu-HU"/>
        </w:rPr>
        <w:t>swapügyleteket</w:t>
      </w:r>
      <w:proofErr w:type="spellEnd"/>
      <w:r w:rsidRPr="1D3ABBAA">
        <w:rPr>
          <w:rFonts w:ascii="Times New Roman" w:eastAsia="Times New Roman" w:hAnsi="Times New Roman" w:cs="Times New Roman"/>
          <w:sz w:val="26"/>
          <w:szCs w:val="26"/>
          <w:lang w:eastAsia="hu-HU"/>
        </w:rPr>
        <w:t xml:space="preserve"> köt. Ezen ügyletekhez kapcsolódóan az ÁKK Zrt.-nél elhelyezett fedezeti összegek (ún. mark-</w:t>
      </w:r>
      <w:proofErr w:type="spellStart"/>
      <w:r w:rsidRPr="1D3ABBAA">
        <w:rPr>
          <w:rFonts w:ascii="Times New Roman" w:eastAsia="Times New Roman" w:hAnsi="Times New Roman" w:cs="Times New Roman"/>
          <w:sz w:val="26"/>
          <w:szCs w:val="26"/>
          <w:lang w:eastAsia="hu-HU"/>
        </w:rPr>
        <w:t>to</w:t>
      </w:r>
      <w:proofErr w:type="spellEnd"/>
      <w:r w:rsidRPr="1D3ABBAA">
        <w:rPr>
          <w:rFonts w:ascii="Times New Roman" w:eastAsia="Times New Roman" w:hAnsi="Times New Roman" w:cs="Times New Roman"/>
          <w:sz w:val="26"/>
          <w:szCs w:val="26"/>
          <w:lang w:eastAsia="hu-HU"/>
        </w:rPr>
        <w:t>-market betétek) az adósságállomány részét képezik, és az „egyéb kötelezettségek” soron kerülnek kimutatásra. A vizsgált időszakban az egyéb kötelezettségek állománya 11,6 milliárd forinttal csökkent. Január végén az állomány 142,5 milliárd forintot tett ki, ami a teljes államadósság 0,2%-át jelenti.</w:t>
      </w:r>
    </w:p>
    <w:sectPr w:rsidR="00CE4482" w:rsidRPr="00CE4482" w:rsidSect="007449BF">
      <w:headerReference w:type="even" r:id="rId31"/>
      <w:footerReference w:type="default" r:id="rId32"/>
      <w:footerReference w:type="first" r:id="rId33"/>
      <w:pgSz w:w="11906" w:h="16838"/>
      <w:pgMar w:top="1418" w:right="1134" w:bottom="1418" w:left="1134" w:header="708" w:footer="6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81DFB" w14:textId="77777777" w:rsidR="00482CC1" w:rsidRDefault="00482CC1" w:rsidP="00B155FE">
      <w:pPr>
        <w:spacing w:after="0" w:line="240" w:lineRule="auto"/>
      </w:pPr>
      <w:r>
        <w:separator/>
      </w:r>
    </w:p>
  </w:endnote>
  <w:endnote w:type="continuationSeparator" w:id="0">
    <w:p w14:paraId="477FA440" w14:textId="77777777" w:rsidR="00482CC1" w:rsidRDefault="00482CC1" w:rsidP="00B155FE">
      <w:pPr>
        <w:spacing w:after="0" w:line="240" w:lineRule="auto"/>
      </w:pPr>
      <w:r>
        <w:continuationSeparator/>
      </w:r>
    </w:p>
  </w:endnote>
  <w:endnote w:type="continuationNotice" w:id="1">
    <w:p w14:paraId="0306CC7F" w14:textId="77777777" w:rsidR="00482CC1" w:rsidRDefault="00482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2D1F" w14:textId="4DE2DC1D" w:rsidR="00473AC1" w:rsidRDefault="00473AC1">
    <w:pPr>
      <w:pStyle w:val="llb"/>
      <w:jc w:val="center"/>
    </w:pPr>
  </w:p>
  <w:p w14:paraId="41773F2F" w14:textId="77777777" w:rsidR="00473AC1" w:rsidRDefault="00473AC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154505"/>
      <w:docPartObj>
        <w:docPartGallery w:val="Page Numbers (Bottom of Page)"/>
        <w:docPartUnique/>
      </w:docPartObj>
    </w:sdtPr>
    <w:sdtEndPr>
      <w:rPr>
        <w:rFonts w:ascii="Times New Roman" w:hAnsi="Times New Roman" w:cs="Times New Roman"/>
        <w:sz w:val="24"/>
      </w:rPr>
    </w:sdtEndPr>
    <w:sdtContent>
      <w:p w14:paraId="52C756D2" w14:textId="1F8358D7" w:rsidR="00473AC1" w:rsidRPr="005A1E0F" w:rsidRDefault="00D252B3">
        <w:pPr>
          <w:pStyle w:val="llb"/>
          <w:jc w:val="center"/>
          <w:rPr>
            <w:rFonts w:ascii="Times New Roman" w:hAnsi="Times New Roman" w:cs="Times New Roman"/>
            <w:sz w:val="24"/>
          </w:rPr>
        </w:pPr>
        <w:r>
          <w:rPr>
            <w:rFonts w:ascii="Times New Roman" w:hAnsi="Times New Roman" w:cs="Times New Roman"/>
          </w:rPr>
          <w:t>19</w:t>
        </w:r>
      </w:p>
    </w:sdtContent>
  </w:sdt>
  <w:p w14:paraId="64304736" w14:textId="77777777" w:rsidR="00473AC1" w:rsidRDefault="00473AC1">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558895"/>
      <w:docPartObj>
        <w:docPartGallery w:val="Page Numbers (Bottom of Page)"/>
        <w:docPartUnique/>
      </w:docPartObj>
    </w:sdtPr>
    <w:sdtEndPr>
      <w:rPr>
        <w:rFonts w:ascii="Times New Roman" w:hAnsi="Times New Roman" w:cs="Times New Roman"/>
        <w:sz w:val="24"/>
      </w:rPr>
    </w:sdtEndPr>
    <w:sdtContent>
      <w:p w14:paraId="10FD5F29" w14:textId="7D80A60B" w:rsidR="00473AC1" w:rsidRPr="00470868" w:rsidRDefault="00473AC1">
        <w:pPr>
          <w:pStyle w:val="llb"/>
          <w:jc w:val="center"/>
          <w:rPr>
            <w:rFonts w:ascii="Times New Roman" w:hAnsi="Times New Roman" w:cs="Times New Roman"/>
            <w:sz w:val="24"/>
          </w:rPr>
        </w:pPr>
        <w:r w:rsidRPr="00470868">
          <w:rPr>
            <w:rFonts w:ascii="Times New Roman" w:hAnsi="Times New Roman" w:cs="Times New Roman"/>
            <w:sz w:val="24"/>
          </w:rPr>
          <w:fldChar w:fldCharType="begin"/>
        </w:r>
        <w:r w:rsidRPr="00470868">
          <w:rPr>
            <w:rFonts w:ascii="Times New Roman" w:hAnsi="Times New Roman" w:cs="Times New Roman"/>
            <w:sz w:val="24"/>
          </w:rPr>
          <w:instrText>PAGE   \* MERGEFORMAT</w:instrText>
        </w:r>
        <w:r w:rsidRPr="00470868">
          <w:rPr>
            <w:rFonts w:ascii="Times New Roman" w:hAnsi="Times New Roman" w:cs="Times New Roman"/>
            <w:sz w:val="24"/>
          </w:rPr>
          <w:fldChar w:fldCharType="separate"/>
        </w:r>
        <w:r w:rsidR="007B6DF2">
          <w:rPr>
            <w:rFonts w:ascii="Times New Roman" w:hAnsi="Times New Roman" w:cs="Times New Roman"/>
            <w:noProof/>
            <w:sz w:val="24"/>
          </w:rPr>
          <w:t>19</w:t>
        </w:r>
        <w:r w:rsidRPr="00470868">
          <w:rPr>
            <w:rFonts w:ascii="Times New Roman" w:hAnsi="Times New Roman" w:cs="Times New Roman"/>
            <w:sz w:val="24"/>
          </w:rPr>
          <w:fldChar w:fldCharType="end"/>
        </w:r>
      </w:p>
    </w:sdtContent>
  </w:sdt>
  <w:p w14:paraId="17329691" w14:textId="773A5D5E" w:rsidR="00473AC1" w:rsidRPr="00556984" w:rsidRDefault="00473AC1" w:rsidP="00556984">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18299"/>
      <w:docPartObj>
        <w:docPartGallery w:val="Page Numbers (Bottom of Page)"/>
        <w:docPartUnique/>
      </w:docPartObj>
    </w:sdtPr>
    <w:sdtEndPr>
      <w:rPr>
        <w:rFonts w:ascii="Times New Roman" w:hAnsi="Times New Roman" w:cs="Times New Roman"/>
        <w:sz w:val="24"/>
      </w:rPr>
    </w:sdtEndPr>
    <w:sdtContent>
      <w:p w14:paraId="7ADCE6C8" w14:textId="6E8F8F40" w:rsidR="00473AC1" w:rsidRPr="00D4148C" w:rsidRDefault="00473AC1">
        <w:pPr>
          <w:pStyle w:val="llb"/>
          <w:jc w:val="center"/>
          <w:rPr>
            <w:rFonts w:ascii="Times New Roman" w:hAnsi="Times New Roman" w:cs="Times New Roman"/>
            <w:sz w:val="24"/>
          </w:rPr>
        </w:pPr>
        <w:r>
          <w:rPr>
            <w:rFonts w:ascii="Times New Roman" w:hAnsi="Times New Roman" w:cs="Times New Roman"/>
            <w:sz w:val="24"/>
          </w:rPr>
          <w:t>2</w:t>
        </w:r>
        <w:r w:rsidR="00D252B3">
          <w:rPr>
            <w:rFonts w:ascii="Times New Roman" w:hAnsi="Times New Roman" w:cs="Times New Roman"/>
            <w:sz w:val="24"/>
          </w:rPr>
          <w:t>1</w:t>
        </w:r>
      </w:p>
    </w:sdtContent>
  </w:sdt>
  <w:p w14:paraId="078E8FA1" w14:textId="77777777" w:rsidR="00473AC1" w:rsidRDefault="00473AC1" w:rsidP="00C74E0F">
    <w:pPr>
      <w:pStyle w:val="llb"/>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0D1" w14:textId="26BD0187" w:rsidR="00473AC1" w:rsidRDefault="1D3ABBAA" w:rsidP="004A3001">
    <w:pPr>
      <w:pStyle w:val="llb"/>
      <w:jc w:val="center"/>
    </w:pPr>
    <w:r w:rsidRPr="1D3ABBAA">
      <w:rPr>
        <w:rFonts w:ascii="Times New Roman" w:hAnsi="Times New Roman" w:cs="Times New Roman"/>
        <w:sz w:val="24"/>
        <w:szCs w:val="24"/>
      </w:rPr>
      <w:t>2</w:t>
    </w:r>
    <w:r w:rsidR="00D252B3">
      <w:rPr>
        <w:rFonts w:ascii="Times New Roman" w:hAnsi="Times New Roman" w:cs="Times New Roman"/>
        <w:sz w:val="24"/>
        <w:szCs w:val="2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97C6" w14:textId="77777777" w:rsidR="00482CC1" w:rsidRDefault="00482CC1" w:rsidP="00B155FE">
      <w:pPr>
        <w:spacing w:after="0" w:line="240" w:lineRule="auto"/>
      </w:pPr>
      <w:r>
        <w:separator/>
      </w:r>
    </w:p>
  </w:footnote>
  <w:footnote w:type="continuationSeparator" w:id="0">
    <w:p w14:paraId="2AB03D64" w14:textId="77777777" w:rsidR="00482CC1" w:rsidRDefault="00482CC1" w:rsidP="00B155FE">
      <w:pPr>
        <w:spacing w:after="0" w:line="240" w:lineRule="auto"/>
      </w:pPr>
      <w:r>
        <w:continuationSeparator/>
      </w:r>
    </w:p>
  </w:footnote>
  <w:footnote w:type="continuationNotice" w:id="1">
    <w:p w14:paraId="38829BA2" w14:textId="77777777" w:rsidR="00482CC1" w:rsidRDefault="00482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00473AC1" w14:paraId="1027336C" w14:textId="77777777" w:rsidTr="75E7E8C2">
      <w:tc>
        <w:tcPr>
          <w:tcW w:w="3118" w:type="dxa"/>
        </w:tcPr>
        <w:p w14:paraId="4C837DDD" w14:textId="79A8EEFC" w:rsidR="00473AC1" w:rsidRDefault="00473AC1" w:rsidP="75E7E8C2">
          <w:pPr>
            <w:pStyle w:val="lfej"/>
            <w:ind w:left="-115"/>
          </w:pPr>
        </w:p>
      </w:tc>
      <w:tc>
        <w:tcPr>
          <w:tcW w:w="3118" w:type="dxa"/>
        </w:tcPr>
        <w:p w14:paraId="215A5B55" w14:textId="4B5EFC16" w:rsidR="00473AC1" w:rsidRDefault="00473AC1" w:rsidP="75E7E8C2">
          <w:pPr>
            <w:pStyle w:val="lfej"/>
            <w:jc w:val="center"/>
          </w:pPr>
        </w:p>
      </w:tc>
      <w:tc>
        <w:tcPr>
          <w:tcW w:w="3118" w:type="dxa"/>
        </w:tcPr>
        <w:p w14:paraId="08CD3A76" w14:textId="283AC16D" w:rsidR="00473AC1" w:rsidRDefault="00473AC1" w:rsidP="75E7E8C2">
          <w:pPr>
            <w:pStyle w:val="lfej"/>
            <w:ind w:right="-115"/>
            <w:jc w:val="right"/>
          </w:pPr>
        </w:p>
      </w:tc>
    </w:tr>
  </w:tbl>
  <w:p w14:paraId="4176297E" w14:textId="7CD13837" w:rsidR="00473AC1" w:rsidRDefault="00473AC1" w:rsidP="75E7E8C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7D1" w14:textId="3D0DDD49" w:rsidR="00473AC1" w:rsidRDefault="00473AC1" w:rsidP="75E7E8C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C96" w14:textId="77777777" w:rsidR="00473AC1" w:rsidRPr="00881044" w:rsidRDefault="00473AC1" w:rsidP="00C74E0F">
    <w:pPr>
      <w:pStyle w:val="lfej"/>
      <w:rPr>
        <w:rStyle w:val="Oldalszm"/>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C97" w14:textId="77777777" w:rsidR="00473AC1" w:rsidRPr="00FE4DD1" w:rsidRDefault="00473AC1" w:rsidP="00C74E0F">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009518"/>
      <w:docPartObj>
        <w:docPartGallery w:val="Page Numbers (Top of Page)"/>
        <w:docPartUnique/>
      </w:docPartObj>
    </w:sdtPr>
    <w:sdtEndPr>
      <w:rPr>
        <w:noProof/>
      </w:rPr>
    </w:sdtEndPr>
    <w:sdtContent>
      <w:p w14:paraId="2CB15785" w14:textId="77777777" w:rsidR="00473AC1" w:rsidRDefault="00473AC1">
        <w:pPr>
          <w:pStyle w:val="lfej"/>
          <w:jc w:val="center"/>
        </w:pPr>
        <w:r>
          <w:fldChar w:fldCharType="begin"/>
        </w:r>
        <w:r>
          <w:instrText xml:space="preserve"> PAGE   \* MERGEFORMAT </w:instrText>
        </w:r>
        <w:r>
          <w:fldChar w:fldCharType="separate"/>
        </w:r>
        <w:r>
          <w:rPr>
            <w:noProof/>
          </w:rPr>
          <w:t>20</w:t>
        </w:r>
        <w:r>
          <w:rPr>
            <w:noProof/>
          </w:rPr>
          <w:fldChar w:fldCharType="end"/>
        </w:r>
      </w:p>
    </w:sdtContent>
  </w:sdt>
  <w:p w14:paraId="2A775F7D" w14:textId="77777777" w:rsidR="00473AC1" w:rsidRDefault="00473AC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298"/>
    <w:multiLevelType w:val="hybridMultilevel"/>
    <w:tmpl w:val="44CCC2AC"/>
    <w:lvl w:ilvl="0" w:tplc="08783BEC">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6602D43"/>
    <w:multiLevelType w:val="hybridMultilevel"/>
    <w:tmpl w:val="390E53F2"/>
    <w:lvl w:ilvl="0" w:tplc="F872D380">
      <w:start w:val="1"/>
      <w:numFmt w:val="bullet"/>
      <w:lvlText w:val=""/>
      <w:lvlJc w:val="left"/>
      <w:pPr>
        <w:ind w:left="720" w:hanging="360"/>
      </w:pPr>
      <w:rPr>
        <w:rFonts w:ascii="Symbol" w:hAnsi="Symbol" w:hint="default"/>
      </w:rPr>
    </w:lvl>
    <w:lvl w:ilvl="1" w:tplc="86BC4448">
      <w:start w:val="1"/>
      <w:numFmt w:val="bullet"/>
      <w:lvlText w:val="o"/>
      <w:lvlJc w:val="left"/>
      <w:pPr>
        <w:ind w:left="1440" w:hanging="360"/>
      </w:pPr>
      <w:rPr>
        <w:rFonts w:ascii="Courier New" w:hAnsi="Courier New" w:hint="default"/>
      </w:rPr>
    </w:lvl>
    <w:lvl w:ilvl="2" w:tplc="F05C9352">
      <w:start w:val="1"/>
      <w:numFmt w:val="bullet"/>
      <w:lvlText w:val=""/>
      <w:lvlJc w:val="left"/>
      <w:pPr>
        <w:ind w:left="2160" w:hanging="360"/>
      </w:pPr>
      <w:rPr>
        <w:rFonts w:ascii="Wingdings" w:hAnsi="Wingdings" w:hint="default"/>
      </w:rPr>
    </w:lvl>
    <w:lvl w:ilvl="3" w:tplc="232EF98C">
      <w:start w:val="1"/>
      <w:numFmt w:val="bullet"/>
      <w:lvlText w:val=""/>
      <w:lvlJc w:val="left"/>
      <w:pPr>
        <w:ind w:left="2880" w:hanging="360"/>
      </w:pPr>
      <w:rPr>
        <w:rFonts w:ascii="Symbol" w:hAnsi="Symbol" w:hint="default"/>
      </w:rPr>
    </w:lvl>
    <w:lvl w:ilvl="4" w:tplc="03066B72">
      <w:start w:val="1"/>
      <w:numFmt w:val="bullet"/>
      <w:lvlText w:val="o"/>
      <w:lvlJc w:val="left"/>
      <w:pPr>
        <w:ind w:left="3600" w:hanging="360"/>
      </w:pPr>
      <w:rPr>
        <w:rFonts w:ascii="Courier New" w:hAnsi="Courier New" w:hint="default"/>
      </w:rPr>
    </w:lvl>
    <w:lvl w:ilvl="5" w:tplc="7A906010">
      <w:start w:val="1"/>
      <w:numFmt w:val="bullet"/>
      <w:lvlText w:val=""/>
      <w:lvlJc w:val="left"/>
      <w:pPr>
        <w:ind w:left="4320" w:hanging="360"/>
      </w:pPr>
      <w:rPr>
        <w:rFonts w:ascii="Wingdings" w:hAnsi="Wingdings" w:hint="default"/>
      </w:rPr>
    </w:lvl>
    <w:lvl w:ilvl="6" w:tplc="9F6A3F04">
      <w:start w:val="1"/>
      <w:numFmt w:val="bullet"/>
      <w:lvlText w:val=""/>
      <w:lvlJc w:val="left"/>
      <w:pPr>
        <w:ind w:left="5040" w:hanging="360"/>
      </w:pPr>
      <w:rPr>
        <w:rFonts w:ascii="Symbol" w:hAnsi="Symbol" w:hint="default"/>
      </w:rPr>
    </w:lvl>
    <w:lvl w:ilvl="7" w:tplc="D5603E42">
      <w:start w:val="1"/>
      <w:numFmt w:val="bullet"/>
      <w:lvlText w:val="o"/>
      <w:lvlJc w:val="left"/>
      <w:pPr>
        <w:ind w:left="5760" w:hanging="360"/>
      </w:pPr>
      <w:rPr>
        <w:rFonts w:ascii="Courier New" w:hAnsi="Courier New" w:hint="default"/>
      </w:rPr>
    </w:lvl>
    <w:lvl w:ilvl="8" w:tplc="F1D4D0F8">
      <w:start w:val="1"/>
      <w:numFmt w:val="bullet"/>
      <w:lvlText w:val=""/>
      <w:lvlJc w:val="left"/>
      <w:pPr>
        <w:ind w:left="6480" w:hanging="360"/>
      </w:pPr>
      <w:rPr>
        <w:rFonts w:ascii="Wingdings" w:hAnsi="Wingdings" w:hint="default"/>
      </w:rPr>
    </w:lvl>
  </w:abstractNum>
  <w:abstractNum w:abstractNumId="2" w15:restartNumberingAfterBreak="0">
    <w:nsid w:val="3CC7670D"/>
    <w:multiLevelType w:val="hybridMultilevel"/>
    <w:tmpl w:val="FDDC7674"/>
    <w:lvl w:ilvl="0" w:tplc="9120DF1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1033469"/>
    <w:multiLevelType w:val="hybridMultilevel"/>
    <w:tmpl w:val="D612FE54"/>
    <w:lvl w:ilvl="0" w:tplc="85BCE940">
      <w:start w:val="1"/>
      <w:numFmt w:val="bullet"/>
      <w:lvlText w:val=""/>
      <w:lvlJc w:val="left"/>
      <w:pPr>
        <w:ind w:left="720" w:hanging="360"/>
      </w:pPr>
      <w:rPr>
        <w:rFonts w:ascii="Symbol" w:hAnsi="Symbol" w:hint="default"/>
      </w:rPr>
    </w:lvl>
    <w:lvl w:ilvl="1" w:tplc="EDE89D4A">
      <w:start w:val="1"/>
      <w:numFmt w:val="bullet"/>
      <w:lvlText w:val="o"/>
      <w:lvlJc w:val="left"/>
      <w:pPr>
        <w:ind w:left="1440" w:hanging="360"/>
      </w:pPr>
      <w:rPr>
        <w:rFonts w:ascii="Courier New" w:hAnsi="Courier New" w:hint="default"/>
      </w:rPr>
    </w:lvl>
    <w:lvl w:ilvl="2" w:tplc="91061732">
      <w:start w:val="1"/>
      <w:numFmt w:val="bullet"/>
      <w:lvlText w:val=""/>
      <w:lvlJc w:val="left"/>
      <w:pPr>
        <w:ind w:left="2160" w:hanging="360"/>
      </w:pPr>
      <w:rPr>
        <w:rFonts w:ascii="Wingdings" w:hAnsi="Wingdings" w:hint="default"/>
      </w:rPr>
    </w:lvl>
    <w:lvl w:ilvl="3" w:tplc="5D04C974">
      <w:start w:val="1"/>
      <w:numFmt w:val="bullet"/>
      <w:lvlText w:val=""/>
      <w:lvlJc w:val="left"/>
      <w:pPr>
        <w:ind w:left="2880" w:hanging="360"/>
      </w:pPr>
      <w:rPr>
        <w:rFonts w:ascii="Symbol" w:hAnsi="Symbol" w:hint="default"/>
      </w:rPr>
    </w:lvl>
    <w:lvl w:ilvl="4" w:tplc="1C648E36">
      <w:start w:val="1"/>
      <w:numFmt w:val="bullet"/>
      <w:lvlText w:val="o"/>
      <w:lvlJc w:val="left"/>
      <w:pPr>
        <w:ind w:left="3600" w:hanging="360"/>
      </w:pPr>
      <w:rPr>
        <w:rFonts w:ascii="Courier New" w:hAnsi="Courier New" w:hint="default"/>
      </w:rPr>
    </w:lvl>
    <w:lvl w:ilvl="5" w:tplc="2DB00CB0">
      <w:start w:val="1"/>
      <w:numFmt w:val="bullet"/>
      <w:lvlText w:val=""/>
      <w:lvlJc w:val="left"/>
      <w:pPr>
        <w:ind w:left="4320" w:hanging="360"/>
      </w:pPr>
      <w:rPr>
        <w:rFonts w:ascii="Wingdings" w:hAnsi="Wingdings" w:hint="default"/>
      </w:rPr>
    </w:lvl>
    <w:lvl w:ilvl="6" w:tplc="3C9E0854">
      <w:start w:val="1"/>
      <w:numFmt w:val="bullet"/>
      <w:lvlText w:val=""/>
      <w:lvlJc w:val="left"/>
      <w:pPr>
        <w:ind w:left="5040" w:hanging="360"/>
      </w:pPr>
      <w:rPr>
        <w:rFonts w:ascii="Symbol" w:hAnsi="Symbol" w:hint="default"/>
      </w:rPr>
    </w:lvl>
    <w:lvl w:ilvl="7" w:tplc="EF2AE296">
      <w:start w:val="1"/>
      <w:numFmt w:val="bullet"/>
      <w:lvlText w:val="o"/>
      <w:lvlJc w:val="left"/>
      <w:pPr>
        <w:ind w:left="5760" w:hanging="360"/>
      </w:pPr>
      <w:rPr>
        <w:rFonts w:ascii="Courier New" w:hAnsi="Courier New" w:hint="default"/>
      </w:rPr>
    </w:lvl>
    <w:lvl w:ilvl="8" w:tplc="1B7CE0FC">
      <w:start w:val="1"/>
      <w:numFmt w:val="bullet"/>
      <w:lvlText w:val=""/>
      <w:lvlJc w:val="left"/>
      <w:pPr>
        <w:ind w:left="6480" w:hanging="360"/>
      </w:pPr>
      <w:rPr>
        <w:rFonts w:ascii="Wingdings" w:hAnsi="Wingdings" w:hint="default"/>
      </w:rPr>
    </w:lvl>
  </w:abstractNum>
  <w:abstractNum w:abstractNumId="4" w15:restartNumberingAfterBreak="0">
    <w:nsid w:val="5573523A"/>
    <w:multiLevelType w:val="hybridMultilevel"/>
    <w:tmpl w:val="92D45DA0"/>
    <w:lvl w:ilvl="0" w:tplc="5E4290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70F720B"/>
    <w:multiLevelType w:val="hybridMultilevel"/>
    <w:tmpl w:val="9D346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47603289">
    <w:abstractNumId w:val="3"/>
  </w:num>
  <w:num w:numId="2" w16cid:durableId="1171026080">
    <w:abstractNumId w:val="4"/>
  </w:num>
  <w:num w:numId="3" w16cid:durableId="1245341741">
    <w:abstractNumId w:val="0"/>
  </w:num>
  <w:num w:numId="4" w16cid:durableId="1549414595">
    <w:abstractNumId w:val="5"/>
  </w:num>
  <w:num w:numId="5" w16cid:durableId="993993450">
    <w:abstractNumId w:val="2"/>
  </w:num>
  <w:num w:numId="6" w16cid:durableId="89535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FE"/>
    <w:rsid w:val="00000517"/>
    <w:rsid w:val="0000169C"/>
    <w:rsid w:val="000017BD"/>
    <w:rsid w:val="00001DDD"/>
    <w:rsid w:val="00001F08"/>
    <w:rsid w:val="000044C3"/>
    <w:rsid w:val="00007D4A"/>
    <w:rsid w:val="00007DB5"/>
    <w:rsid w:val="000103E9"/>
    <w:rsid w:val="000118DE"/>
    <w:rsid w:val="00015558"/>
    <w:rsid w:val="00015945"/>
    <w:rsid w:val="0001644C"/>
    <w:rsid w:val="00020D17"/>
    <w:rsid w:val="0002105A"/>
    <w:rsid w:val="00022205"/>
    <w:rsid w:val="00022974"/>
    <w:rsid w:val="000237EA"/>
    <w:rsid w:val="00024158"/>
    <w:rsid w:val="0002586B"/>
    <w:rsid w:val="00025889"/>
    <w:rsid w:val="00026266"/>
    <w:rsid w:val="0002674A"/>
    <w:rsid w:val="000302F3"/>
    <w:rsid w:val="00031896"/>
    <w:rsid w:val="00031C82"/>
    <w:rsid w:val="00031C9D"/>
    <w:rsid w:val="00034760"/>
    <w:rsid w:val="000365DC"/>
    <w:rsid w:val="0003668B"/>
    <w:rsid w:val="0003701E"/>
    <w:rsid w:val="000401EE"/>
    <w:rsid w:val="0004032B"/>
    <w:rsid w:val="000407DB"/>
    <w:rsid w:val="00042512"/>
    <w:rsid w:val="00043E49"/>
    <w:rsid w:val="00044042"/>
    <w:rsid w:val="000458BD"/>
    <w:rsid w:val="00045DF7"/>
    <w:rsid w:val="000471E4"/>
    <w:rsid w:val="000512BB"/>
    <w:rsid w:val="00051E9B"/>
    <w:rsid w:val="0005236D"/>
    <w:rsid w:val="00052502"/>
    <w:rsid w:val="0005250F"/>
    <w:rsid w:val="00052554"/>
    <w:rsid w:val="00052E4F"/>
    <w:rsid w:val="00054358"/>
    <w:rsid w:val="00054CDA"/>
    <w:rsid w:val="00055632"/>
    <w:rsid w:val="00057916"/>
    <w:rsid w:val="000611EC"/>
    <w:rsid w:val="000617B7"/>
    <w:rsid w:val="00064521"/>
    <w:rsid w:val="0006496D"/>
    <w:rsid w:val="00064D6A"/>
    <w:rsid w:val="00064E2A"/>
    <w:rsid w:val="00065E19"/>
    <w:rsid w:val="00067A57"/>
    <w:rsid w:val="00070EAC"/>
    <w:rsid w:val="00071FA3"/>
    <w:rsid w:val="00072A58"/>
    <w:rsid w:val="0007336F"/>
    <w:rsid w:val="0007525D"/>
    <w:rsid w:val="000770F3"/>
    <w:rsid w:val="00077440"/>
    <w:rsid w:val="0008062F"/>
    <w:rsid w:val="000809B3"/>
    <w:rsid w:val="00081A0C"/>
    <w:rsid w:val="00081A16"/>
    <w:rsid w:val="00081FF0"/>
    <w:rsid w:val="00082ADE"/>
    <w:rsid w:val="000846A7"/>
    <w:rsid w:val="00085B09"/>
    <w:rsid w:val="00085C37"/>
    <w:rsid w:val="00085DCC"/>
    <w:rsid w:val="000867D1"/>
    <w:rsid w:val="000874F4"/>
    <w:rsid w:val="00087C75"/>
    <w:rsid w:val="00090E70"/>
    <w:rsid w:val="00091B18"/>
    <w:rsid w:val="00091F16"/>
    <w:rsid w:val="00093C26"/>
    <w:rsid w:val="0009484D"/>
    <w:rsid w:val="00095983"/>
    <w:rsid w:val="00095C95"/>
    <w:rsid w:val="00096300"/>
    <w:rsid w:val="000A0A88"/>
    <w:rsid w:val="000A0C4E"/>
    <w:rsid w:val="000A18F9"/>
    <w:rsid w:val="000A19F4"/>
    <w:rsid w:val="000A1F24"/>
    <w:rsid w:val="000A2818"/>
    <w:rsid w:val="000A296F"/>
    <w:rsid w:val="000A2EAB"/>
    <w:rsid w:val="000A3AC0"/>
    <w:rsid w:val="000A4669"/>
    <w:rsid w:val="000A4732"/>
    <w:rsid w:val="000A4839"/>
    <w:rsid w:val="000A531B"/>
    <w:rsid w:val="000A7964"/>
    <w:rsid w:val="000A7B53"/>
    <w:rsid w:val="000B1235"/>
    <w:rsid w:val="000B2569"/>
    <w:rsid w:val="000B49AE"/>
    <w:rsid w:val="000B58F0"/>
    <w:rsid w:val="000B6723"/>
    <w:rsid w:val="000B6BE0"/>
    <w:rsid w:val="000B7018"/>
    <w:rsid w:val="000C1105"/>
    <w:rsid w:val="000C13F2"/>
    <w:rsid w:val="000C1781"/>
    <w:rsid w:val="000C1B6F"/>
    <w:rsid w:val="000C20F7"/>
    <w:rsid w:val="000C2BFE"/>
    <w:rsid w:val="000C31E5"/>
    <w:rsid w:val="000C3D4C"/>
    <w:rsid w:val="000C46F3"/>
    <w:rsid w:val="000C6AA1"/>
    <w:rsid w:val="000C7CC7"/>
    <w:rsid w:val="000D074C"/>
    <w:rsid w:val="000D1BA8"/>
    <w:rsid w:val="000D39EE"/>
    <w:rsid w:val="000D4A41"/>
    <w:rsid w:val="000D4E21"/>
    <w:rsid w:val="000D59E2"/>
    <w:rsid w:val="000D5A5C"/>
    <w:rsid w:val="000D6C88"/>
    <w:rsid w:val="000D76F4"/>
    <w:rsid w:val="000D7836"/>
    <w:rsid w:val="000D7C83"/>
    <w:rsid w:val="000D7EFD"/>
    <w:rsid w:val="000E08FE"/>
    <w:rsid w:val="000E3639"/>
    <w:rsid w:val="000E4202"/>
    <w:rsid w:val="000E4745"/>
    <w:rsid w:val="000E488F"/>
    <w:rsid w:val="000E4A68"/>
    <w:rsid w:val="000E4B01"/>
    <w:rsid w:val="000E4BA6"/>
    <w:rsid w:val="000E4F73"/>
    <w:rsid w:val="000E5868"/>
    <w:rsid w:val="000E5AA8"/>
    <w:rsid w:val="000E690A"/>
    <w:rsid w:val="000E78FE"/>
    <w:rsid w:val="000F046E"/>
    <w:rsid w:val="000F13BA"/>
    <w:rsid w:val="000F63B6"/>
    <w:rsid w:val="000F765C"/>
    <w:rsid w:val="000F76C4"/>
    <w:rsid w:val="0010108E"/>
    <w:rsid w:val="00101618"/>
    <w:rsid w:val="001023AC"/>
    <w:rsid w:val="00103FE9"/>
    <w:rsid w:val="00104A6A"/>
    <w:rsid w:val="001074A1"/>
    <w:rsid w:val="0010753C"/>
    <w:rsid w:val="00110C6D"/>
    <w:rsid w:val="00113105"/>
    <w:rsid w:val="001135FA"/>
    <w:rsid w:val="001138B8"/>
    <w:rsid w:val="0011423A"/>
    <w:rsid w:val="00115834"/>
    <w:rsid w:val="00115AF5"/>
    <w:rsid w:val="00117E64"/>
    <w:rsid w:val="001209E7"/>
    <w:rsid w:val="00120B53"/>
    <w:rsid w:val="001215DC"/>
    <w:rsid w:val="001229C6"/>
    <w:rsid w:val="0012490F"/>
    <w:rsid w:val="00125040"/>
    <w:rsid w:val="0012611D"/>
    <w:rsid w:val="001266D5"/>
    <w:rsid w:val="00126D53"/>
    <w:rsid w:val="00127579"/>
    <w:rsid w:val="00130472"/>
    <w:rsid w:val="00131103"/>
    <w:rsid w:val="00133EE6"/>
    <w:rsid w:val="0013421A"/>
    <w:rsid w:val="0013434A"/>
    <w:rsid w:val="00134BE6"/>
    <w:rsid w:val="00134EEA"/>
    <w:rsid w:val="001357E1"/>
    <w:rsid w:val="0013596C"/>
    <w:rsid w:val="00135EA3"/>
    <w:rsid w:val="00136087"/>
    <w:rsid w:val="001366F9"/>
    <w:rsid w:val="001378AC"/>
    <w:rsid w:val="00142F01"/>
    <w:rsid w:val="001436B9"/>
    <w:rsid w:val="00146517"/>
    <w:rsid w:val="00147C0E"/>
    <w:rsid w:val="00150CCD"/>
    <w:rsid w:val="0015200F"/>
    <w:rsid w:val="0015256A"/>
    <w:rsid w:val="00153722"/>
    <w:rsid w:val="0015385C"/>
    <w:rsid w:val="00153C19"/>
    <w:rsid w:val="00155283"/>
    <w:rsid w:val="001552F0"/>
    <w:rsid w:val="00155301"/>
    <w:rsid w:val="00155BD4"/>
    <w:rsid w:val="00156079"/>
    <w:rsid w:val="001615DE"/>
    <w:rsid w:val="00161C4F"/>
    <w:rsid w:val="00162178"/>
    <w:rsid w:val="00163233"/>
    <w:rsid w:val="00167874"/>
    <w:rsid w:val="00170E23"/>
    <w:rsid w:val="001722D8"/>
    <w:rsid w:val="00174A9A"/>
    <w:rsid w:val="001765F3"/>
    <w:rsid w:val="00180316"/>
    <w:rsid w:val="00180337"/>
    <w:rsid w:val="00180C20"/>
    <w:rsid w:val="00182D6E"/>
    <w:rsid w:val="00182EA1"/>
    <w:rsid w:val="00183D4C"/>
    <w:rsid w:val="001849A2"/>
    <w:rsid w:val="00184AA7"/>
    <w:rsid w:val="00185268"/>
    <w:rsid w:val="001855C0"/>
    <w:rsid w:val="0018560D"/>
    <w:rsid w:val="00186B09"/>
    <w:rsid w:val="0019060B"/>
    <w:rsid w:val="00190E21"/>
    <w:rsid w:val="0019257A"/>
    <w:rsid w:val="00193514"/>
    <w:rsid w:val="001936BE"/>
    <w:rsid w:val="00193DF7"/>
    <w:rsid w:val="00194065"/>
    <w:rsid w:val="001941D1"/>
    <w:rsid w:val="00194CD1"/>
    <w:rsid w:val="00194E8F"/>
    <w:rsid w:val="00194EEE"/>
    <w:rsid w:val="001962B3"/>
    <w:rsid w:val="001967FC"/>
    <w:rsid w:val="001970FB"/>
    <w:rsid w:val="00197516"/>
    <w:rsid w:val="001A025E"/>
    <w:rsid w:val="001A2835"/>
    <w:rsid w:val="001A36F0"/>
    <w:rsid w:val="001A4175"/>
    <w:rsid w:val="001A4E5E"/>
    <w:rsid w:val="001A57FD"/>
    <w:rsid w:val="001A5B43"/>
    <w:rsid w:val="001A5BE2"/>
    <w:rsid w:val="001A6222"/>
    <w:rsid w:val="001A7E0B"/>
    <w:rsid w:val="001B0DB1"/>
    <w:rsid w:val="001B1B58"/>
    <w:rsid w:val="001B307C"/>
    <w:rsid w:val="001B389C"/>
    <w:rsid w:val="001B3F56"/>
    <w:rsid w:val="001B4158"/>
    <w:rsid w:val="001B416B"/>
    <w:rsid w:val="001B4DF1"/>
    <w:rsid w:val="001B50D2"/>
    <w:rsid w:val="001B6F61"/>
    <w:rsid w:val="001C0209"/>
    <w:rsid w:val="001C1935"/>
    <w:rsid w:val="001C21CA"/>
    <w:rsid w:val="001C456C"/>
    <w:rsid w:val="001C7BF2"/>
    <w:rsid w:val="001D04A8"/>
    <w:rsid w:val="001D04FF"/>
    <w:rsid w:val="001D17F4"/>
    <w:rsid w:val="001D1FEA"/>
    <w:rsid w:val="001D22D6"/>
    <w:rsid w:val="001D42E6"/>
    <w:rsid w:val="001D4975"/>
    <w:rsid w:val="001D49AD"/>
    <w:rsid w:val="001D6BA0"/>
    <w:rsid w:val="001D701F"/>
    <w:rsid w:val="001D709B"/>
    <w:rsid w:val="001D7FB5"/>
    <w:rsid w:val="001E0CF6"/>
    <w:rsid w:val="001E2D1E"/>
    <w:rsid w:val="001E3BA9"/>
    <w:rsid w:val="001E4B4D"/>
    <w:rsid w:val="001E4C57"/>
    <w:rsid w:val="001E6717"/>
    <w:rsid w:val="001E6750"/>
    <w:rsid w:val="001E689B"/>
    <w:rsid w:val="001E7243"/>
    <w:rsid w:val="001E7C1C"/>
    <w:rsid w:val="001F0233"/>
    <w:rsid w:val="001F10C2"/>
    <w:rsid w:val="001F14EB"/>
    <w:rsid w:val="001F4D95"/>
    <w:rsid w:val="001F7400"/>
    <w:rsid w:val="001F7BB0"/>
    <w:rsid w:val="001F7CA7"/>
    <w:rsid w:val="00201050"/>
    <w:rsid w:val="00201886"/>
    <w:rsid w:val="00201D91"/>
    <w:rsid w:val="00202A40"/>
    <w:rsid w:val="00203266"/>
    <w:rsid w:val="0020367E"/>
    <w:rsid w:val="0020471C"/>
    <w:rsid w:val="00204D0A"/>
    <w:rsid w:val="00204EA6"/>
    <w:rsid w:val="0020759E"/>
    <w:rsid w:val="00210593"/>
    <w:rsid w:val="002107FF"/>
    <w:rsid w:val="00210B1E"/>
    <w:rsid w:val="00212111"/>
    <w:rsid w:val="00213E49"/>
    <w:rsid w:val="002147CD"/>
    <w:rsid w:val="00215B35"/>
    <w:rsid w:val="00215F73"/>
    <w:rsid w:val="00216DC3"/>
    <w:rsid w:val="00217D8B"/>
    <w:rsid w:val="0022104D"/>
    <w:rsid w:val="00221916"/>
    <w:rsid w:val="0022196A"/>
    <w:rsid w:val="00221A06"/>
    <w:rsid w:val="002223AF"/>
    <w:rsid w:val="00224466"/>
    <w:rsid w:val="0022447A"/>
    <w:rsid w:val="00224692"/>
    <w:rsid w:val="00224714"/>
    <w:rsid w:val="002247AD"/>
    <w:rsid w:val="00224E67"/>
    <w:rsid w:val="002260BF"/>
    <w:rsid w:val="002267D0"/>
    <w:rsid w:val="00226A85"/>
    <w:rsid w:val="002276A7"/>
    <w:rsid w:val="0022DF0C"/>
    <w:rsid w:val="002310C9"/>
    <w:rsid w:val="00232288"/>
    <w:rsid w:val="00232FCD"/>
    <w:rsid w:val="00235F55"/>
    <w:rsid w:val="0023693F"/>
    <w:rsid w:val="00236BF8"/>
    <w:rsid w:val="0024009D"/>
    <w:rsid w:val="002400E5"/>
    <w:rsid w:val="002409BB"/>
    <w:rsid w:val="00241A82"/>
    <w:rsid w:val="00241E69"/>
    <w:rsid w:val="0024232D"/>
    <w:rsid w:val="0024454E"/>
    <w:rsid w:val="0024586E"/>
    <w:rsid w:val="0025038B"/>
    <w:rsid w:val="00250E1F"/>
    <w:rsid w:val="0025229C"/>
    <w:rsid w:val="00252EE5"/>
    <w:rsid w:val="00255506"/>
    <w:rsid w:val="002564C4"/>
    <w:rsid w:val="00256C78"/>
    <w:rsid w:val="00257190"/>
    <w:rsid w:val="00261221"/>
    <w:rsid w:val="0026130A"/>
    <w:rsid w:val="00261F15"/>
    <w:rsid w:val="00262041"/>
    <w:rsid w:val="0026208D"/>
    <w:rsid w:val="002655BB"/>
    <w:rsid w:val="00265E51"/>
    <w:rsid w:val="00266768"/>
    <w:rsid w:val="002678FB"/>
    <w:rsid w:val="00271066"/>
    <w:rsid w:val="002725E9"/>
    <w:rsid w:val="00272765"/>
    <w:rsid w:val="00272CF0"/>
    <w:rsid w:val="002734B7"/>
    <w:rsid w:val="002736E9"/>
    <w:rsid w:val="0027381C"/>
    <w:rsid w:val="00274E1F"/>
    <w:rsid w:val="00275CF5"/>
    <w:rsid w:val="002763AE"/>
    <w:rsid w:val="00280C09"/>
    <w:rsid w:val="00280E99"/>
    <w:rsid w:val="00281CE8"/>
    <w:rsid w:val="0028274C"/>
    <w:rsid w:val="002827DF"/>
    <w:rsid w:val="00282A85"/>
    <w:rsid w:val="00284631"/>
    <w:rsid w:val="00285866"/>
    <w:rsid w:val="00286170"/>
    <w:rsid w:val="0028671F"/>
    <w:rsid w:val="00290289"/>
    <w:rsid w:val="002910F0"/>
    <w:rsid w:val="0029176A"/>
    <w:rsid w:val="002921A1"/>
    <w:rsid w:val="0029251A"/>
    <w:rsid w:val="0029365F"/>
    <w:rsid w:val="00293965"/>
    <w:rsid w:val="00293BB0"/>
    <w:rsid w:val="00295391"/>
    <w:rsid w:val="002954AA"/>
    <w:rsid w:val="00295EBB"/>
    <w:rsid w:val="002975B9"/>
    <w:rsid w:val="002A11AD"/>
    <w:rsid w:val="002A1BCD"/>
    <w:rsid w:val="002A34E6"/>
    <w:rsid w:val="002A41A8"/>
    <w:rsid w:val="002A4B97"/>
    <w:rsid w:val="002A4F7A"/>
    <w:rsid w:val="002A6144"/>
    <w:rsid w:val="002B0545"/>
    <w:rsid w:val="002B09F4"/>
    <w:rsid w:val="002B1FE2"/>
    <w:rsid w:val="002B2B83"/>
    <w:rsid w:val="002B39F8"/>
    <w:rsid w:val="002B3F6F"/>
    <w:rsid w:val="002B492B"/>
    <w:rsid w:val="002B4E58"/>
    <w:rsid w:val="002B5961"/>
    <w:rsid w:val="002B7BB9"/>
    <w:rsid w:val="002B7C36"/>
    <w:rsid w:val="002C11E9"/>
    <w:rsid w:val="002C1531"/>
    <w:rsid w:val="002C25D3"/>
    <w:rsid w:val="002C32FF"/>
    <w:rsid w:val="002C34B8"/>
    <w:rsid w:val="002C4EE9"/>
    <w:rsid w:val="002C5F14"/>
    <w:rsid w:val="002C6300"/>
    <w:rsid w:val="002C688F"/>
    <w:rsid w:val="002C6917"/>
    <w:rsid w:val="002C6B74"/>
    <w:rsid w:val="002C6F14"/>
    <w:rsid w:val="002D04D3"/>
    <w:rsid w:val="002D0677"/>
    <w:rsid w:val="002D1B11"/>
    <w:rsid w:val="002D20E7"/>
    <w:rsid w:val="002D387C"/>
    <w:rsid w:val="002D4984"/>
    <w:rsid w:val="002D4BD2"/>
    <w:rsid w:val="002D56EC"/>
    <w:rsid w:val="002D6497"/>
    <w:rsid w:val="002D6802"/>
    <w:rsid w:val="002D7478"/>
    <w:rsid w:val="002D7CCE"/>
    <w:rsid w:val="002D7D55"/>
    <w:rsid w:val="002E08A7"/>
    <w:rsid w:val="002E1C57"/>
    <w:rsid w:val="002E2022"/>
    <w:rsid w:val="002E23EC"/>
    <w:rsid w:val="002E2D79"/>
    <w:rsid w:val="002E31EF"/>
    <w:rsid w:val="002E401D"/>
    <w:rsid w:val="002E4CE9"/>
    <w:rsid w:val="002E4E83"/>
    <w:rsid w:val="002E502E"/>
    <w:rsid w:val="002E589F"/>
    <w:rsid w:val="002E5FBF"/>
    <w:rsid w:val="002E70D5"/>
    <w:rsid w:val="002E75A7"/>
    <w:rsid w:val="002E7744"/>
    <w:rsid w:val="002E7EAD"/>
    <w:rsid w:val="002F0795"/>
    <w:rsid w:val="002F0E70"/>
    <w:rsid w:val="002F150D"/>
    <w:rsid w:val="002F2521"/>
    <w:rsid w:val="002F25C3"/>
    <w:rsid w:val="002F3D61"/>
    <w:rsid w:val="002F4854"/>
    <w:rsid w:val="002F4E3B"/>
    <w:rsid w:val="002F5E69"/>
    <w:rsid w:val="002F6126"/>
    <w:rsid w:val="002F6DDD"/>
    <w:rsid w:val="002F7F1A"/>
    <w:rsid w:val="00300C27"/>
    <w:rsid w:val="0030136A"/>
    <w:rsid w:val="003016AA"/>
    <w:rsid w:val="003018B0"/>
    <w:rsid w:val="00303306"/>
    <w:rsid w:val="003050ED"/>
    <w:rsid w:val="00306C97"/>
    <w:rsid w:val="00306EFA"/>
    <w:rsid w:val="00307C4F"/>
    <w:rsid w:val="003100A2"/>
    <w:rsid w:val="003112A9"/>
    <w:rsid w:val="0031139E"/>
    <w:rsid w:val="00311E85"/>
    <w:rsid w:val="003138FC"/>
    <w:rsid w:val="00313E8A"/>
    <w:rsid w:val="00314245"/>
    <w:rsid w:val="0031468F"/>
    <w:rsid w:val="0031479F"/>
    <w:rsid w:val="00315E40"/>
    <w:rsid w:val="00316788"/>
    <w:rsid w:val="00316DCC"/>
    <w:rsid w:val="003208C8"/>
    <w:rsid w:val="00322101"/>
    <w:rsid w:val="0032261D"/>
    <w:rsid w:val="00323B30"/>
    <w:rsid w:val="00324B1E"/>
    <w:rsid w:val="0032514C"/>
    <w:rsid w:val="00326644"/>
    <w:rsid w:val="00327378"/>
    <w:rsid w:val="00327D30"/>
    <w:rsid w:val="003310E3"/>
    <w:rsid w:val="00331938"/>
    <w:rsid w:val="00331B23"/>
    <w:rsid w:val="00331DCD"/>
    <w:rsid w:val="00333A2D"/>
    <w:rsid w:val="00334321"/>
    <w:rsid w:val="0033462C"/>
    <w:rsid w:val="00334D9F"/>
    <w:rsid w:val="00334DE1"/>
    <w:rsid w:val="00336B23"/>
    <w:rsid w:val="00336E30"/>
    <w:rsid w:val="0034134A"/>
    <w:rsid w:val="003415FE"/>
    <w:rsid w:val="0034232F"/>
    <w:rsid w:val="00343A3D"/>
    <w:rsid w:val="00343F69"/>
    <w:rsid w:val="00345686"/>
    <w:rsid w:val="00346073"/>
    <w:rsid w:val="00346908"/>
    <w:rsid w:val="0034721A"/>
    <w:rsid w:val="00347F4F"/>
    <w:rsid w:val="00350210"/>
    <w:rsid w:val="00350F76"/>
    <w:rsid w:val="00351743"/>
    <w:rsid w:val="003517A3"/>
    <w:rsid w:val="00351831"/>
    <w:rsid w:val="00351B39"/>
    <w:rsid w:val="00351D59"/>
    <w:rsid w:val="003524B0"/>
    <w:rsid w:val="003526BB"/>
    <w:rsid w:val="003550F2"/>
    <w:rsid w:val="003558B8"/>
    <w:rsid w:val="003559D3"/>
    <w:rsid w:val="00356959"/>
    <w:rsid w:val="0035701C"/>
    <w:rsid w:val="00360024"/>
    <w:rsid w:val="00362276"/>
    <w:rsid w:val="003632EE"/>
    <w:rsid w:val="00364745"/>
    <w:rsid w:val="0036497A"/>
    <w:rsid w:val="00366359"/>
    <w:rsid w:val="003676D3"/>
    <w:rsid w:val="00370B57"/>
    <w:rsid w:val="00370CD6"/>
    <w:rsid w:val="00371825"/>
    <w:rsid w:val="0037227B"/>
    <w:rsid w:val="00373612"/>
    <w:rsid w:val="0037378C"/>
    <w:rsid w:val="00374988"/>
    <w:rsid w:val="003754BF"/>
    <w:rsid w:val="00375C19"/>
    <w:rsid w:val="0037705D"/>
    <w:rsid w:val="003772C6"/>
    <w:rsid w:val="00377D59"/>
    <w:rsid w:val="003804A3"/>
    <w:rsid w:val="00380D8A"/>
    <w:rsid w:val="00381A54"/>
    <w:rsid w:val="003824FA"/>
    <w:rsid w:val="00382EE1"/>
    <w:rsid w:val="003847D8"/>
    <w:rsid w:val="00384AA3"/>
    <w:rsid w:val="00385EC8"/>
    <w:rsid w:val="003865FB"/>
    <w:rsid w:val="00387FF8"/>
    <w:rsid w:val="00390A19"/>
    <w:rsid w:val="00390D71"/>
    <w:rsid w:val="0039133A"/>
    <w:rsid w:val="00391ACC"/>
    <w:rsid w:val="003942C9"/>
    <w:rsid w:val="003943D5"/>
    <w:rsid w:val="003953C4"/>
    <w:rsid w:val="00395832"/>
    <w:rsid w:val="003979AE"/>
    <w:rsid w:val="00397C7F"/>
    <w:rsid w:val="003A0943"/>
    <w:rsid w:val="003A0BA1"/>
    <w:rsid w:val="003A2419"/>
    <w:rsid w:val="003A4B83"/>
    <w:rsid w:val="003A4D97"/>
    <w:rsid w:val="003A5C78"/>
    <w:rsid w:val="003A6B84"/>
    <w:rsid w:val="003A7E2F"/>
    <w:rsid w:val="003A7F3F"/>
    <w:rsid w:val="003B04CA"/>
    <w:rsid w:val="003B2E1F"/>
    <w:rsid w:val="003B356C"/>
    <w:rsid w:val="003B53B6"/>
    <w:rsid w:val="003B55AB"/>
    <w:rsid w:val="003B56F5"/>
    <w:rsid w:val="003B5A9A"/>
    <w:rsid w:val="003C09EA"/>
    <w:rsid w:val="003C1306"/>
    <w:rsid w:val="003C13C6"/>
    <w:rsid w:val="003C1F7C"/>
    <w:rsid w:val="003C20B2"/>
    <w:rsid w:val="003C2D6B"/>
    <w:rsid w:val="003C391B"/>
    <w:rsid w:val="003C501E"/>
    <w:rsid w:val="003C5470"/>
    <w:rsid w:val="003C57BB"/>
    <w:rsid w:val="003C6F64"/>
    <w:rsid w:val="003D0602"/>
    <w:rsid w:val="003D16B4"/>
    <w:rsid w:val="003D21B5"/>
    <w:rsid w:val="003D27F6"/>
    <w:rsid w:val="003D4300"/>
    <w:rsid w:val="003D5132"/>
    <w:rsid w:val="003D61A8"/>
    <w:rsid w:val="003E05FC"/>
    <w:rsid w:val="003E2A67"/>
    <w:rsid w:val="003E46ED"/>
    <w:rsid w:val="003E4A11"/>
    <w:rsid w:val="003E4A41"/>
    <w:rsid w:val="003E508C"/>
    <w:rsid w:val="003E622C"/>
    <w:rsid w:val="003E634A"/>
    <w:rsid w:val="003E7547"/>
    <w:rsid w:val="003F1571"/>
    <w:rsid w:val="003F15D4"/>
    <w:rsid w:val="003F18A4"/>
    <w:rsid w:val="003F267F"/>
    <w:rsid w:val="003F3149"/>
    <w:rsid w:val="003F3151"/>
    <w:rsid w:val="003F354B"/>
    <w:rsid w:val="003F417E"/>
    <w:rsid w:val="003F4F73"/>
    <w:rsid w:val="003F65BF"/>
    <w:rsid w:val="00400149"/>
    <w:rsid w:val="004003D1"/>
    <w:rsid w:val="00401009"/>
    <w:rsid w:val="00401229"/>
    <w:rsid w:val="004012A0"/>
    <w:rsid w:val="00401B4D"/>
    <w:rsid w:val="00402B47"/>
    <w:rsid w:val="00403D7E"/>
    <w:rsid w:val="00404793"/>
    <w:rsid w:val="0040704D"/>
    <w:rsid w:val="00411AC0"/>
    <w:rsid w:val="00411BDD"/>
    <w:rsid w:val="00414CDD"/>
    <w:rsid w:val="004163D7"/>
    <w:rsid w:val="004206D8"/>
    <w:rsid w:val="00421775"/>
    <w:rsid w:val="004220DE"/>
    <w:rsid w:val="00422213"/>
    <w:rsid w:val="00422A0B"/>
    <w:rsid w:val="0042380D"/>
    <w:rsid w:val="004269CF"/>
    <w:rsid w:val="00427EF9"/>
    <w:rsid w:val="00427F34"/>
    <w:rsid w:val="00427FBF"/>
    <w:rsid w:val="0043012E"/>
    <w:rsid w:val="00430812"/>
    <w:rsid w:val="00430D26"/>
    <w:rsid w:val="00433316"/>
    <w:rsid w:val="00433577"/>
    <w:rsid w:val="0043393D"/>
    <w:rsid w:val="00436C3A"/>
    <w:rsid w:val="004412D5"/>
    <w:rsid w:val="0044233D"/>
    <w:rsid w:val="00442993"/>
    <w:rsid w:val="0044396F"/>
    <w:rsid w:val="00444303"/>
    <w:rsid w:val="00444554"/>
    <w:rsid w:val="00444BD9"/>
    <w:rsid w:val="0044587B"/>
    <w:rsid w:val="00446026"/>
    <w:rsid w:val="004478CA"/>
    <w:rsid w:val="00451306"/>
    <w:rsid w:val="004523FE"/>
    <w:rsid w:val="00452639"/>
    <w:rsid w:val="00453786"/>
    <w:rsid w:val="00455A9C"/>
    <w:rsid w:val="004561EE"/>
    <w:rsid w:val="0045694E"/>
    <w:rsid w:val="00456EAE"/>
    <w:rsid w:val="00457124"/>
    <w:rsid w:val="00457711"/>
    <w:rsid w:val="00457918"/>
    <w:rsid w:val="00457950"/>
    <w:rsid w:val="004603AD"/>
    <w:rsid w:val="004605F2"/>
    <w:rsid w:val="00461216"/>
    <w:rsid w:val="00462EDD"/>
    <w:rsid w:val="00463BF1"/>
    <w:rsid w:val="00464ADF"/>
    <w:rsid w:val="00464B6D"/>
    <w:rsid w:val="00464D42"/>
    <w:rsid w:val="00465074"/>
    <w:rsid w:val="00465E07"/>
    <w:rsid w:val="00466164"/>
    <w:rsid w:val="00466390"/>
    <w:rsid w:val="00466A47"/>
    <w:rsid w:val="00466C80"/>
    <w:rsid w:val="00467A58"/>
    <w:rsid w:val="00467BD6"/>
    <w:rsid w:val="00470868"/>
    <w:rsid w:val="004726B3"/>
    <w:rsid w:val="004727C2"/>
    <w:rsid w:val="004730BE"/>
    <w:rsid w:val="00473AC1"/>
    <w:rsid w:val="00474AC8"/>
    <w:rsid w:val="00477B37"/>
    <w:rsid w:val="004816C1"/>
    <w:rsid w:val="00482908"/>
    <w:rsid w:val="00482CC1"/>
    <w:rsid w:val="0048361E"/>
    <w:rsid w:val="004837DC"/>
    <w:rsid w:val="00484365"/>
    <w:rsid w:val="0048484D"/>
    <w:rsid w:val="00485019"/>
    <w:rsid w:val="004854D3"/>
    <w:rsid w:val="00485E1E"/>
    <w:rsid w:val="004879B8"/>
    <w:rsid w:val="00490330"/>
    <w:rsid w:val="0049287F"/>
    <w:rsid w:val="00492CAB"/>
    <w:rsid w:val="00494B89"/>
    <w:rsid w:val="00494D4B"/>
    <w:rsid w:val="004951E8"/>
    <w:rsid w:val="004966FE"/>
    <w:rsid w:val="00496C75"/>
    <w:rsid w:val="00496EAA"/>
    <w:rsid w:val="004971F1"/>
    <w:rsid w:val="004A0A15"/>
    <w:rsid w:val="004A2974"/>
    <w:rsid w:val="004A3001"/>
    <w:rsid w:val="004A3258"/>
    <w:rsid w:val="004A6A8F"/>
    <w:rsid w:val="004A6DD1"/>
    <w:rsid w:val="004B03C5"/>
    <w:rsid w:val="004B0F31"/>
    <w:rsid w:val="004B1132"/>
    <w:rsid w:val="004B1AF1"/>
    <w:rsid w:val="004B2192"/>
    <w:rsid w:val="004B2CAC"/>
    <w:rsid w:val="004B2DC3"/>
    <w:rsid w:val="004B30A3"/>
    <w:rsid w:val="004B3295"/>
    <w:rsid w:val="004B33EA"/>
    <w:rsid w:val="004B3704"/>
    <w:rsid w:val="004B391E"/>
    <w:rsid w:val="004B60A5"/>
    <w:rsid w:val="004B7931"/>
    <w:rsid w:val="004B7DC9"/>
    <w:rsid w:val="004C0575"/>
    <w:rsid w:val="004C0F47"/>
    <w:rsid w:val="004C1AE7"/>
    <w:rsid w:val="004C1B57"/>
    <w:rsid w:val="004C2BB5"/>
    <w:rsid w:val="004C31EB"/>
    <w:rsid w:val="004C3A05"/>
    <w:rsid w:val="004C3E54"/>
    <w:rsid w:val="004C5206"/>
    <w:rsid w:val="004C5E84"/>
    <w:rsid w:val="004C64E7"/>
    <w:rsid w:val="004C6BF5"/>
    <w:rsid w:val="004C73AF"/>
    <w:rsid w:val="004C74F8"/>
    <w:rsid w:val="004D06BA"/>
    <w:rsid w:val="004D0EEC"/>
    <w:rsid w:val="004D32C3"/>
    <w:rsid w:val="004D3C6E"/>
    <w:rsid w:val="004D50F6"/>
    <w:rsid w:val="004D5146"/>
    <w:rsid w:val="004D549E"/>
    <w:rsid w:val="004D72BB"/>
    <w:rsid w:val="004D7623"/>
    <w:rsid w:val="004E069E"/>
    <w:rsid w:val="004E12D4"/>
    <w:rsid w:val="004E13F6"/>
    <w:rsid w:val="004E141D"/>
    <w:rsid w:val="004E1DC8"/>
    <w:rsid w:val="004E1FF6"/>
    <w:rsid w:val="004E23DD"/>
    <w:rsid w:val="004E259E"/>
    <w:rsid w:val="004E504E"/>
    <w:rsid w:val="004E5F60"/>
    <w:rsid w:val="004E6FA2"/>
    <w:rsid w:val="004E7487"/>
    <w:rsid w:val="004F2496"/>
    <w:rsid w:val="004F25F4"/>
    <w:rsid w:val="004F277F"/>
    <w:rsid w:val="004F3641"/>
    <w:rsid w:val="004F3AFD"/>
    <w:rsid w:val="004F3B57"/>
    <w:rsid w:val="004F3F73"/>
    <w:rsid w:val="004F41FE"/>
    <w:rsid w:val="004F4571"/>
    <w:rsid w:val="004F6040"/>
    <w:rsid w:val="004F63CD"/>
    <w:rsid w:val="00502998"/>
    <w:rsid w:val="00504A64"/>
    <w:rsid w:val="00504F0B"/>
    <w:rsid w:val="0050611B"/>
    <w:rsid w:val="0050640B"/>
    <w:rsid w:val="00507BC3"/>
    <w:rsid w:val="0051029C"/>
    <w:rsid w:val="00510390"/>
    <w:rsid w:val="00510655"/>
    <w:rsid w:val="005106CA"/>
    <w:rsid w:val="00512E06"/>
    <w:rsid w:val="00512F67"/>
    <w:rsid w:val="00515112"/>
    <w:rsid w:val="005171E0"/>
    <w:rsid w:val="005173AB"/>
    <w:rsid w:val="00520DE7"/>
    <w:rsid w:val="00521BEE"/>
    <w:rsid w:val="00522350"/>
    <w:rsid w:val="00523670"/>
    <w:rsid w:val="00523772"/>
    <w:rsid w:val="00523C26"/>
    <w:rsid w:val="005246B0"/>
    <w:rsid w:val="00525D74"/>
    <w:rsid w:val="00526D67"/>
    <w:rsid w:val="005271DC"/>
    <w:rsid w:val="005278BA"/>
    <w:rsid w:val="00527BF5"/>
    <w:rsid w:val="0053032B"/>
    <w:rsid w:val="00530561"/>
    <w:rsid w:val="00530DB0"/>
    <w:rsid w:val="0053190B"/>
    <w:rsid w:val="00531A41"/>
    <w:rsid w:val="00531E11"/>
    <w:rsid w:val="00533CAF"/>
    <w:rsid w:val="005349A5"/>
    <w:rsid w:val="00540FF8"/>
    <w:rsid w:val="00541866"/>
    <w:rsid w:val="00541988"/>
    <w:rsid w:val="00541D66"/>
    <w:rsid w:val="00543F6A"/>
    <w:rsid w:val="00545562"/>
    <w:rsid w:val="00545BAB"/>
    <w:rsid w:val="0054669C"/>
    <w:rsid w:val="00546DC0"/>
    <w:rsid w:val="00547A9D"/>
    <w:rsid w:val="00547E18"/>
    <w:rsid w:val="0055132B"/>
    <w:rsid w:val="005518E4"/>
    <w:rsid w:val="005521BE"/>
    <w:rsid w:val="00553319"/>
    <w:rsid w:val="005535B5"/>
    <w:rsid w:val="00556984"/>
    <w:rsid w:val="00556EC4"/>
    <w:rsid w:val="0055711F"/>
    <w:rsid w:val="00557FA3"/>
    <w:rsid w:val="0056020F"/>
    <w:rsid w:val="00560E0A"/>
    <w:rsid w:val="0056202F"/>
    <w:rsid w:val="005635A9"/>
    <w:rsid w:val="005652EE"/>
    <w:rsid w:val="00565662"/>
    <w:rsid w:val="00567CCD"/>
    <w:rsid w:val="00570628"/>
    <w:rsid w:val="005710F5"/>
    <w:rsid w:val="00572182"/>
    <w:rsid w:val="00577309"/>
    <w:rsid w:val="0057753A"/>
    <w:rsid w:val="00577BC5"/>
    <w:rsid w:val="005824F1"/>
    <w:rsid w:val="00584382"/>
    <w:rsid w:val="00584DFC"/>
    <w:rsid w:val="005854D3"/>
    <w:rsid w:val="00585F22"/>
    <w:rsid w:val="005861AE"/>
    <w:rsid w:val="005865EE"/>
    <w:rsid w:val="00587EF6"/>
    <w:rsid w:val="00590630"/>
    <w:rsid w:val="00590E73"/>
    <w:rsid w:val="005916AF"/>
    <w:rsid w:val="00591D8B"/>
    <w:rsid w:val="00591E27"/>
    <w:rsid w:val="005920CB"/>
    <w:rsid w:val="0059272E"/>
    <w:rsid w:val="005933D0"/>
    <w:rsid w:val="00595277"/>
    <w:rsid w:val="005961B9"/>
    <w:rsid w:val="00597117"/>
    <w:rsid w:val="005971AF"/>
    <w:rsid w:val="00597EA7"/>
    <w:rsid w:val="005A0706"/>
    <w:rsid w:val="005A0AFC"/>
    <w:rsid w:val="005A1631"/>
    <w:rsid w:val="005A1E0F"/>
    <w:rsid w:val="005A246F"/>
    <w:rsid w:val="005A29CC"/>
    <w:rsid w:val="005A2C54"/>
    <w:rsid w:val="005A2FAA"/>
    <w:rsid w:val="005A34A7"/>
    <w:rsid w:val="005A684D"/>
    <w:rsid w:val="005A799B"/>
    <w:rsid w:val="005B053D"/>
    <w:rsid w:val="005B0833"/>
    <w:rsid w:val="005B0D1F"/>
    <w:rsid w:val="005B2320"/>
    <w:rsid w:val="005B2606"/>
    <w:rsid w:val="005B269A"/>
    <w:rsid w:val="005B326D"/>
    <w:rsid w:val="005B3CDC"/>
    <w:rsid w:val="005B3D58"/>
    <w:rsid w:val="005B4611"/>
    <w:rsid w:val="005B5A7D"/>
    <w:rsid w:val="005C0096"/>
    <w:rsid w:val="005C08A1"/>
    <w:rsid w:val="005C15F7"/>
    <w:rsid w:val="005C1AC5"/>
    <w:rsid w:val="005C32F3"/>
    <w:rsid w:val="005C34CA"/>
    <w:rsid w:val="005C3CF0"/>
    <w:rsid w:val="005C3E1F"/>
    <w:rsid w:val="005C3ECD"/>
    <w:rsid w:val="005C4E5A"/>
    <w:rsid w:val="005C78B3"/>
    <w:rsid w:val="005D02FC"/>
    <w:rsid w:val="005D119B"/>
    <w:rsid w:val="005D2900"/>
    <w:rsid w:val="005D3512"/>
    <w:rsid w:val="005D3B78"/>
    <w:rsid w:val="005D3E59"/>
    <w:rsid w:val="005D42A9"/>
    <w:rsid w:val="005D513C"/>
    <w:rsid w:val="005D5304"/>
    <w:rsid w:val="005E0C48"/>
    <w:rsid w:val="005E1651"/>
    <w:rsid w:val="005E1A83"/>
    <w:rsid w:val="005E31AC"/>
    <w:rsid w:val="005E34FD"/>
    <w:rsid w:val="005E45B0"/>
    <w:rsid w:val="005E5043"/>
    <w:rsid w:val="005E58C2"/>
    <w:rsid w:val="005F0581"/>
    <w:rsid w:val="005F1EEB"/>
    <w:rsid w:val="005F252F"/>
    <w:rsid w:val="005F5EDA"/>
    <w:rsid w:val="005F608E"/>
    <w:rsid w:val="005F7B25"/>
    <w:rsid w:val="005F7D0D"/>
    <w:rsid w:val="006013D2"/>
    <w:rsid w:val="00601C5A"/>
    <w:rsid w:val="00602E3C"/>
    <w:rsid w:val="00603461"/>
    <w:rsid w:val="006068B4"/>
    <w:rsid w:val="006079B4"/>
    <w:rsid w:val="00607B0F"/>
    <w:rsid w:val="00607C87"/>
    <w:rsid w:val="006106CD"/>
    <w:rsid w:val="006116FE"/>
    <w:rsid w:val="00611B90"/>
    <w:rsid w:val="00614293"/>
    <w:rsid w:val="00614FF0"/>
    <w:rsid w:val="00616AB4"/>
    <w:rsid w:val="00617877"/>
    <w:rsid w:val="00617ED1"/>
    <w:rsid w:val="006200F6"/>
    <w:rsid w:val="00620CC0"/>
    <w:rsid w:val="00621840"/>
    <w:rsid w:val="006222FA"/>
    <w:rsid w:val="006224FC"/>
    <w:rsid w:val="006246EB"/>
    <w:rsid w:val="006254A4"/>
    <w:rsid w:val="00625A7C"/>
    <w:rsid w:val="006260BC"/>
    <w:rsid w:val="00626339"/>
    <w:rsid w:val="00626577"/>
    <w:rsid w:val="0063002E"/>
    <w:rsid w:val="006314BC"/>
    <w:rsid w:val="00631F76"/>
    <w:rsid w:val="006320E9"/>
    <w:rsid w:val="00632B6F"/>
    <w:rsid w:val="006330AD"/>
    <w:rsid w:val="00635CE2"/>
    <w:rsid w:val="00637245"/>
    <w:rsid w:val="0063782C"/>
    <w:rsid w:val="00637F9C"/>
    <w:rsid w:val="00640595"/>
    <w:rsid w:val="00641968"/>
    <w:rsid w:val="00644395"/>
    <w:rsid w:val="006449C9"/>
    <w:rsid w:val="006461FB"/>
    <w:rsid w:val="00650D65"/>
    <w:rsid w:val="00650D9E"/>
    <w:rsid w:val="00656077"/>
    <w:rsid w:val="006569D7"/>
    <w:rsid w:val="00656DFE"/>
    <w:rsid w:val="00656E38"/>
    <w:rsid w:val="00657D8D"/>
    <w:rsid w:val="00660576"/>
    <w:rsid w:val="0066185B"/>
    <w:rsid w:val="0066786F"/>
    <w:rsid w:val="00667FF1"/>
    <w:rsid w:val="00670A50"/>
    <w:rsid w:val="0067190E"/>
    <w:rsid w:val="006737F6"/>
    <w:rsid w:val="00673E4A"/>
    <w:rsid w:val="006750CB"/>
    <w:rsid w:val="00675784"/>
    <w:rsid w:val="006757CD"/>
    <w:rsid w:val="00676F5C"/>
    <w:rsid w:val="0067747F"/>
    <w:rsid w:val="00677483"/>
    <w:rsid w:val="006777EF"/>
    <w:rsid w:val="006817A6"/>
    <w:rsid w:val="006818BE"/>
    <w:rsid w:val="0068195E"/>
    <w:rsid w:val="00681D20"/>
    <w:rsid w:val="00681D46"/>
    <w:rsid w:val="00681D62"/>
    <w:rsid w:val="00681ED2"/>
    <w:rsid w:val="006821C2"/>
    <w:rsid w:val="006829CF"/>
    <w:rsid w:val="00684395"/>
    <w:rsid w:val="006843D1"/>
    <w:rsid w:val="00684D06"/>
    <w:rsid w:val="0068535B"/>
    <w:rsid w:val="00685DCD"/>
    <w:rsid w:val="00686075"/>
    <w:rsid w:val="00686E44"/>
    <w:rsid w:val="0068706A"/>
    <w:rsid w:val="00687159"/>
    <w:rsid w:val="006879C8"/>
    <w:rsid w:val="0068D30D"/>
    <w:rsid w:val="006909E9"/>
    <w:rsid w:val="0069214F"/>
    <w:rsid w:val="006921DD"/>
    <w:rsid w:val="00692C42"/>
    <w:rsid w:val="00693693"/>
    <w:rsid w:val="0069385B"/>
    <w:rsid w:val="006949BB"/>
    <w:rsid w:val="00695394"/>
    <w:rsid w:val="00695B1B"/>
    <w:rsid w:val="0069615E"/>
    <w:rsid w:val="00696F46"/>
    <w:rsid w:val="006A0D78"/>
    <w:rsid w:val="006A18B3"/>
    <w:rsid w:val="006A36E4"/>
    <w:rsid w:val="006A38AE"/>
    <w:rsid w:val="006A486D"/>
    <w:rsid w:val="006A4AFD"/>
    <w:rsid w:val="006A624D"/>
    <w:rsid w:val="006A6F7F"/>
    <w:rsid w:val="006B0D06"/>
    <w:rsid w:val="006B0E36"/>
    <w:rsid w:val="006B0F2B"/>
    <w:rsid w:val="006B1170"/>
    <w:rsid w:val="006B2682"/>
    <w:rsid w:val="006B3F67"/>
    <w:rsid w:val="006B5076"/>
    <w:rsid w:val="006B50D4"/>
    <w:rsid w:val="006B6725"/>
    <w:rsid w:val="006B6C1C"/>
    <w:rsid w:val="006B7816"/>
    <w:rsid w:val="006C1AFA"/>
    <w:rsid w:val="006C240C"/>
    <w:rsid w:val="006C2769"/>
    <w:rsid w:val="006C2DF5"/>
    <w:rsid w:val="006C3879"/>
    <w:rsid w:val="006C5291"/>
    <w:rsid w:val="006C5426"/>
    <w:rsid w:val="006C7878"/>
    <w:rsid w:val="006C7960"/>
    <w:rsid w:val="006C7B4D"/>
    <w:rsid w:val="006D0DB6"/>
    <w:rsid w:val="006D25BB"/>
    <w:rsid w:val="006D304F"/>
    <w:rsid w:val="006D363A"/>
    <w:rsid w:val="006D3BF5"/>
    <w:rsid w:val="006D5492"/>
    <w:rsid w:val="006D57FF"/>
    <w:rsid w:val="006D626D"/>
    <w:rsid w:val="006D67B9"/>
    <w:rsid w:val="006D7645"/>
    <w:rsid w:val="006D7D00"/>
    <w:rsid w:val="006E045D"/>
    <w:rsid w:val="006E12D4"/>
    <w:rsid w:val="006E1380"/>
    <w:rsid w:val="006E1E70"/>
    <w:rsid w:val="006E311E"/>
    <w:rsid w:val="006E3762"/>
    <w:rsid w:val="006E3821"/>
    <w:rsid w:val="006E5181"/>
    <w:rsid w:val="006E690D"/>
    <w:rsid w:val="006E789B"/>
    <w:rsid w:val="006E7C4E"/>
    <w:rsid w:val="006F0156"/>
    <w:rsid w:val="006F0DD1"/>
    <w:rsid w:val="006F1C22"/>
    <w:rsid w:val="006F1CEC"/>
    <w:rsid w:val="006F2528"/>
    <w:rsid w:val="006F263E"/>
    <w:rsid w:val="006F2D56"/>
    <w:rsid w:val="006F326F"/>
    <w:rsid w:val="006F6237"/>
    <w:rsid w:val="006F6524"/>
    <w:rsid w:val="006F7D2B"/>
    <w:rsid w:val="0070016B"/>
    <w:rsid w:val="007007A3"/>
    <w:rsid w:val="00700FD8"/>
    <w:rsid w:val="007031B7"/>
    <w:rsid w:val="007046C5"/>
    <w:rsid w:val="0070715D"/>
    <w:rsid w:val="00710A26"/>
    <w:rsid w:val="00711674"/>
    <w:rsid w:val="00711792"/>
    <w:rsid w:val="00712607"/>
    <w:rsid w:val="00712EB6"/>
    <w:rsid w:val="00713E95"/>
    <w:rsid w:val="00714BC4"/>
    <w:rsid w:val="00715220"/>
    <w:rsid w:val="00715222"/>
    <w:rsid w:val="0071549A"/>
    <w:rsid w:val="00716A54"/>
    <w:rsid w:val="007173BC"/>
    <w:rsid w:val="007176FE"/>
    <w:rsid w:val="0072076F"/>
    <w:rsid w:val="007211BE"/>
    <w:rsid w:val="00721D27"/>
    <w:rsid w:val="007224D4"/>
    <w:rsid w:val="007225C9"/>
    <w:rsid w:val="007229B6"/>
    <w:rsid w:val="00723659"/>
    <w:rsid w:val="007247B7"/>
    <w:rsid w:val="00725531"/>
    <w:rsid w:val="00726F02"/>
    <w:rsid w:val="0072720E"/>
    <w:rsid w:val="00727AFB"/>
    <w:rsid w:val="00727F10"/>
    <w:rsid w:val="00727FE7"/>
    <w:rsid w:val="007308FE"/>
    <w:rsid w:val="007310D9"/>
    <w:rsid w:val="007316D3"/>
    <w:rsid w:val="00731A13"/>
    <w:rsid w:val="007342E3"/>
    <w:rsid w:val="00734D72"/>
    <w:rsid w:val="00735480"/>
    <w:rsid w:val="007359C7"/>
    <w:rsid w:val="00736977"/>
    <w:rsid w:val="0073772C"/>
    <w:rsid w:val="00741A5C"/>
    <w:rsid w:val="00742B4A"/>
    <w:rsid w:val="007449BF"/>
    <w:rsid w:val="00745FE6"/>
    <w:rsid w:val="0074788C"/>
    <w:rsid w:val="00751A9D"/>
    <w:rsid w:val="00752242"/>
    <w:rsid w:val="007535E7"/>
    <w:rsid w:val="00753A39"/>
    <w:rsid w:val="00755595"/>
    <w:rsid w:val="007557AF"/>
    <w:rsid w:val="00756037"/>
    <w:rsid w:val="00757FD8"/>
    <w:rsid w:val="007600C9"/>
    <w:rsid w:val="00760670"/>
    <w:rsid w:val="00761C71"/>
    <w:rsid w:val="007627B9"/>
    <w:rsid w:val="00762DDE"/>
    <w:rsid w:val="00763ED2"/>
    <w:rsid w:val="00763F5B"/>
    <w:rsid w:val="00766F20"/>
    <w:rsid w:val="00767472"/>
    <w:rsid w:val="00767A63"/>
    <w:rsid w:val="00767D38"/>
    <w:rsid w:val="00770976"/>
    <w:rsid w:val="00772B2E"/>
    <w:rsid w:val="007741C9"/>
    <w:rsid w:val="00775995"/>
    <w:rsid w:val="00776277"/>
    <w:rsid w:val="0077698F"/>
    <w:rsid w:val="007770BD"/>
    <w:rsid w:val="007804BF"/>
    <w:rsid w:val="00780E0D"/>
    <w:rsid w:val="0078168D"/>
    <w:rsid w:val="00781776"/>
    <w:rsid w:val="00783764"/>
    <w:rsid w:val="00783E66"/>
    <w:rsid w:val="007847A7"/>
    <w:rsid w:val="00785089"/>
    <w:rsid w:val="0078542D"/>
    <w:rsid w:val="00785DD9"/>
    <w:rsid w:val="007870CF"/>
    <w:rsid w:val="0078755A"/>
    <w:rsid w:val="00787E89"/>
    <w:rsid w:val="007946EA"/>
    <w:rsid w:val="00794A5E"/>
    <w:rsid w:val="0079570B"/>
    <w:rsid w:val="00796589"/>
    <w:rsid w:val="00796D93"/>
    <w:rsid w:val="00797CE0"/>
    <w:rsid w:val="007A45B7"/>
    <w:rsid w:val="007A4DC5"/>
    <w:rsid w:val="007A649A"/>
    <w:rsid w:val="007A6AE5"/>
    <w:rsid w:val="007A6D89"/>
    <w:rsid w:val="007B0346"/>
    <w:rsid w:val="007B0B76"/>
    <w:rsid w:val="007B18F1"/>
    <w:rsid w:val="007B2A80"/>
    <w:rsid w:val="007B2B9E"/>
    <w:rsid w:val="007B2E0D"/>
    <w:rsid w:val="007B3143"/>
    <w:rsid w:val="007B3563"/>
    <w:rsid w:val="007B6DF2"/>
    <w:rsid w:val="007B6E5B"/>
    <w:rsid w:val="007C2B68"/>
    <w:rsid w:val="007C3544"/>
    <w:rsid w:val="007C4EF2"/>
    <w:rsid w:val="007C6787"/>
    <w:rsid w:val="007C7FEB"/>
    <w:rsid w:val="007D0565"/>
    <w:rsid w:val="007D310A"/>
    <w:rsid w:val="007D3F8F"/>
    <w:rsid w:val="007D418C"/>
    <w:rsid w:val="007D43AE"/>
    <w:rsid w:val="007D6F7D"/>
    <w:rsid w:val="007D7E03"/>
    <w:rsid w:val="007E1135"/>
    <w:rsid w:val="007E123A"/>
    <w:rsid w:val="007E13DB"/>
    <w:rsid w:val="007E22F7"/>
    <w:rsid w:val="007E2E82"/>
    <w:rsid w:val="007E4009"/>
    <w:rsid w:val="007E43EC"/>
    <w:rsid w:val="007E6FFE"/>
    <w:rsid w:val="007F08CB"/>
    <w:rsid w:val="007F0DE2"/>
    <w:rsid w:val="007F11EA"/>
    <w:rsid w:val="007F131A"/>
    <w:rsid w:val="007F13C6"/>
    <w:rsid w:val="007F13D1"/>
    <w:rsid w:val="007F1E17"/>
    <w:rsid w:val="007F2661"/>
    <w:rsid w:val="007F3642"/>
    <w:rsid w:val="007F3648"/>
    <w:rsid w:val="007F3717"/>
    <w:rsid w:val="007F3D0C"/>
    <w:rsid w:val="007F418D"/>
    <w:rsid w:val="007F45B4"/>
    <w:rsid w:val="007F5DD2"/>
    <w:rsid w:val="007F6469"/>
    <w:rsid w:val="007F76C4"/>
    <w:rsid w:val="007F778F"/>
    <w:rsid w:val="00800328"/>
    <w:rsid w:val="0080136A"/>
    <w:rsid w:val="00801AAF"/>
    <w:rsid w:val="00801B64"/>
    <w:rsid w:val="0080295F"/>
    <w:rsid w:val="00802964"/>
    <w:rsid w:val="00802AA9"/>
    <w:rsid w:val="00803666"/>
    <w:rsid w:val="0080387B"/>
    <w:rsid w:val="00803A01"/>
    <w:rsid w:val="00804029"/>
    <w:rsid w:val="0080426C"/>
    <w:rsid w:val="008042C5"/>
    <w:rsid w:val="0080528F"/>
    <w:rsid w:val="0080731D"/>
    <w:rsid w:val="00807A87"/>
    <w:rsid w:val="00812402"/>
    <w:rsid w:val="00812D11"/>
    <w:rsid w:val="00815AAA"/>
    <w:rsid w:val="00815E8F"/>
    <w:rsid w:val="008206F1"/>
    <w:rsid w:val="0082381D"/>
    <w:rsid w:val="008275C6"/>
    <w:rsid w:val="00827CAD"/>
    <w:rsid w:val="00827E74"/>
    <w:rsid w:val="008303AC"/>
    <w:rsid w:val="008317C5"/>
    <w:rsid w:val="00831975"/>
    <w:rsid w:val="00832955"/>
    <w:rsid w:val="008343F0"/>
    <w:rsid w:val="00834482"/>
    <w:rsid w:val="00835E74"/>
    <w:rsid w:val="00836208"/>
    <w:rsid w:val="0083681E"/>
    <w:rsid w:val="00837F7C"/>
    <w:rsid w:val="008408B4"/>
    <w:rsid w:val="00841ABD"/>
    <w:rsid w:val="0084253B"/>
    <w:rsid w:val="0084330A"/>
    <w:rsid w:val="00843640"/>
    <w:rsid w:val="00844879"/>
    <w:rsid w:val="008467BD"/>
    <w:rsid w:val="00847DD0"/>
    <w:rsid w:val="00852731"/>
    <w:rsid w:val="00856A6C"/>
    <w:rsid w:val="00856DEE"/>
    <w:rsid w:val="0086123B"/>
    <w:rsid w:val="00861563"/>
    <w:rsid w:val="008618F5"/>
    <w:rsid w:val="00863CDD"/>
    <w:rsid w:val="008642C6"/>
    <w:rsid w:val="008647C5"/>
    <w:rsid w:val="00865224"/>
    <w:rsid w:val="008655FB"/>
    <w:rsid w:val="00865CA2"/>
    <w:rsid w:val="00867A22"/>
    <w:rsid w:val="00872377"/>
    <w:rsid w:val="008728FD"/>
    <w:rsid w:val="008735A6"/>
    <w:rsid w:val="00873644"/>
    <w:rsid w:val="00873BD8"/>
    <w:rsid w:val="00873F9F"/>
    <w:rsid w:val="00875487"/>
    <w:rsid w:val="00880C11"/>
    <w:rsid w:val="00880D1C"/>
    <w:rsid w:val="00884EDC"/>
    <w:rsid w:val="00885FCD"/>
    <w:rsid w:val="008877C7"/>
    <w:rsid w:val="00890030"/>
    <w:rsid w:val="00890B2A"/>
    <w:rsid w:val="00890C69"/>
    <w:rsid w:val="008916DB"/>
    <w:rsid w:val="00892166"/>
    <w:rsid w:val="0089371E"/>
    <w:rsid w:val="00893728"/>
    <w:rsid w:val="00897EAF"/>
    <w:rsid w:val="008A20E7"/>
    <w:rsid w:val="008A2877"/>
    <w:rsid w:val="008A3B0D"/>
    <w:rsid w:val="008A3B2A"/>
    <w:rsid w:val="008A3C12"/>
    <w:rsid w:val="008A4DB8"/>
    <w:rsid w:val="008A524B"/>
    <w:rsid w:val="008A5892"/>
    <w:rsid w:val="008A66DB"/>
    <w:rsid w:val="008A6C91"/>
    <w:rsid w:val="008A7027"/>
    <w:rsid w:val="008A7D1D"/>
    <w:rsid w:val="008A7E51"/>
    <w:rsid w:val="008B047F"/>
    <w:rsid w:val="008B0614"/>
    <w:rsid w:val="008B0BBD"/>
    <w:rsid w:val="008B14E9"/>
    <w:rsid w:val="008B2A36"/>
    <w:rsid w:val="008B2C27"/>
    <w:rsid w:val="008B2CFE"/>
    <w:rsid w:val="008B4734"/>
    <w:rsid w:val="008B5D03"/>
    <w:rsid w:val="008B685D"/>
    <w:rsid w:val="008B75B5"/>
    <w:rsid w:val="008C06B6"/>
    <w:rsid w:val="008C1B69"/>
    <w:rsid w:val="008C22A1"/>
    <w:rsid w:val="008C2CFF"/>
    <w:rsid w:val="008C3359"/>
    <w:rsid w:val="008C355E"/>
    <w:rsid w:val="008C3E79"/>
    <w:rsid w:val="008C6211"/>
    <w:rsid w:val="008C74F0"/>
    <w:rsid w:val="008D01C3"/>
    <w:rsid w:val="008D0B8A"/>
    <w:rsid w:val="008D1089"/>
    <w:rsid w:val="008D17C3"/>
    <w:rsid w:val="008D1D54"/>
    <w:rsid w:val="008D1FFF"/>
    <w:rsid w:val="008D26F8"/>
    <w:rsid w:val="008D2842"/>
    <w:rsid w:val="008D2C21"/>
    <w:rsid w:val="008D3E76"/>
    <w:rsid w:val="008D41C5"/>
    <w:rsid w:val="008D6609"/>
    <w:rsid w:val="008D7836"/>
    <w:rsid w:val="008E0260"/>
    <w:rsid w:val="008E0435"/>
    <w:rsid w:val="008E1BBA"/>
    <w:rsid w:val="008E232B"/>
    <w:rsid w:val="008E2BC7"/>
    <w:rsid w:val="008E322E"/>
    <w:rsid w:val="008E34AF"/>
    <w:rsid w:val="008E5197"/>
    <w:rsid w:val="008E5513"/>
    <w:rsid w:val="008E5FE2"/>
    <w:rsid w:val="008E647E"/>
    <w:rsid w:val="008E6833"/>
    <w:rsid w:val="008E6A94"/>
    <w:rsid w:val="008E6DF0"/>
    <w:rsid w:val="008E727C"/>
    <w:rsid w:val="008F0603"/>
    <w:rsid w:val="008F1384"/>
    <w:rsid w:val="008F18AC"/>
    <w:rsid w:val="008F2C57"/>
    <w:rsid w:val="008F4B41"/>
    <w:rsid w:val="008F506C"/>
    <w:rsid w:val="008F511B"/>
    <w:rsid w:val="008F7D2C"/>
    <w:rsid w:val="009009EC"/>
    <w:rsid w:val="00901531"/>
    <w:rsid w:val="00902688"/>
    <w:rsid w:val="009033C0"/>
    <w:rsid w:val="00903806"/>
    <w:rsid w:val="00904BD8"/>
    <w:rsid w:val="00906285"/>
    <w:rsid w:val="0090692A"/>
    <w:rsid w:val="0090700E"/>
    <w:rsid w:val="00907735"/>
    <w:rsid w:val="00907C31"/>
    <w:rsid w:val="00911ADC"/>
    <w:rsid w:val="00911D45"/>
    <w:rsid w:val="009120C5"/>
    <w:rsid w:val="00916791"/>
    <w:rsid w:val="00917632"/>
    <w:rsid w:val="00920A43"/>
    <w:rsid w:val="00920B37"/>
    <w:rsid w:val="00920F4D"/>
    <w:rsid w:val="009221A4"/>
    <w:rsid w:val="00922213"/>
    <w:rsid w:val="00924572"/>
    <w:rsid w:val="0092636F"/>
    <w:rsid w:val="009267C3"/>
    <w:rsid w:val="009278F9"/>
    <w:rsid w:val="00927CAB"/>
    <w:rsid w:val="00930092"/>
    <w:rsid w:val="0093390F"/>
    <w:rsid w:val="00933DA0"/>
    <w:rsid w:val="0093422D"/>
    <w:rsid w:val="00935118"/>
    <w:rsid w:val="009353CC"/>
    <w:rsid w:val="00935683"/>
    <w:rsid w:val="00936F84"/>
    <w:rsid w:val="009371F3"/>
    <w:rsid w:val="009422F9"/>
    <w:rsid w:val="009430F8"/>
    <w:rsid w:val="00943165"/>
    <w:rsid w:val="009440B1"/>
    <w:rsid w:val="00945147"/>
    <w:rsid w:val="009454E1"/>
    <w:rsid w:val="00945CE5"/>
    <w:rsid w:val="00945E04"/>
    <w:rsid w:val="00946E3A"/>
    <w:rsid w:val="00947C6B"/>
    <w:rsid w:val="00947DAB"/>
    <w:rsid w:val="0095149A"/>
    <w:rsid w:val="009521B4"/>
    <w:rsid w:val="0095373F"/>
    <w:rsid w:val="0095423E"/>
    <w:rsid w:val="00955BAE"/>
    <w:rsid w:val="00956B15"/>
    <w:rsid w:val="00960E81"/>
    <w:rsid w:val="009621AE"/>
    <w:rsid w:val="00964981"/>
    <w:rsid w:val="00964AB3"/>
    <w:rsid w:val="00964C0D"/>
    <w:rsid w:val="00964F0D"/>
    <w:rsid w:val="009657EE"/>
    <w:rsid w:val="00970181"/>
    <w:rsid w:val="009704FA"/>
    <w:rsid w:val="00970EE4"/>
    <w:rsid w:val="00971B20"/>
    <w:rsid w:val="0097271E"/>
    <w:rsid w:val="0097327C"/>
    <w:rsid w:val="0097329F"/>
    <w:rsid w:val="0097449A"/>
    <w:rsid w:val="00974B63"/>
    <w:rsid w:val="009756D7"/>
    <w:rsid w:val="00975C2C"/>
    <w:rsid w:val="00976E1E"/>
    <w:rsid w:val="009778E0"/>
    <w:rsid w:val="00980084"/>
    <w:rsid w:val="00980E46"/>
    <w:rsid w:val="00980E56"/>
    <w:rsid w:val="0098157F"/>
    <w:rsid w:val="00984C17"/>
    <w:rsid w:val="009866E5"/>
    <w:rsid w:val="0098678C"/>
    <w:rsid w:val="00987B39"/>
    <w:rsid w:val="00990B2B"/>
    <w:rsid w:val="00990DE5"/>
    <w:rsid w:val="00990E48"/>
    <w:rsid w:val="00990E75"/>
    <w:rsid w:val="00991169"/>
    <w:rsid w:val="00991946"/>
    <w:rsid w:val="009926FC"/>
    <w:rsid w:val="00993321"/>
    <w:rsid w:val="00993967"/>
    <w:rsid w:val="009946F7"/>
    <w:rsid w:val="00994856"/>
    <w:rsid w:val="00995845"/>
    <w:rsid w:val="00996332"/>
    <w:rsid w:val="009969A9"/>
    <w:rsid w:val="00996A51"/>
    <w:rsid w:val="00996BA2"/>
    <w:rsid w:val="009A0101"/>
    <w:rsid w:val="009A069E"/>
    <w:rsid w:val="009A0B96"/>
    <w:rsid w:val="009A1018"/>
    <w:rsid w:val="009A1DD5"/>
    <w:rsid w:val="009A20F3"/>
    <w:rsid w:val="009A3D4A"/>
    <w:rsid w:val="009A65D0"/>
    <w:rsid w:val="009A7DCA"/>
    <w:rsid w:val="009A7F54"/>
    <w:rsid w:val="009B1108"/>
    <w:rsid w:val="009B115A"/>
    <w:rsid w:val="009B15B4"/>
    <w:rsid w:val="009B5E5D"/>
    <w:rsid w:val="009B5E74"/>
    <w:rsid w:val="009B7BB9"/>
    <w:rsid w:val="009C33A4"/>
    <w:rsid w:val="009C40EA"/>
    <w:rsid w:val="009C49CC"/>
    <w:rsid w:val="009C4C6C"/>
    <w:rsid w:val="009C73F5"/>
    <w:rsid w:val="009C7BDF"/>
    <w:rsid w:val="009D0583"/>
    <w:rsid w:val="009D0F61"/>
    <w:rsid w:val="009D353C"/>
    <w:rsid w:val="009D533D"/>
    <w:rsid w:val="009D55B4"/>
    <w:rsid w:val="009D64CC"/>
    <w:rsid w:val="009D6E6F"/>
    <w:rsid w:val="009D7D92"/>
    <w:rsid w:val="009E34AE"/>
    <w:rsid w:val="009E3E8D"/>
    <w:rsid w:val="009E4399"/>
    <w:rsid w:val="009E48A8"/>
    <w:rsid w:val="009E49CA"/>
    <w:rsid w:val="009E4A66"/>
    <w:rsid w:val="009E60E7"/>
    <w:rsid w:val="009E65F5"/>
    <w:rsid w:val="009E6FFE"/>
    <w:rsid w:val="009F019D"/>
    <w:rsid w:val="009F0426"/>
    <w:rsid w:val="009F4052"/>
    <w:rsid w:val="009F534A"/>
    <w:rsid w:val="009F5DC5"/>
    <w:rsid w:val="009F5EE4"/>
    <w:rsid w:val="009F665B"/>
    <w:rsid w:val="009F66DB"/>
    <w:rsid w:val="009F7C5E"/>
    <w:rsid w:val="00A01580"/>
    <w:rsid w:val="00A01BFF"/>
    <w:rsid w:val="00A01D51"/>
    <w:rsid w:val="00A023F8"/>
    <w:rsid w:val="00A0268E"/>
    <w:rsid w:val="00A02DDD"/>
    <w:rsid w:val="00A0423B"/>
    <w:rsid w:val="00A0698F"/>
    <w:rsid w:val="00A069FE"/>
    <w:rsid w:val="00A07653"/>
    <w:rsid w:val="00A10571"/>
    <w:rsid w:val="00A1161C"/>
    <w:rsid w:val="00A12022"/>
    <w:rsid w:val="00A13316"/>
    <w:rsid w:val="00A136DD"/>
    <w:rsid w:val="00A14C8C"/>
    <w:rsid w:val="00A161A8"/>
    <w:rsid w:val="00A20692"/>
    <w:rsid w:val="00A23458"/>
    <w:rsid w:val="00A24316"/>
    <w:rsid w:val="00A24B83"/>
    <w:rsid w:val="00A25365"/>
    <w:rsid w:val="00A254CF"/>
    <w:rsid w:val="00A26E31"/>
    <w:rsid w:val="00A3167F"/>
    <w:rsid w:val="00A31F84"/>
    <w:rsid w:val="00A3350E"/>
    <w:rsid w:val="00A349BC"/>
    <w:rsid w:val="00A34FE1"/>
    <w:rsid w:val="00A3501B"/>
    <w:rsid w:val="00A358EC"/>
    <w:rsid w:val="00A36579"/>
    <w:rsid w:val="00A36ED5"/>
    <w:rsid w:val="00A37B00"/>
    <w:rsid w:val="00A37FE5"/>
    <w:rsid w:val="00A40C03"/>
    <w:rsid w:val="00A40F40"/>
    <w:rsid w:val="00A41272"/>
    <w:rsid w:val="00A42B5B"/>
    <w:rsid w:val="00A43A0F"/>
    <w:rsid w:val="00A47DF6"/>
    <w:rsid w:val="00A5012D"/>
    <w:rsid w:val="00A50271"/>
    <w:rsid w:val="00A5085A"/>
    <w:rsid w:val="00A50F8A"/>
    <w:rsid w:val="00A54466"/>
    <w:rsid w:val="00A54ACF"/>
    <w:rsid w:val="00A55AA0"/>
    <w:rsid w:val="00A601F9"/>
    <w:rsid w:val="00A60BB8"/>
    <w:rsid w:val="00A60C9D"/>
    <w:rsid w:val="00A61551"/>
    <w:rsid w:val="00A61775"/>
    <w:rsid w:val="00A61DE1"/>
    <w:rsid w:val="00A62128"/>
    <w:rsid w:val="00A623E0"/>
    <w:rsid w:val="00A62991"/>
    <w:rsid w:val="00A62B93"/>
    <w:rsid w:val="00A6446F"/>
    <w:rsid w:val="00A64CED"/>
    <w:rsid w:val="00A650E2"/>
    <w:rsid w:val="00A658A3"/>
    <w:rsid w:val="00A66196"/>
    <w:rsid w:val="00A66651"/>
    <w:rsid w:val="00A673CC"/>
    <w:rsid w:val="00A67AF0"/>
    <w:rsid w:val="00A67F78"/>
    <w:rsid w:val="00A70976"/>
    <w:rsid w:val="00A71CD2"/>
    <w:rsid w:val="00A7235E"/>
    <w:rsid w:val="00A724B2"/>
    <w:rsid w:val="00A734E7"/>
    <w:rsid w:val="00A76FE3"/>
    <w:rsid w:val="00A77FE7"/>
    <w:rsid w:val="00A80FCF"/>
    <w:rsid w:val="00A813D3"/>
    <w:rsid w:val="00A82B69"/>
    <w:rsid w:val="00A82F6B"/>
    <w:rsid w:val="00A8723E"/>
    <w:rsid w:val="00A8797E"/>
    <w:rsid w:val="00A90161"/>
    <w:rsid w:val="00A90970"/>
    <w:rsid w:val="00A928FF"/>
    <w:rsid w:val="00A94005"/>
    <w:rsid w:val="00A9433D"/>
    <w:rsid w:val="00A94EFE"/>
    <w:rsid w:val="00A95CB6"/>
    <w:rsid w:val="00A95D1D"/>
    <w:rsid w:val="00A966B1"/>
    <w:rsid w:val="00A96796"/>
    <w:rsid w:val="00A9789C"/>
    <w:rsid w:val="00AA038F"/>
    <w:rsid w:val="00AA137D"/>
    <w:rsid w:val="00AA1864"/>
    <w:rsid w:val="00AA21D3"/>
    <w:rsid w:val="00AA21F5"/>
    <w:rsid w:val="00AA22CB"/>
    <w:rsid w:val="00AA2D82"/>
    <w:rsid w:val="00AA3374"/>
    <w:rsid w:val="00AA3A5B"/>
    <w:rsid w:val="00AA5008"/>
    <w:rsid w:val="00AA5A9A"/>
    <w:rsid w:val="00AA7C1B"/>
    <w:rsid w:val="00AB083F"/>
    <w:rsid w:val="00AB129C"/>
    <w:rsid w:val="00AB3613"/>
    <w:rsid w:val="00AB3A4C"/>
    <w:rsid w:val="00AB56DC"/>
    <w:rsid w:val="00AB7A63"/>
    <w:rsid w:val="00AC0CBB"/>
    <w:rsid w:val="00AC2A80"/>
    <w:rsid w:val="00AC34DA"/>
    <w:rsid w:val="00AC5231"/>
    <w:rsid w:val="00AC5E67"/>
    <w:rsid w:val="00AC64A0"/>
    <w:rsid w:val="00AD034A"/>
    <w:rsid w:val="00AD1243"/>
    <w:rsid w:val="00AD14B4"/>
    <w:rsid w:val="00AD169C"/>
    <w:rsid w:val="00AD2450"/>
    <w:rsid w:val="00AD2E40"/>
    <w:rsid w:val="00AD5904"/>
    <w:rsid w:val="00AD65BE"/>
    <w:rsid w:val="00AD6A38"/>
    <w:rsid w:val="00AD72B4"/>
    <w:rsid w:val="00AD7AA1"/>
    <w:rsid w:val="00AE3104"/>
    <w:rsid w:val="00AE43AD"/>
    <w:rsid w:val="00AE43BB"/>
    <w:rsid w:val="00AE4815"/>
    <w:rsid w:val="00AE53A6"/>
    <w:rsid w:val="00AE6B64"/>
    <w:rsid w:val="00AE6BB5"/>
    <w:rsid w:val="00AE73DC"/>
    <w:rsid w:val="00AE7710"/>
    <w:rsid w:val="00AF189B"/>
    <w:rsid w:val="00AF2CE8"/>
    <w:rsid w:val="00AF704D"/>
    <w:rsid w:val="00AF70F9"/>
    <w:rsid w:val="00AF7CEE"/>
    <w:rsid w:val="00AF7E69"/>
    <w:rsid w:val="00AF7F6F"/>
    <w:rsid w:val="00B00CC3"/>
    <w:rsid w:val="00B0265A"/>
    <w:rsid w:val="00B04A14"/>
    <w:rsid w:val="00B05053"/>
    <w:rsid w:val="00B056CC"/>
    <w:rsid w:val="00B058B6"/>
    <w:rsid w:val="00B075D7"/>
    <w:rsid w:val="00B13AB1"/>
    <w:rsid w:val="00B14AB5"/>
    <w:rsid w:val="00B14D9C"/>
    <w:rsid w:val="00B155FE"/>
    <w:rsid w:val="00B15A4C"/>
    <w:rsid w:val="00B15CA6"/>
    <w:rsid w:val="00B15F8D"/>
    <w:rsid w:val="00B17819"/>
    <w:rsid w:val="00B206C1"/>
    <w:rsid w:val="00B2202B"/>
    <w:rsid w:val="00B221B5"/>
    <w:rsid w:val="00B22BD9"/>
    <w:rsid w:val="00B2454C"/>
    <w:rsid w:val="00B247F2"/>
    <w:rsid w:val="00B2544B"/>
    <w:rsid w:val="00B26FCB"/>
    <w:rsid w:val="00B2734A"/>
    <w:rsid w:val="00B3244C"/>
    <w:rsid w:val="00B325C4"/>
    <w:rsid w:val="00B32682"/>
    <w:rsid w:val="00B33638"/>
    <w:rsid w:val="00B33C05"/>
    <w:rsid w:val="00B3469B"/>
    <w:rsid w:val="00B34A94"/>
    <w:rsid w:val="00B35B95"/>
    <w:rsid w:val="00B36150"/>
    <w:rsid w:val="00B37A83"/>
    <w:rsid w:val="00B40D0E"/>
    <w:rsid w:val="00B41B58"/>
    <w:rsid w:val="00B43A9F"/>
    <w:rsid w:val="00B44127"/>
    <w:rsid w:val="00B44CBF"/>
    <w:rsid w:val="00B44EBE"/>
    <w:rsid w:val="00B461A6"/>
    <w:rsid w:val="00B46352"/>
    <w:rsid w:val="00B50B25"/>
    <w:rsid w:val="00B51261"/>
    <w:rsid w:val="00B54171"/>
    <w:rsid w:val="00B5600F"/>
    <w:rsid w:val="00B56CB1"/>
    <w:rsid w:val="00B60534"/>
    <w:rsid w:val="00B60C2E"/>
    <w:rsid w:val="00B6124E"/>
    <w:rsid w:val="00B622E5"/>
    <w:rsid w:val="00B62D08"/>
    <w:rsid w:val="00B63DA3"/>
    <w:rsid w:val="00B63EBC"/>
    <w:rsid w:val="00B64063"/>
    <w:rsid w:val="00B6763B"/>
    <w:rsid w:val="00B705F2"/>
    <w:rsid w:val="00B70AB8"/>
    <w:rsid w:val="00B70FE4"/>
    <w:rsid w:val="00B72569"/>
    <w:rsid w:val="00B728C5"/>
    <w:rsid w:val="00B72FDD"/>
    <w:rsid w:val="00B7456C"/>
    <w:rsid w:val="00B7458D"/>
    <w:rsid w:val="00B745F4"/>
    <w:rsid w:val="00B74F8E"/>
    <w:rsid w:val="00B75545"/>
    <w:rsid w:val="00B762E2"/>
    <w:rsid w:val="00B76645"/>
    <w:rsid w:val="00B771CD"/>
    <w:rsid w:val="00B81AB0"/>
    <w:rsid w:val="00B81C0A"/>
    <w:rsid w:val="00B8241D"/>
    <w:rsid w:val="00B83F74"/>
    <w:rsid w:val="00B843B9"/>
    <w:rsid w:val="00B8447F"/>
    <w:rsid w:val="00B844B7"/>
    <w:rsid w:val="00B84AD1"/>
    <w:rsid w:val="00B850B8"/>
    <w:rsid w:val="00B85AD1"/>
    <w:rsid w:val="00B91104"/>
    <w:rsid w:val="00B91ABD"/>
    <w:rsid w:val="00B92DCF"/>
    <w:rsid w:val="00B94CCA"/>
    <w:rsid w:val="00B95AD8"/>
    <w:rsid w:val="00B9640C"/>
    <w:rsid w:val="00B965D7"/>
    <w:rsid w:val="00B9670A"/>
    <w:rsid w:val="00B9709B"/>
    <w:rsid w:val="00B9738E"/>
    <w:rsid w:val="00B97A62"/>
    <w:rsid w:val="00BA016E"/>
    <w:rsid w:val="00BA04EA"/>
    <w:rsid w:val="00BA246F"/>
    <w:rsid w:val="00BA35CC"/>
    <w:rsid w:val="00BA38F7"/>
    <w:rsid w:val="00BA3B98"/>
    <w:rsid w:val="00BA415E"/>
    <w:rsid w:val="00BA5D1C"/>
    <w:rsid w:val="00BA60BB"/>
    <w:rsid w:val="00BA62C3"/>
    <w:rsid w:val="00BA6D82"/>
    <w:rsid w:val="00BB0472"/>
    <w:rsid w:val="00BB10E1"/>
    <w:rsid w:val="00BB12FE"/>
    <w:rsid w:val="00BB1BA6"/>
    <w:rsid w:val="00BB259D"/>
    <w:rsid w:val="00BB2A34"/>
    <w:rsid w:val="00BB4D90"/>
    <w:rsid w:val="00BB5D94"/>
    <w:rsid w:val="00BB5DF6"/>
    <w:rsid w:val="00BB75BE"/>
    <w:rsid w:val="00BB79F6"/>
    <w:rsid w:val="00BC03B1"/>
    <w:rsid w:val="00BC19CC"/>
    <w:rsid w:val="00BC2001"/>
    <w:rsid w:val="00BC24BF"/>
    <w:rsid w:val="00BC33ED"/>
    <w:rsid w:val="00BC4B9F"/>
    <w:rsid w:val="00BC6D2B"/>
    <w:rsid w:val="00BC74C4"/>
    <w:rsid w:val="00BD0DD5"/>
    <w:rsid w:val="00BD1758"/>
    <w:rsid w:val="00BD2A9C"/>
    <w:rsid w:val="00BD2D3C"/>
    <w:rsid w:val="00BD2E25"/>
    <w:rsid w:val="00BD37C8"/>
    <w:rsid w:val="00BD3CEA"/>
    <w:rsid w:val="00BD4776"/>
    <w:rsid w:val="00BD63FF"/>
    <w:rsid w:val="00BD6602"/>
    <w:rsid w:val="00BD6AF3"/>
    <w:rsid w:val="00BD70ED"/>
    <w:rsid w:val="00BD7229"/>
    <w:rsid w:val="00BD7C49"/>
    <w:rsid w:val="00BD7F31"/>
    <w:rsid w:val="00BE00CC"/>
    <w:rsid w:val="00BE055D"/>
    <w:rsid w:val="00BE0A4E"/>
    <w:rsid w:val="00BE0DA4"/>
    <w:rsid w:val="00BE0F9D"/>
    <w:rsid w:val="00BE2602"/>
    <w:rsid w:val="00BE3243"/>
    <w:rsid w:val="00BE354F"/>
    <w:rsid w:val="00BE3FC6"/>
    <w:rsid w:val="00BE4BAC"/>
    <w:rsid w:val="00BE530F"/>
    <w:rsid w:val="00BE5712"/>
    <w:rsid w:val="00BE7750"/>
    <w:rsid w:val="00BE7819"/>
    <w:rsid w:val="00BE7A65"/>
    <w:rsid w:val="00BF007B"/>
    <w:rsid w:val="00BF099A"/>
    <w:rsid w:val="00BF4035"/>
    <w:rsid w:val="00BF48C3"/>
    <w:rsid w:val="00BF5E09"/>
    <w:rsid w:val="00BF6A95"/>
    <w:rsid w:val="00BF7707"/>
    <w:rsid w:val="00C00710"/>
    <w:rsid w:val="00C012D1"/>
    <w:rsid w:val="00C01545"/>
    <w:rsid w:val="00C0256F"/>
    <w:rsid w:val="00C02772"/>
    <w:rsid w:val="00C02F55"/>
    <w:rsid w:val="00C03376"/>
    <w:rsid w:val="00C03BE7"/>
    <w:rsid w:val="00C05249"/>
    <w:rsid w:val="00C063C3"/>
    <w:rsid w:val="00C07E8E"/>
    <w:rsid w:val="00C10ED3"/>
    <w:rsid w:val="00C1143E"/>
    <w:rsid w:val="00C11612"/>
    <w:rsid w:val="00C11940"/>
    <w:rsid w:val="00C127DE"/>
    <w:rsid w:val="00C12BFF"/>
    <w:rsid w:val="00C13291"/>
    <w:rsid w:val="00C13FAE"/>
    <w:rsid w:val="00C1582A"/>
    <w:rsid w:val="00C16149"/>
    <w:rsid w:val="00C178E3"/>
    <w:rsid w:val="00C21016"/>
    <w:rsid w:val="00C21761"/>
    <w:rsid w:val="00C2238F"/>
    <w:rsid w:val="00C224F5"/>
    <w:rsid w:val="00C24948"/>
    <w:rsid w:val="00C261DC"/>
    <w:rsid w:val="00C268BB"/>
    <w:rsid w:val="00C268F4"/>
    <w:rsid w:val="00C27041"/>
    <w:rsid w:val="00C27BFB"/>
    <w:rsid w:val="00C27DF5"/>
    <w:rsid w:val="00C302BC"/>
    <w:rsid w:val="00C326EB"/>
    <w:rsid w:val="00C32924"/>
    <w:rsid w:val="00C32D53"/>
    <w:rsid w:val="00C33C0A"/>
    <w:rsid w:val="00C35CE2"/>
    <w:rsid w:val="00C35E13"/>
    <w:rsid w:val="00C36894"/>
    <w:rsid w:val="00C36A62"/>
    <w:rsid w:val="00C435AC"/>
    <w:rsid w:val="00C45E7A"/>
    <w:rsid w:val="00C46F63"/>
    <w:rsid w:val="00C4762E"/>
    <w:rsid w:val="00C50404"/>
    <w:rsid w:val="00C5054A"/>
    <w:rsid w:val="00C50EDF"/>
    <w:rsid w:val="00C52FED"/>
    <w:rsid w:val="00C5351F"/>
    <w:rsid w:val="00C53734"/>
    <w:rsid w:val="00C539FB"/>
    <w:rsid w:val="00C53C2A"/>
    <w:rsid w:val="00C54B21"/>
    <w:rsid w:val="00C561BC"/>
    <w:rsid w:val="00C566FB"/>
    <w:rsid w:val="00C56FEF"/>
    <w:rsid w:val="00C56FF4"/>
    <w:rsid w:val="00C61227"/>
    <w:rsid w:val="00C6157D"/>
    <w:rsid w:val="00C61D07"/>
    <w:rsid w:val="00C62668"/>
    <w:rsid w:val="00C63C88"/>
    <w:rsid w:val="00C63F26"/>
    <w:rsid w:val="00C64C54"/>
    <w:rsid w:val="00C65238"/>
    <w:rsid w:val="00C70F04"/>
    <w:rsid w:val="00C72068"/>
    <w:rsid w:val="00C74131"/>
    <w:rsid w:val="00C74E0F"/>
    <w:rsid w:val="00C75D5A"/>
    <w:rsid w:val="00C75E27"/>
    <w:rsid w:val="00C75EE6"/>
    <w:rsid w:val="00C75F9B"/>
    <w:rsid w:val="00C7666C"/>
    <w:rsid w:val="00C768D3"/>
    <w:rsid w:val="00C770F2"/>
    <w:rsid w:val="00C7762C"/>
    <w:rsid w:val="00C776A0"/>
    <w:rsid w:val="00C8266F"/>
    <w:rsid w:val="00C83548"/>
    <w:rsid w:val="00C859BE"/>
    <w:rsid w:val="00C86437"/>
    <w:rsid w:val="00C86618"/>
    <w:rsid w:val="00C86EA4"/>
    <w:rsid w:val="00C87225"/>
    <w:rsid w:val="00C872F4"/>
    <w:rsid w:val="00C87909"/>
    <w:rsid w:val="00C91648"/>
    <w:rsid w:val="00C9408B"/>
    <w:rsid w:val="00C948F5"/>
    <w:rsid w:val="00C94EDE"/>
    <w:rsid w:val="00C950DD"/>
    <w:rsid w:val="00C95900"/>
    <w:rsid w:val="00C9659F"/>
    <w:rsid w:val="00C97255"/>
    <w:rsid w:val="00C97321"/>
    <w:rsid w:val="00CA0692"/>
    <w:rsid w:val="00CA0CD3"/>
    <w:rsid w:val="00CA0CEB"/>
    <w:rsid w:val="00CA1438"/>
    <w:rsid w:val="00CA1C2C"/>
    <w:rsid w:val="00CA3468"/>
    <w:rsid w:val="00CA5425"/>
    <w:rsid w:val="00CA629D"/>
    <w:rsid w:val="00CA6D70"/>
    <w:rsid w:val="00CA7B88"/>
    <w:rsid w:val="00CB01DA"/>
    <w:rsid w:val="00CB07DE"/>
    <w:rsid w:val="00CB09E7"/>
    <w:rsid w:val="00CB1A82"/>
    <w:rsid w:val="00CB1AB8"/>
    <w:rsid w:val="00CB3696"/>
    <w:rsid w:val="00CB4082"/>
    <w:rsid w:val="00CB459B"/>
    <w:rsid w:val="00CB571B"/>
    <w:rsid w:val="00CB5AB3"/>
    <w:rsid w:val="00CB6C6E"/>
    <w:rsid w:val="00CB6F27"/>
    <w:rsid w:val="00CB7E48"/>
    <w:rsid w:val="00CB7FE1"/>
    <w:rsid w:val="00CC075B"/>
    <w:rsid w:val="00CC0866"/>
    <w:rsid w:val="00CC0CAD"/>
    <w:rsid w:val="00CC0F4E"/>
    <w:rsid w:val="00CC11BD"/>
    <w:rsid w:val="00CC18D6"/>
    <w:rsid w:val="00CC24D0"/>
    <w:rsid w:val="00CC4689"/>
    <w:rsid w:val="00CC5289"/>
    <w:rsid w:val="00CC54EB"/>
    <w:rsid w:val="00CC703F"/>
    <w:rsid w:val="00CC706B"/>
    <w:rsid w:val="00CC73DD"/>
    <w:rsid w:val="00CC7777"/>
    <w:rsid w:val="00CD0671"/>
    <w:rsid w:val="00CD06BE"/>
    <w:rsid w:val="00CD0F03"/>
    <w:rsid w:val="00CD1AC2"/>
    <w:rsid w:val="00CD1AD4"/>
    <w:rsid w:val="00CD1BD7"/>
    <w:rsid w:val="00CD1DE1"/>
    <w:rsid w:val="00CD2095"/>
    <w:rsid w:val="00CD426F"/>
    <w:rsid w:val="00CD45B0"/>
    <w:rsid w:val="00CE01FC"/>
    <w:rsid w:val="00CE0C34"/>
    <w:rsid w:val="00CE0CA4"/>
    <w:rsid w:val="00CE0F40"/>
    <w:rsid w:val="00CE12F5"/>
    <w:rsid w:val="00CE1608"/>
    <w:rsid w:val="00CE17C9"/>
    <w:rsid w:val="00CE1DF7"/>
    <w:rsid w:val="00CE28E8"/>
    <w:rsid w:val="00CE4482"/>
    <w:rsid w:val="00CE4893"/>
    <w:rsid w:val="00CE4C8C"/>
    <w:rsid w:val="00CE5744"/>
    <w:rsid w:val="00CE7F07"/>
    <w:rsid w:val="00CF07A5"/>
    <w:rsid w:val="00CF0DB6"/>
    <w:rsid w:val="00CF15E7"/>
    <w:rsid w:val="00CF171E"/>
    <w:rsid w:val="00CF1732"/>
    <w:rsid w:val="00CF533D"/>
    <w:rsid w:val="00CF551C"/>
    <w:rsid w:val="00CF5F2A"/>
    <w:rsid w:val="00CF667E"/>
    <w:rsid w:val="00CF75FB"/>
    <w:rsid w:val="00CF7986"/>
    <w:rsid w:val="00D008E3"/>
    <w:rsid w:val="00D00FFE"/>
    <w:rsid w:val="00D05101"/>
    <w:rsid w:val="00D0533C"/>
    <w:rsid w:val="00D06976"/>
    <w:rsid w:val="00D07BD8"/>
    <w:rsid w:val="00D07EA5"/>
    <w:rsid w:val="00D10EA2"/>
    <w:rsid w:val="00D11009"/>
    <w:rsid w:val="00D119C2"/>
    <w:rsid w:val="00D12DA6"/>
    <w:rsid w:val="00D14F38"/>
    <w:rsid w:val="00D1616F"/>
    <w:rsid w:val="00D161C0"/>
    <w:rsid w:val="00D16D89"/>
    <w:rsid w:val="00D21BAC"/>
    <w:rsid w:val="00D21C70"/>
    <w:rsid w:val="00D226F1"/>
    <w:rsid w:val="00D22ED2"/>
    <w:rsid w:val="00D23D8F"/>
    <w:rsid w:val="00D23FEB"/>
    <w:rsid w:val="00D23FED"/>
    <w:rsid w:val="00D252B3"/>
    <w:rsid w:val="00D258D9"/>
    <w:rsid w:val="00D25B6E"/>
    <w:rsid w:val="00D3076A"/>
    <w:rsid w:val="00D30DEE"/>
    <w:rsid w:val="00D31737"/>
    <w:rsid w:val="00D32B0C"/>
    <w:rsid w:val="00D33705"/>
    <w:rsid w:val="00D33920"/>
    <w:rsid w:val="00D33A8A"/>
    <w:rsid w:val="00D33B8F"/>
    <w:rsid w:val="00D34CD7"/>
    <w:rsid w:val="00D35813"/>
    <w:rsid w:val="00D36123"/>
    <w:rsid w:val="00D3672D"/>
    <w:rsid w:val="00D36A8C"/>
    <w:rsid w:val="00D371DA"/>
    <w:rsid w:val="00D40DD1"/>
    <w:rsid w:val="00D4148C"/>
    <w:rsid w:val="00D41A00"/>
    <w:rsid w:val="00D424B8"/>
    <w:rsid w:val="00D436B8"/>
    <w:rsid w:val="00D4434A"/>
    <w:rsid w:val="00D44A68"/>
    <w:rsid w:val="00D45ADC"/>
    <w:rsid w:val="00D479D4"/>
    <w:rsid w:val="00D503EA"/>
    <w:rsid w:val="00D5055E"/>
    <w:rsid w:val="00D50A39"/>
    <w:rsid w:val="00D50A45"/>
    <w:rsid w:val="00D511E9"/>
    <w:rsid w:val="00D51456"/>
    <w:rsid w:val="00D515C5"/>
    <w:rsid w:val="00D545F7"/>
    <w:rsid w:val="00D557C7"/>
    <w:rsid w:val="00D5594E"/>
    <w:rsid w:val="00D55A78"/>
    <w:rsid w:val="00D5677F"/>
    <w:rsid w:val="00D569CA"/>
    <w:rsid w:val="00D57B63"/>
    <w:rsid w:val="00D6008D"/>
    <w:rsid w:val="00D615EC"/>
    <w:rsid w:val="00D6274C"/>
    <w:rsid w:val="00D62835"/>
    <w:rsid w:val="00D63897"/>
    <w:rsid w:val="00D63A8A"/>
    <w:rsid w:val="00D6549E"/>
    <w:rsid w:val="00D65C55"/>
    <w:rsid w:val="00D661F0"/>
    <w:rsid w:val="00D6691A"/>
    <w:rsid w:val="00D67277"/>
    <w:rsid w:val="00D7202A"/>
    <w:rsid w:val="00D72777"/>
    <w:rsid w:val="00D7299C"/>
    <w:rsid w:val="00D73002"/>
    <w:rsid w:val="00D7302C"/>
    <w:rsid w:val="00D754E0"/>
    <w:rsid w:val="00D76BD4"/>
    <w:rsid w:val="00D77DDB"/>
    <w:rsid w:val="00D80FC9"/>
    <w:rsid w:val="00D81D3D"/>
    <w:rsid w:val="00D81D97"/>
    <w:rsid w:val="00D8222A"/>
    <w:rsid w:val="00D843D9"/>
    <w:rsid w:val="00D84846"/>
    <w:rsid w:val="00D86367"/>
    <w:rsid w:val="00D86A94"/>
    <w:rsid w:val="00D870CF"/>
    <w:rsid w:val="00D877E7"/>
    <w:rsid w:val="00D87F61"/>
    <w:rsid w:val="00D90B5A"/>
    <w:rsid w:val="00D916FA"/>
    <w:rsid w:val="00D91A99"/>
    <w:rsid w:val="00D92214"/>
    <w:rsid w:val="00D92384"/>
    <w:rsid w:val="00D925F7"/>
    <w:rsid w:val="00D9414C"/>
    <w:rsid w:val="00D96195"/>
    <w:rsid w:val="00D968BE"/>
    <w:rsid w:val="00DA143F"/>
    <w:rsid w:val="00DA15B5"/>
    <w:rsid w:val="00DA1682"/>
    <w:rsid w:val="00DA1C11"/>
    <w:rsid w:val="00DA30F4"/>
    <w:rsid w:val="00DA363F"/>
    <w:rsid w:val="00DA4434"/>
    <w:rsid w:val="00DA488F"/>
    <w:rsid w:val="00DA4FBC"/>
    <w:rsid w:val="00DA541C"/>
    <w:rsid w:val="00DA547D"/>
    <w:rsid w:val="00DA6CEE"/>
    <w:rsid w:val="00DA72D2"/>
    <w:rsid w:val="00DA7965"/>
    <w:rsid w:val="00DB02A9"/>
    <w:rsid w:val="00DB07FB"/>
    <w:rsid w:val="00DB12ED"/>
    <w:rsid w:val="00DB1326"/>
    <w:rsid w:val="00DB2547"/>
    <w:rsid w:val="00DB3DD8"/>
    <w:rsid w:val="00DB6953"/>
    <w:rsid w:val="00DB7DE0"/>
    <w:rsid w:val="00DC0B89"/>
    <w:rsid w:val="00DC15E6"/>
    <w:rsid w:val="00DC1F02"/>
    <w:rsid w:val="00DC22D9"/>
    <w:rsid w:val="00DC31DE"/>
    <w:rsid w:val="00DC46C9"/>
    <w:rsid w:val="00DC4E7F"/>
    <w:rsid w:val="00DC5639"/>
    <w:rsid w:val="00DC67AB"/>
    <w:rsid w:val="00DD0EAE"/>
    <w:rsid w:val="00DD1BB1"/>
    <w:rsid w:val="00DD1EE7"/>
    <w:rsid w:val="00DD25C1"/>
    <w:rsid w:val="00DD30E6"/>
    <w:rsid w:val="00DD3916"/>
    <w:rsid w:val="00DD6B24"/>
    <w:rsid w:val="00DD7C34"/>
    <w:rsid w:val="00DD7FD1"/>
    <w:rsid w:val="00DE084E"/>
    <w:rsid w:val="00DE1B2C"/>
    <w:rsid w:val="00DE4C96"/>
    <w:rsid w:val="00DE7A5C"/>
    <w:rsid w:val="00DE7C03"/>
    <w:rsid w:val="00DF0A34"/>
    <w:rsid w:val="00DF1268"/>
    <w:rsid w:val="00DF1E55"/>
    <w:rsid w:val="00DF5152"/>
    <w:rsid w:val="00DF5E25"/>
    <w:rsid w:val="00DF63FB"/>
    <w:rsid w:val="00DF745B"/>
    <w:rsid w:val="00DF7F4C"/>
    <w:rsid w:val="00E012DF"/>
    <w:rsid w:val="00E022A9"/>
    <w:rsid w:val="00E02497"/>
    <w:rsid w:val="00E02EEE"/>
    <w:rsid w:val="00E0335A"/>
    <w:rsid w:val="00E03905"/>
    <w:rsid w:val="00E039B7"/>
    <w:rsid w:val="00E03AA3"/>
    <w:rsid w:val="00E049D4"/>
    <w:rsid w:val="00E04BAA"/>
    <w:rsid w:val="00E055C2"/>
    <w:rsid w:val="00E07128"/>
    <w:rsid w:val="00E12802"/>
    <w:rsid w:val="00E12F87"/>
    <w:rsid w:val="00E13207"/>
    <w:rsid w:val="00E14619"/>
    <w:rsid w:val="00E1527D"/>
    <w:rsid w:val="00E16566"/>
    <w:rsid w:val="00E166FB"/>
    <w:rsid w:val="00E167FF"/>
    <w:rsid w:val="00E17A94"/>
    <w:rsid w:val="00E2147C"/>
    <w:rsid w:val="00E23C29"/>
    <w:rsid w:val="00E23EA4"/>
    <w:rsid w:val="00E23FFC"/>
    <w:rsid w:val="00E26F1E"/>
    <w:rsid w:val="00E27C2A"/>
    <w:rsid w:val="00E27C42"/>
    <w:rsid w:val="00E301CF"/>
    <w:rsid w:val="00E31F7A"/>
    <w:rsid w:val="00E3367D"/>
    <w:rsid w:val="00E36984"/>
    <w:rsid w:val="00E373AC"/>
    <w:rsid w:val="00E37BB5"/>
    <w:rsid w:val="00E37F8C"/>
    <w:rsid w:val="00E4062F"/>
    <w:rsid w:val="00E4131E"/>
    <w:rsid w:val="00E41BFB"/>
    <w:rsid w:val="00E42061"/>
    <w:rsid w:val="00E424F3"/>
    <w:rsid w:val="00E4406D"/>
    <w:rsid w:val="00E440AB"/>
    <w:rsid w:val="00E449FD"/>
    <w:rsid w:val="00E45B6C"/>
    <w:rsid w:val="00E46055"/>
    <w:rsid w:val="00E46CB1"/>
    <w:rsid w:val="00E501C9"/>
    <w:rsid w:val="00E519BA"/>
    <w:rsid w:val="00E53B23"/>
    <w:rsid w:val="00E5484A"/>
    <w:rsid w:val="00E55CD7"/>
    <w:rsid w:val="00E561AD"/>
    <w:rsid w:val="00E56767"/>
    <w:rsid w:val="00E56F21"/>
    <w:rsid w:val="00E601EF"/>
    <w:rsid w:val="00E60670"/>
    <w:rsid w:val="00E60EB9"/>
    <w:rsid w:val="00E61389"/>
    <w:rsid w:val="00E632CB"/>
    <w:rsid w:val="00E63B72"/>
    <w:rsid w:val="00E63B79"/>
    <w:rsid w:val="00E668D9"/>
    <w:rsid w:val="00E66F43"/>
    <w:rsid w:val="00E67620"/>
    <w:rsid w:val="00E702C2"/>
    <w:rsid w:val="00E71F61"/>
    <w:rsid w:val="00E72811"/>
    <w:rsid w:val="00E72CB2"/>
    <w:rsid w:val="00E73AD4"/>
    <w:rsid w:val="00E80093"/>
    <w:rsid w:val="00E81967"/>
    <w:rsid w:val="00E82306"/>
    <w:rsid w:val="00E823A7"/>
    <w:rsid w:val="00E83065"/>
    <w:rsid w:val="00E832D7"/>
    <w:rsid w:val="00E838BF"/>
    <w:rsid w:val="00E83D72"/>
    <w:rsid w:val="00E8589D"/>
    <w:rsid w:val="00E86C99"/>
    <w:rsid w:val="00E86D49"/>
    <w:rsid w:val="00E8721F"/>
    <w:rsid w:val="00E87537"/>
    <w:rsid w:val="00E92BE7"/>
    <w:rsid w:val="00E942CF"/>
    <w:rsid w:val="00E943EC"/>
    <w:rsid w:val="00E94D1D"/>
    <w:rsid w:val="00E95EB8"/>
    <w:rsid w:val="00E96D02"/>
    <w:rsid w:val="00E97147"/>
    <w:rsid w:val="00E97430"/>
    <w:rsid w:val="00E978B6"/>
    <w:rsid w:val="00E97B76"/>
    <w:rsid w:val="00EA0D4A"/>
    <w:rsid w:val="00EA0EF7"/>
    <w:rsid w:val="00EA1037"/>
    <w:rsid w:val="00EA1F58"/>
    <w:rsid w:val="00EA29C4"/>
    <w:rsid w:val="00EA2D3A"/>
    <w:rsid w:val="00EA2DF8"/>
    <w:rsid w:val="00EA3422"/>
    <w:rsid w:val="00EA375F"/>
    <w:rsid w:val="00EA3C09"/>
    <w:rsid w:val="00EA3C9E"/>
    <w:rsid w:val="00EA435E"/>
    <w:rsid w:val="00EA5289"/>
    <w:rsid w:val="00EA52A9"/>
    <w:rsid w:val="00EA5C30"/>
    <w:rsid w:val="00EA626E"/>
    <w:rsid w:val="00EA7832"/>
    <w:rsid w:val="00EB1269"/>
    <w:rsid w:val="00EB1850"/>
    <w:rsid w:val="00EB26A0"/>
    <w:rsid w:val="00EB382B"/>
    <w:rsid w:val="00EB5F9F"/>
    <w:rsid w:val="00EB62E4"/>
    <w:rsid w:val="00EB7ACF"/>
    <w:rsid w:val="00EC00A2"/>
    <w:rsid w:val="00EC0376"/>
    <w:rsid w:val="00EC0C4A"/>
    <w:rsid w:val="00EC2203"/>
    <w:rsid w:val="00EC3394"/>
    <w:rsid w:val="00EC3951"/>
    <w:rsid w:val="00EC3CCC"/>
    <w:rsid w:val="00EC421A"/>
    <w:rsid w:val="00EC589B"/>
    <w:rsid w:val="00EC69BA"/>
    <w:rsid w:val="00ED0EA7"/>
    <w:rsid w:val="00ED1137"/>
    <w:rsid w:val="00ED17C4"/>
    <w:rsid w:val="00ED1AEF"/>
    <w:rsid w:val="00ED219E"/>
    <w:rsid w:val="00ED2D97"/>
    <w:rsid w:val="00ED40C7"/>
    <w:rsid w:val="00ED4A6F"/>
    <w:rsid w:val="00ED57BA"/>
    <w:rsid w:val="00ED6136"/>
    <w:rsid w:val="00ED79CF"/>
    <w:rsid w:val="00EE0057"/>
    <w:rsid w:val="00EE1DAE"/>
    <w:rsid w:val="00EE1E12"/>
    <w:rsid w:val="00EE2213"/>
    <w:rsid w:val="00EE3119"/>
    <w:rsid w:val="00EE34BB"/>
    <w:rsid w:val="00EE3EB9"/>
    <w:rsid w:val="00EE444B"/>
    <w:rsid w:val="00EE5EA4"/>
    <w:rsid w:val="00EF002E"/>
    <w:rsid w:val="00EF11DF"/>
    <w:rsid w:val="00EF14BD"/>
    <w:rsid w:val="00EF1F5B"/>
    <w:rsid w:val="00EF22AA"/>
    <w:rsid w:val="00EF31E7"/>
    <w:rsid w:val="00EF497F"/>
    <w:rsid w:val="00EF4EF8"/>
    <w:rsid w:val="00EF5F48"/>
    <w:rsid w:val="00EF6267"/>
    <w:rsid w:val="00EF6820"/>
    <w:rsid w:val="00EF717B"/>
    <w:rsid w:val="00F01437"/>
    <w:rsid w:val="00F01A63"/>
    <w:rsid w:val="00F01C3C"/>
    <w:rsid w:val="00F030E1"/>
    <w:rsid w:val="00F03965"/>
    <w:rsid w:val="00F05220"/>
    <w:rsid w:val="00F05815"/>
    <w:rsid w:val="00F06549"/>
    <w:rsid w:val="00F07044"/>
    <w:rsid w:val="00F07986"/>
    <w:rsid w:val="00F1118B"/>
    <w:rsid w:val="00F11762"/>
    <w:rsid w:val="00F153EF"/>
    <w:rsid w:val="00F22077"/>
    <w:rsid w:val="00F224A0"/>
    <w:rsid w:val="00F22614"/>
    <w:rsid w:val="00F23B75"/>
    <w:rsid w:val="00F249DA"/>
    <w:rsid w:val="00F251BE"/>
    <w:rsid w:val="00F26244"/>
    <w:rsid w:val="00F26645"/>
    <w:rsid w:val="00F27EFB"/>
    <w:rsid w:val="00F30362"/>
    <w:rsid w:val="00F314E1"/>
    <w:rsid w:val="00F33AE7"/>
    <w:rsid w:val="00F34521"/>
    <w:rsid w:val="00F3505B"/>
    <w:rsid w:val="00F35767"/>
    <w:rsid w:val="00F357B2"/>
    <w:rsid w:val="00F3632E"/>
    <w:rsid w:val="00F36DA2"/>
    <w:rsid w:val="00F37865"/>
    <w:rsid w:val="00F37E95"/>
    <w:rsid w:val="00F40920"/>
    <w:rsid w:val="00F40BBC"/>
    <w:rsid w:val="00F410C0"/>
    <w:rsid w:val="00F41577"/>
    <w:rsid w:val="00F4169D"/>
    <w:rsid w:val="00F43D33"/>
    <w:rsid w:val="00F46F72"/>
    <w:rsid w:val="00F46F83"/>
    <w:rsid w:val="00F47184"/>
    <w:rsid w:val="00F50CFA"/>
    <w:rsid w:val="00F514AA"/>
    <w:rsid w:val="00F51BBF"/>
    <w:rsid w:val="00F53DB5"/>
    <w:rsid w:val="00F5521A"/>
    <w:rsid w:val="00F56068"/>
    <w:rsid w:val="00F57CC6"/>
    <w:rsid w:val="00F6044E"/>
    <w:rsid w:val="00F6258B"/>
    <w:rsid w:val="00F62EC5"/>
    <w:rsid w:val="00F632DF"/>
    <w:rsid w:val="00F63F2A"/>
    <w:rsid w:val="00F6478D"/>
    <w:rsid w:val="00F67501"/>
    <w:rsid w:val="00F71CAC"/>
    <w:rsid w:val="00F71FDE"/>
    <w:rsid w:val="00F72867"/>
    <w:rsid w:val="00F73CB9"/>
    <w:rsid w:val="00F748ED"/>
    <w:rsid w:val="00F7556A"/>
    <w:rsid w:val="00F75868"/>
    <w:rsid w:val="00F76EE9"/>
    <w:rsid w:val="00F805AE"/>
    <w:rsid w:val="00F80AB9"/>
    <w:rsid w:val="00F8132B"/>
    <w:rsid w:val="00F840EB"/>
    <w:rsid w:val="00F8490D"/>
    <w:rsid w:val="00F859E0"/>
    <w:rsid w:val="00F90893"/>
    <w:rsid w:val="00F92C4C"/>
    <w:rsid w:val="00F93A93"/>
    <w:rsid w:val="00F9424C"/>
    <w:rsid w:val="00F946AB"/>
    <w:rsid w:val="00F95FB2"/>
    <w:rsid w:val="00F97910"/>
    <w:rsid w:val="00F97A64"/>
    <w:rsid w:val="00FA054E"/>
    <w:rsid w:val="00FA0C97"/>
    <w:rsid w:val="00FA16EC"/>
    <w:rsid w:val="00FA31A9"/>
    <w:rsid w:val="00FA3BFF"/>
    <w:rsid w:val="00FA4634"/>
    <w:rsid w:val="00FA4EE4"/>
    <w:rsid w:val="00FA5AA9"/>
    <w:rsid w:val="00FA5E77"/>
    <w:rsid w:val="00FA6A81"/>
    <w:rsid w:val="00FA7FDB"/>
    <w:rsid w:val="00FB114C"/>
    <w:rsid w:val="00FB1921"/>
    <w:rsid w:val="00FB23DF"/>
    <w:rsid w:val="00FB287A"/>
    <w:rsid w:val="00FB28BD"/>
    <w:rsid w:val="00FB35A4"/>
    <w:rsid w:val="00FB4A1D"/>
    <w:rsid w:val="00FB59DC"/>
    <w:rsid w:val="00FB7355"/>
    <w:rsid w:val="00FC0D58"/>
    <w:rsid w:val="00FC114E"/>
    <w:rsid w:val="00FC2081"/>
    <w:rsid w:val="00FC4076"/>
    <w:rsid w:val="00FC49F4"/>
    <w:rsid w:val="00FC4CD2"/>
    <w:rsid w:val="00FC4CF0"/>
    <w:rsid w:val="00FC4EDF"/>
    <w:rsid w:val="00FC4F7E"/>
    <w:rsid w:val="00FC6530"/>
    <w:rsid w:val="00FC73A6"/>
    <w:rsid w:val="00FC7D15"/>
    <w:rsid w:val="00FC7DF0"/>
    <w:rsid w:val="00FD0226"/>
    <w:rsid w:val="00FD0BA2"/>
    <w:rsid w:val="00FD1735"/>
    <w:rsid w:val="00FD2910"/>
    <w:rsid w:val="00FD3C21"/>
    <w:rsid w:val="00FD3F05"/>
    <w:rsid w:val="00FD426A"/>
    <w:rsid w:val="00FD465B"/>
    <w:rsid w:val="00FD46EE"/>
    <w:rsid w:val="00FD65B4"/>
    <w:rsid w:val="00FD7247"/>
    <w:rsid w:val="00FD77E6"/>
    <w:rsid w:val="00FE0ACB"/>
    <w:rsid w:val="00FE0CFB"/>
    <w:rsid w:val="00FE12D5"/>
    <w:rsid w:val="00FE2CD2"/>
    <w:rsid w:val="00FE30F2"/>
    <w:rsid w:val="00FE32C3"/>
    <w:rsid w:val="00FE3E03"/>
    <w:rsid w:val="00FE5F63"/>
    <w:rsid w:val="00FE6B69"/>
    <w:rsid w:val="00FE6C0F"/>
    <w:rsid w:val="00FE7686"/>
    <w:rsid w:val="00FE7FA2"/>
    <w:rsid w:val="00FF0720"/>
    <w:rsid w:val="00FF13AD"/>
    <w:rsid w:val="00FF17E5"/>
    <w:rsid w:val="00FF1C7F"/>
    <w:rsid w:val="00FF1D39"/>
    <w:rsid w:val="00FF30FF"/>
    <w:rsid w:val="00FF3A69"/>
    <w:rsid w:val="00FF50AB"/>
    <w:rsid w:val="00FF5AD9"/>
    <w:rsid w:val="00FF603C"/>
    <w:rsid w:val="00FF6CB2"/>
    <w:rsid w:val="00FF7D48"/>
    <w:rsid w:val="010C1112"/>
    <w:rsid w:val="021DF365"/>
    <w:rsid w:val="029C2633"/>
    <w:rsid w:val="03532116"/>
    <w:rsid w:val="03B1F703"/>
    <w:rsid w:val="03E3A3E9"/>
    <w:rsid w:val="03F51677"/>
    <w:rsid w:val="03F69F1A"/>
    <w:rsid w:val="0510334F"/>
    <w:rsid w:val="051ACFCD"/>
    <w:rsid w:val="05919A2D"/>
    <w:rsid w:val="05E9152B"/>
    <w:rsid w:val="06379433"/>
    <w:rsid w:val="063D6843"/>
    <w:rsid w:val="066432AC"/>
    <w:rsid w:val="069B7ADC"/>
    <w:rsid w:val="069D33D9"/>
    <w:rsid w:val="06BE6BE2"/>
    <w:rsid w:val="06FE8B66"/>
    <w:rsid w:val="0739E6C6"/>
    <w:rsid w:val="0763136A"/>
    <w:rsid w:val="07A6191C"/>
    <w:rsid w:val="07ABBEBB"/>
    <w:rsid w:val="07BA705A"/>
    <w:rsid w:val="081F19BD"/>
    <w:rsid w:val="0907052C"/>
    <w:rsid w:val="098051AA"/>
    <w:rsid w:val="0A24B9C4"/>
    <w:rsid w:val="0A613950"/>
    <w:rsid w:val="0A700B55"/>
    <w:rsid w:val="0B0022D9"/>
    <w:rsid w:val="0B48D58A"/>
    <w:rsid w:val="0B7151BD"/>
    <w:rsid w:val="0C5E71B7"/>
    <w:rsid w:val="0C689E27"/>
    <w:rsid w:val="0C6C4946"/>
    <w:rsid w:val="0C85BE5D"/>
    <w:rsid w:val="0C9FAC85"/>
    <w:rsid w:val="0CB1253A"/>
    <w:rsid w:val="0DCFF88F"/>
    <w:rsid w:val="0DE04A9F"/>
    <w:rsid w:val="0E6BB81D"/>
    <w:rsid w:val="0E967858"/>
    <w:rsid w:val="0F03D9E1"/>
    <w:rsid w:val="0F3B75E8"/>
    <w:rsid w:val="0F95990C"/>
    <w:rsid w:val="0FD4C9D7"/>
    <w:rsid w:val="102F500D"/>
    <w:rsid w:val="10A4A11E"/>
    <w:rsid w:val="10FB2C97"/>
    <w:rsid w:val="1112F309"/>
    <w:rsid w:val="1114BA4E"/>
    <w:rsid w:val="112C6B7A"/>
    <w:rsid w:val="1198BEFD"/>
    <w:rsid w:val="11DD2B83"/>
    <w:rsid w:val="12008149"/>
    <w:rsid w:val="123EFD2F"/>
    <w:rsid w:val="12F4B78A"/>
    <w:rsid w:val="1323E382"/>
    <w:rsid w:val="13A3A09E"/>
    <w:rsid w:val="13A79940"/>
    <w:rsid w:val="13E847AC"/>
    <w:rsid w:val="13F426FA"/>
    <w:rsid w:val="142D8494"/>
    <w:rsid w:val="1486A01F"/>
    <w:rsid w:val="15270E72"/>
    <w:rsid w:val="154090C5"/>
    <w:rsid w:val="1561100D"/>
    <w:rsid w:val="15A58401"/>
    <w:rsid w:val="15BE4434"/>
    <w:rsid w:val="16287004"/>
    <w:rsid w:val="166F4922"/>
    <w:rsid w:val="17131A31"/>
    <w:rsid w:val="17C27382"/>
    <w:rsid w:val="17DC55AF"/>
    <w:rsid w:val="17FEF9E5"/>
    <w:rsid w:val="185526A6"/>
    <w:rsid w:val="18B57E3D"/>
    <w:rsid w:val="18CE3240"/>
    <w:rsid w:val="19667954"/>
    <w:rsid w:val="198A79AC"/>
    <w:rsid w:val="19DEEE96"/>
    <w:rsid w:val="19E6C14B"/>
    <w:rsid w:val="1A4348F7"/>
    <w:rsid w:val="1A7FDCA6"/>
    <w:rsid w:val="1A8B3D1C"/>
    <w:rsid w:val="1A9A6D24"/>
    <w:rsid w:val="1AC17C3A"/>
    <w:rsid w:val="1ADA31FC"/>
    <w:rsid w:val="1B284C5D"/>
    <w:rsid w:val="1B597A7E"/>
    <w:rsid w:val="1BB71A66"/>
    <w:rsid w:val="1BD611AD"/>
    <w:rsid w:val="1CAE500B"/>
    <w:rsid w:val="1CE469A7"/>
    <w:rsid w:val="1D3ABBAA"/>
    <w:rsid w:val="1D481232"/>
    <w:rsid w:val="1DD9EF3C"/>
    <w:rsid w:val="1DF69EC9"/>
    <w:rsid w:val="1E25FE9E"/>
    <w:rsid w:val="1EBF714E"/>
    <w:rsid w:val="1EE22F19"/>
    <w:rsid w:val="1F152BF5"/>
    <w:rsid w:val="1F6DAFD8"/>
    <w:rsid w:val="1F84CC11"/>
    <w:rsid w:val="1FFBA893"/>
    <w:rsid w:val="20BD1B28"/>
    <w:rsid w:val="2170C7F6"/>
    <w:rsid w:val="218F7423"/>
    <w:rsid w:val="21A055E4"/>
    <w:rsid w:val="21CD325D"/>
    <w:rsid w:val="21E1F21E"/>
    <w:rsid w:val="21F176C3"/>
    <w:rsid w:val="2252F5EA"/>
    <w:rsid w:val="22B2E273"/>
    <w:rsid w:val="235944A0"/>
    <w:rsid w:val="239528D4"/>
    <w:rsid w:val="241BF6F5"/>
    <w:rsid w:val="242A3B97"/>
    <w:rsid w:val="244B8BA3"/>
    <w:rsid w:val="247593E9"/>
    <w:rsid w:val="2482AB30"/>
    <w:rsid w:val="24866881"/>
    <w:rsid w:val="248FB11B"/>
    <w:rsid w:val="24CA6B4B"/>
    <w:rsid w:val="25167A99"/>
    <w:rsid w:val="251DAD54"/>
    <w:rsid w:val="256E7D1F"/>
    <w:rsid w:val="263C3F53"/>
    <w:rsid w:val="265D5CEA"/>
    <w:rsid w:val="266D0E36"/>
    <w:rsid w:val="267B3E42"/>
    <w:rsid w:val="2705F438"/>
    <w:rsid w:val="2803C688"/>
    <w:rsid w:val="286F61AF"/>
    <w:rsid w:val="29171280"/>
    <w:rsid w:val="291EB04C"/>
    <w:rsid w:val="29AF17E1"/>
    <w:rsid w:val="29E24B52"/>
    <w:rsid w:val="2AB2F450"/>
    <w:rsid w:val="2AB70C23"/>
    <w:rsid w:val="2AEB4A54"/>
    <w:rsid w:val="2B04FDB1"/>
    <w:rsid w:val="2B1AC7DC"/>
    <w:rsid w:val="2BEF2B23"/>
    <w:rsid w:val="2BF1899A"/>
    <w:rsid w:val="2C3D54C4"/>
    <w:rsid w:val="2CC507A0"/>
    <w:rsid w:val="2CE0FEC2"/>
    <w:rsid w:val="2CF1AE67"/>
    <w:rsid w:val="2D12A1D9"/>
    <w:rsid w:val="2D9251E6"/>
    <w:rsid w:val="2D99E544"/>
    <w:rsid w:val="2DEB2C8A"/>
    <w:rsid w:val="2E2AB90F"/>
    <w:rsid w:val="2E3CCF42"/>
    <w:rsid w:val="2E8E4643"/>
    <w:rsid w:val="2E8E7D31"/>
    <w:rsid w:val="2EE8C294"/>
    <w:rsid w:val="2F7661F3"/>
    <w:rsid w:val="2FA6F2C0"/>
    <w:rsid w:val="30B89212"/>
    <w:rsid w:val="30EDBFC2"/>
    <w:rsid w:val="30F97C62"/>
    <w:rsid w:val="30FC3356"/>
    <w:rsid w:val="3192DD79"/>
    <w:rsid w:val="3205A40E"/>
    <w:rsid w:val="320BC70F"/>
    <w:rsid w:val="32158470"/>
    <w:rsid w:val="3268830B"/>
    <w:rsid w:val="32C1C859"/>
    <w:rsid w:val="32F6F98A"/>
    <w:rsid w:val="33059570"/>
    <w:rsid w:val="33985B12"/>
    <w:rsid w:val="33E5B4FB"/>
    <w:rsid w:val="34DFCB06"/>
    <w:rsid w:val="34E998B1"/>
    <w:rsid w:val="34F06E92"/>
    <w:rsid w:val="3518770D"/>
    <w:rsid w:val="351F2960"/>
    <w:rsid w:val="3569ECBC"/>
    <w:rsid w:val="35821FBB"/>
    <w:rsid w:val="358BCD3F"/>
    <w:rsid w:val="35A59737"/>
    <w:rsid w:val="3630E3D9"/>
    <w:rsid w:val="36C1AD60"/>
    <w:rsid w:val="36E718BD"/>
    <w:rsid w:val="372DFBD6"/>
    <w:rsid w:val="374972E4"/>
    <w:rsid w:val="375E6B6B"/>
    <w:rsid w:val="3782F5BA"/>
    <w:rsid w:val="381054FE"/>
    <w:rsid w:val="382BB0E4"/>
    <w:rsid w:val="38303276"/>
    <w:rsid w:val="38D94B9A"/>
    <w:rsid w:val="39728167"/>
    <w:rsid w:val="397FF86C"/>
    <w:rsid w:val="399D4214"/>
    <w:rsid w:val="39F787EA"/>
    <w:rsid w:val="3A1863B5"/>
    <w:rsid w:val="3A252E23"/>
    <w:rsid w:val="3AC975C0"/>
    <w:rsid w:val="3AE1C658"/>
    <w:rsid w:val="3AE87F4D"/>
    <w:rsid w:val="3B3759A5"/>
    <w:rsid w:val="3B799BCC"/>
    <w:rsid w:val="3B983095"/>
    <w:rsid w:val="3BBDEFDF"/>
    <w:rsid w:val="3C09902F"/>
    <w:rsid w:val="3C205190"/>
    <w:rsid w:val="3C415B41"/>
    <w:rsid w:val="3C637521"/>
    <w:rsid w:val="3C87A00B"/>
    <w:rsid w:val="3D1B7E88"/>
    <w:rsid w:val="3D23032C"/>
    <w:rsid w:val="3DF4D5B1"/>
    <w:rsid w:val="3E0BD2A6"/>
    <w:rsid w:val="3E587F8E"/>
    <w:rsid w:val="3E75DAF6"/>
    <w:rsid w:val="3EEBE81C"/>
    <w:rsid w:val="3F7A82CE"/>
    <w:rsid w:val="3F8285E0"/>
    <w:rsid w:val="3FC738EB"/>
    <w:rsid w:val="3FF7CE88"/>
    <w:rsid w:val="40310710"/>
    <w:rsid w:val="404A42F7"/>
    <w:rsid w:val="405C61C0"/>
    <w:rsid w:val="40CDF8D1"/>
    <w:rsid w:val="4131F494"/>
    <w:rsid w:val="41531929"/>
    <w:rsid w:val="41B4A28C"/>
    <w:rsid w:val="4254DCC1"/>
    <w:rsid w:val="42EDEF6D"/>
    <w:rsid w:val="43768F17"/>
    <w:rsid w:val="451C38B0"/>
    <w:rsid w:val="457E80E2"/>
    <w:rsid w:val="45866D16"/>
    <w:rsid w:val="46186346"/>
    <w:rsid w:val="464F45A7"/>
    <w:rsid w:val="4660B91A"/>
    <w:rsid w:val="46D68B46"/>
    <w:rsid w:val="4734A752"/>
    <w:rsid w:val="475F3A1A"/>
    <w:rsid w:val="47C26FF6"/>
    <w:rsid w:val="47CA3E1F"/>
    <w:rsid w:val="4816A654"/>
    <w:rsid w:val="481A0B18"/>
    <w:rsid w:val="48375772"/>
    <w:rsid w:val="487623C5"/>
    <w:rsid w:val="4909FF02"/>
    <w:rsid w:val="4936E5BF"/>
    <w:rsid w:val="4959E051"/>
    <w:rsid w:val="4A1DDAEB"/>
    <w:rsid w:val="4A4DD050"/>
    <w:rsid w:val="4AA1AE5E"/>
    <w:rsid w:val="4B71E956"/>
    <w:rsid w:val="4C05280B"/>
    <w:rsid w:val="4C2A1218"/>
    <w:rsid w:val="4C8918ED"/>
    <w:rsid w:val="4D05D725"/>
    <w:rsid w:val="4D0967CF"/>
    <w:rsid w:val="4D65BC3A"/>
    <w:rsid w:val="4D8EC441"/>
    <w:rsid w:val="4DBA415A"/>
    <w:rsid w:val="4DE0175B"/>
    <w:rsid w:val="4E12A658"/>
    <w:rsid w:val="4E2B0E51"/>
    <w:rsid w:val="4EDF1A41"/>
    <w:rsid w:val="4EF92727"/>
    <w:rsid w:val="4EFA7888"/>
    <w:rsid w:val="4F35BA93"/>
    <w:rsid w:val="4F76BD83"/>
    <w:rsid w:val="4F9EA472"/>
    <w:rsid w:val="4FCC0AD1"/>
    <w:rsid w:val="5018C294"/>
    <w:rsid w:val="510D766F"/>
    <w:rsid w:val="51115786"/>
    <w:rsid w:val="5170D769"/>
    <w:rsid w:val="526362D6"/>
    <w:rsid w:val="527DC273"/>
    <w:rsid w:val="52CC3B59"/>
    <w:rsid w:val="5369F3F4"/>
    <w:rsid w:val="537A5530"/>
    <w:rsid w:val="537B7A8F"/>
    <w:rsid w:val="547A2D94"/>
    <w:rsid w:val="547CDDA0"/>
    <w:rsid w:val="54ACA371"/>
    <w:rsid w:val="550BC2F9"/>
    <w:rsid w:val="558BDF90"/>
    <w:rsid w:val="559D80A3"/>
    <w:rsid w:val="565C7792"/>
    <w:rsid w:val="56F1BA1B"/>
    <w:rsid w:val="57821025"/>
    <w:rsid w:val="57CD894D"/>
    <w:rsid w:val="58532BE8"/>
    <w:rsid w:val="587E035A"/>
    <w:rsid w:val="588CC089"/>
    <w:rsid w:val="58A84EEA"/>
    <w:rsid w:val="58E96E3A"/>
    <w:rsid w:val="593AC637"/>
    <w:rsid w:val="593E5738"/>
    <w:rsid w:val="594C7A0B"/>
    <w:rsid w:val="59C112C8"/>
    <w:rsid w:val="5A4CF6CC"/>
    <w:rsid w:val="5AF03726"/>
    <w:rsid w:val="5B545F6C"/>
    <w:rsid w:val="5B67C7D7"/>
    <w:rsid w:val="5C24D288"/>
    <w:rsid w:val="5C6F8BC2"/>
    <w:rsid w:val="5CE41D62"/>
    <w:rsid w:val="5CEFEC53"/>
    <w:rsid w:val="5DC4A04A"/>
    <w:rsid w:val="5DD4D7CF"/>
    <w:rsid w:val="5E4023AB"/>
    <w:rsid w:val="5E7D70E4"/>
    <w:rsid w:val="5E97B0CB"/>
    <w:rsid w:val="5F62B1B6"/>
    <w:rsid w:val="5FAE97D8"/>
    <w:rsid w:val="5FB23B27"/>
    <w:rsid w:val="5FD35E9D"/>
    <w:rsid w:val="600DB829"/>
    <w:rsid w:val="6079877E"/>
    <w:rsid w:val="612F3305"/>
    <w:rsid w:val="61EE564A"/>
    <w:rsid w:val="61FAE98A"/>
    <w:rsid w:val="62456E77"/>
    <w:rsid w:val="62BE2085"/>
    <w:rsid w:val="62C9B2EA"/>
    <w:rsid w:val="631FEBCA"/>
    <w:rsid w:val="639E9B9B"/>
    <w:rsid w:val="63BDFF0D"/>
    <w:rsid w:val="63BEA325"/>
    <w:rsid w:val="64200735"/>
    <w:rsid w:val="6462B5A6"/>
    <w:rsid w:val="649087DC"/>
    <w:rsid w:val="649395FB"/>
    <w:rsid w:val="64A4B944"/>
    <w:rsid w:val="64D5FF92"/>
    <w:rsid w:val="64F692D4"/>
    <w:rsid w:val="656A1E2D"/>
    <w:rsid w:val="65772A6C"/>
    <w:rsid w:val="65A72BA2"/>
    <w:rsid w:val="6654291A"/>
    <w:rsid w:val="66BD4B63"/>
    <w:rsid w:val="671C4404"/>
    <w:rsid w:val="67205E4B"/>
    <w:rsid w:val="67630FE3"/>
    <w:rsid w:val="678818CA"/>
    <w:rsid w:val="67929FA3"/>
    <w:rsid w:val="67997BEE"/>
    <w:rsid w:val="67E5EF71"/>
    <w:rsid w:val="688EC8D6"/>
    <w:rsid w:val="68A23DD0"/>
    <w:rsid w:val="68C2C5D5"/>
    <w:rsid w:val="68DB40FC"/>
    <w:rsid w:val="691A06BB"/>
    <w:rsid w:val="691A7037"/>
    <w:rsid w:val="6924D4D1"/>
    <w:rsid w:val="6987D822"/>
    <w:rsid w:val="6A0510BF"/>
    <w:rsid w:val="6A66705C"/>
    <w:rsid w:val="6AB03904"/>
    <w:rsid w:val="6ABC4D12"/>
    <w:rsid w:val="6AC31E23"/>
    <w:rsid w:val="6B3C2582"/>
    <w:rsid w:val="6B5B80CE"/>
    <w:rsid w:val="6BF9886D"/>
    <w:rsid w:val="6C7E551B"/>
    <w:rsid w:val="6D17EF1F"/>
    <w:rsid w:val="6D488CFE"/>
    <w:rsid w:val="6D5E2B53"/>
    <w:rsid w:val="6D92290A"/>
    <w:rsid w:val="6DC8581C"/>
    <w:rsid w:val="6DE954D4"/>
    <w:rsid w:val="6DEE8A84"/>
    <w:rsid w:val="6E235B12"/>
    <w:rsid w:val="6FEFD563"/>
    <w:rsid w:val="702EE3C2"/>
    <w:rsid w:val="70481CF2"/>
    <w:rsid w:val="70631177"/>
    <w:rsid w:val="70A625F7"/>
    <w:rsid w:val="70C006E6"/>
    <w:rsid w:val="713AB4F6"/>
    <w:rsid w:val="716D41F4"/>
    <w:rsid w:val="7193A06A"/>
    <w:rsid w:val="71C31FE3"/>
    <w:rsid w:val="71E6426E"/>
    <w:rsid w:val="71F51864"/>
    <w:rsid w:val="720D7029"/>
    <w:rsid w:val="724E9FAD"/>
    <w:rsid w:val="727A167A"/>
    <w:rsid w:val="72AFD5C4"/>
    <w:rsid w:val="72D168A5"/>
    <w:rsid w:val="72F6ECCE"/>
    <w:rsid w:val="730FCCFB"/>
    <w:rsid w:val="73BF3F6F"/>
    <w:rsid w:val="73C5D9BC"/>
    <w:rsid w:val="73F401F8"/>
    <w:rsid w:val="74B9DF17"/>
    <w:rsid w:val="74CD2655"/>
    <w:rsid w:val="75207B8F"/>
    <w:rsid w:val="753F003B"/>
    <w:rsid w:val="755D8C82"/>
    <w:rsid w:val="75809766"/>
    <w:rsid w:val="75BE7B32"/>
    <w:rsid w:val="75E7E8C2"/>
    <w:rsid w:val="7669ACD6"/>
    <w:rsid w:val="766E7AF6"/>
    <w:rsid w:val="76825172"/>
    <w:rsid w:val="76B67B90"/>
    <w:rsid w:val="77316144"/>
    <w:rsid w:val="77359BF2"/>
    <w:rsid w:val="77446A4A"/>
    <w:rsid w:val="777ECC86"/>
    <w:rsid w:val="77D2CA7A"/>
    <w:rsid w:val="78206F1E"/>
    <w:rsid w:val="784B72B7"/>
    <w:rsid w:val="785BA168"/>
    <w:rsid w:val="7929D98B"/>
    <w:rsid w:val="79B17F01"/>
    <w:rsid w:val="79BEC7F1"/>
    <w:rsid w:val="79CB34D5"/>
    <w:rsid w:val="7A1FFE35"/>
    <w:rsid w:val="7A6AF975"/>
    <w:rsid w:val="7A75D9C9"/>
    <w:rsid w:val="7A91341A"/>
    <w:rsid w:val="7B254AC1"/>
    <w:rsid w:val="7B51F349"/>
    <w:rsid w:val="7BAD7C19"/>
    <w:rsid w:val="7BEE4526"/>
    <w:rsid w:val="7BF38582"/>
    <w:rsid w:val="7BF9C335"/>
    <w:rsid w:val="7C285CBA"/>
    <w:rsid w:val="7C297149"/>
    <w:rsid w:val="7C97CD75"/>
    <w:rsid w:val="7CA17E0A"/>
    <w:rsid w:val="7D073C85"/>
    <w:rsid w:val="7D0CF5E0"/>
    <w:rsid w:val="7DA9163B"/>
    <w:rsid w:val="7DEED1A8"/>
    <w:rsid w:val="7E030E9E"/>
    <w:rsid w:val="7E1955CF"/>
    <w:rsid w:val="7E8CEE34"/>
    <w:rsid w:val="7F17C408"/>
    <w:rsid w:val="7FA29CDC"/>
    <w:rsid w:val="7FD37914"/>
    <w:rsid w:val="7FE44D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689E2"/>
  <w15:docId w15:val="{38D6A328-5785-4CB2-BD85-E77B7552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55A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55FE"/>
    <w:pPr>
      <w:tabs>
        <w:tab w:val="center" w:pos="4536"/>
        <w:tab w:val="right" w:pos="9072"/>
      </w:tabs>
      <w:spacing w:after="0" w:line="240" w:lineRule="auto"/>
    </w:pPr>
  </w:style>
  <w:style w:type="character" w:customStyle="1" w:styleId="lfejChar">
    <w:name w:val="Élőfej Char"/>
    <w:basedOn w:val="Bekezdsalapbettpusa"/>
    <w:link w:val="lfej"/>
    <w:uiPriority w:val="99"/>
    <w:rsid w:val="00B155FE"/>
  </w:style>
  <w:style w:type="paragraph" w:styleId="llb">
    <w:name w:val="footer"/>
    <w:basedOn w:val="Norml"/>
    <w:link w:val="llbChar"/>
    <w:uiPriority w:val="99"/>
    <w:unhideWhenUsed/>
    <w:rsid w:val="00B155FE"/>
    <w:pPr>
      <w:tabs>
        <w:tab w:val="center" w:pos="4536"/>
        <w:tab w:val="right" w:pos="9072"/>
      </w:tabs>
      <w:spacing w:after="0" w:line="240" w:lineRule="auto"/>
    </w:pPr>
  </w:style>
  <w:style w:type="character" w:customStyle="1" w:styleId="llbChar">
    <w:name w:val="Élőláb Char"/>
    <w:basedOn w:val="Bekezdsalapbettpusa"/>
    <w:link w:val="llb"/>
    <w:uiPriority w:val="99"/>
    <w:rsid w:val="00B155FE"/>
  </w:style>
  <w:style w:type="paragraph" w:styleId="Lbjegyzetszveg">
    <w:name w:val="footnote text"/>
    <w:basedOn w:val="Norml"/>
    <w:link w:val="LbjegyzetszvegChar"/>
    <w:uiPriority w:val="99"/>
    <w:semiHidden/>
    <w:unhideWhenUsed/>
    <w:rsid w:val="00B155F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155FE"/>
    <w:rPr>
      <w:sz w:val="20"/>
      <w:szCs w:val="20"/>
    </w:rPr>
  </w:style>
  <w:style w:type="character" w:styleId="Lbjegyzet-hivatkozs">
    <w:name w:val="footnote reference"/>
    <w:semiHidden/>
    <w:rsid w:val="00B155FE"/>
    <w:rPr>
      <w:vertAlign w:val="superscript"/>
    </w:rPr>
  </w:style>
  <w:style w:type="character" w:styleId="Oldalszm">
    <w:name w:val="page number"/>
    <w:basedOn w:val="Bekezdsalapbettpusa"/>
    <w:rsid w:val="00B155FE"/>
  </w:style>
  <w:style w:type="paragraph" w:styleId="Buborkszveg">
    <w:name w:val="Balloon Text"/>
    <w:basedOn w:val="Norml"/>
    <w:link w:val="BuborkszvegChar"/>
    <w:uiPriority w:val="99"/>
    <w:semiHidden/>
    <w:unhideWhenUsed/>
    <w:rsid w:val="009732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7327C"/>
    <w:rPr>
      <w:rFonts w:ascii="Tahoma" w:hAnsi="Tahoma" w:cs="Tahoma"/>
      <w:sz w:val="16"/>
      <w:szCs w:val="16"/>
    </w:rPr>
  </w:style>
  <w:style w:type="paragraph" w:styleId="Listaszerbekezds">
    <w:name w:val="List Paragraph"/>
    <w:basedOn w:val="Norml"/>
    <w:uiPriority w:val="34"/>
    <w:qFormat/>
    <w:rsid w:val="00F71CAC"/>
    <w:pPr>
      <w:ind w:left="720"/>
      <w:contextualSpacing/>
    </w:pPr>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 w:type="table" w:styleId="Rcsostblzat">
    <w:name w:val="Table Grid"/>
    <w:basedOn w:val="Normltblzat"/>
    <w:uiPriority w:val="39"/>
    <w:rsid w:val="00D4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E165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Pr>
      <w:color w:val="0563C1" w:themeColor="hyperlink"/>
      <w:u w:val="single"/>
    </w:rPr>
  </w:style>
  <w:style w:type="table" w:styleId="Tblzatrcsos1vilgos1jellszn">
    <w:name w:val="Grid Table 1 Light Accent 1"/>
    <w:basedOn w:val="Normltblzat"/>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Megjegyzstrgya">
    <w:name w:val="annotation subject"/>
    <w:basedOn w:val="Jegyzetszveg"/>
    <w:next w:val="Jegyzetszveg"/>
    <w:link w:val="MegjegyzstrgyaChar"/>
    <w:uiPriority w:val="99"/>
    <w:semiHidden/>
    <w:unhideWhenUsed/>
    <w:rsid w:val="00C75D5A"/>
    <w:rPr>
      <w:b/>
      <w:bCs/>
    </w:rPr>
  </w:style>
  <w:style w:type="character" w:customStyle="1" w:styleId="MegjegyzstrgyaChar">
    <w:name w:val="Megjegyzés tárgya Char"/>
    <w:basedOn w:val="JegyzetszvegChar"/>
    <w:link w:val="Megjegyzstrgya"/>
    <w:uiPriority w:val="99"/>
    <w:semiHidden/>
    <w:rsid w:val="00C75D5A"/>
    <w:rPr>
      <w:b/>
      <w:bCs/>
      <w:sz w:val="20"/>
      <w:szCs w:val="20"/>
    </w:rPr>
  </w:style>
  <w:style w:type="paragraph" w:styleId="Vltozat">
    <w:name w:val="Revision"/>
    <w:hidden/>
    <w:uiPriority w:val="99"/>
    <w:semiHidden/>
    <w:rsid w:val="00162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1892">
      <w:bodyDiv w:val="1"/>
      <w:marLeft w:val="0"/>
      <w:marRight w:val="0"/>
      <w:marTop w:val="0"/>
      <w:marBottom w:val="0"/>
      <w:divBdr>
        <w:top w:val="none" w:sz="0" w:space="0" w:color="auto"/>
        <w:left w:val="none" w:sz="0" w:space="0" w:color="auto"/>
        <w:bottom w:val="none" w:sz="0" w:space="0" w:color="auto"/>
        <w:right w:val="none" w:sz="0" w:space="0" w:color="auto"/>
      </w:divBdr>
    </w:div>
    <w:div w:id="240256079">
      <w:bodyDiv w:val="1"/>
      <w:marLeft w:val="0"/>
      <w:marRight w:val="0"/>
      <w:marTop w:val="0"/>
      <w:marBottom w:val="0"/>
      <w:divBdr>
        <w:top w:val="none" w:sz="0" w:space="0" w:color="auto"/>
        <w:left w:val="none" w:sz="0" w:space="0" w:color="auto"/>
        <w:bottom w:val="none" w:sz="0" w:space="0" w:color="auto"/>
        <w:right w:val="none" w:sz="0" w:space="0" w:color="auto"/>
      </w:divBdr>
    </w:div>
    <w:div w:id="248008608">
      <w:bodyDiv w:val="1"/>
      <w:marLeft w:val="0"/>
      <w:marRight w:val="0"/>
      <w:marTop w:val="0"/>
      <w:marBottom w:val="0"/>
      <w:divBdr>
        <w:top w:val="none" w:sz="0" w:space="0" w:color="auto"/>
        <w:left w:val="none" w:sz="0" w:space="0" w:color="auto"/>
        <w:bottom w:val="none" w:sz="0" w:space="0" w:color="auto"/>
        <w:right w:val="none" w:sz="0" w:space="0" w:color="auto"/>
      </w:divBdr>
    </w:div>
    <w:div w:id="251550484">
      <w:bodyDiv w:val="1"/>
      <w:marLeft w:val="0"/>
      <w:marRight w:val="0"/>
      <w:marTop w:val="0"/>
      <w:marBottom w:val="0"/>
      <w:divBdr>
        <w:top w:val="none" w:sz="0" w:space="0" w:color="auto"/>
        <w:left w:val="none" w:sz="0" w:space="0" w:color="auto"/>
        <w:bottom w:val="none" w:sz="0" w:space="0" w:color="auto"/>
        <w:right w:val="none" w:sz="0" w:space="0" w:color="auto"/>
      </w:divBdr>
    </w:div>
    <w:div w:id="263924984">
      <w:bodyDiv w:val="1"/>
      <w:marLeft w:val="0"/>
      <w:marRight w:val="0"/>
      <w:marTop w:val="0"/>
      <w:marBottom w:val="0"/>
      <w:divBdr>
        <w:top w:val="none" w:sz="0" w:space="0" w:color="auto"/>
        <w:left w:val="none" w:sz="0" w:space="0" w:color="auto"/>
        <w:bottom w:val="none" w:sz="0" w:space="0" w:color="auto"/>
        <w:right w:val="none" w:sz="0" w:space="0" w:color="auto"/>
      </w:divBdr>
    </w:div>
    <w:div w:id="414713825">
      <w:bodyDiv w:val="1"/>
      <w:marLeft w:val="0"/>
      <w:marRight w:val="0"/>
      <w:marTop w:val="0"/>
      <w:marBottom w:val="0"/>
      <w:divBdr>
        <w:top w:val="none" w:sz="0" w:space="0" w:color="auto"/>
        <w:left w:val="none" w:sz="0" w:space="0" w:color="auto"/>
        <w:bottom w:val="none" w:sz="0" w:space="0" w:color="auto"/>
        <w:right w:val="none" w:sz="0" w:space="0" w:color="auto"/>
      </w:divBdr>
    </w:div>
    <w:div w:id="419377097">
      <w:bodyDiv w:val="1"/>
      <w:marLeft w:val="0"/>
      <w:marRight w:val="0"/>
      <w:marTop w:val="0"/>
      <w:marBottom w:val="0"/>
      <w:divBdr>
        <w:top w:val="none" w:sz="0" w:space="0" w:color="auto"/>
        <w:left w:val="none" w:sz="0" w:space="0" w:color="auto"/>
        <w:bottom w:val="none" w:sz="0" w:space="0" w:color="auto"/>
        <w:right w:val="none" w:sz="0" w:space="0" w:color="auto"/>
      </w:divBdr>
    </w:div>
    <w:div w:id="422839085">
      <w:bodyDiv w:val="1"/>
      <w:marLeft w:val="0"/>
      <w:marRight w:val="0"/>
      <w:marTop w:val="0"/>
      <w:marBottom w:val="0"/>
      <w:divBdr>
        <w:top w:val="none" w:sz="0" w:space="0" w:color="auto"/>
        <w:left w:val="none" w:sz="0" w:space="0" w:color="auto"/>
        <w:bottom w:val="none" w:sz="0" w:space="0" w:color="auto"/>
        <w:right w:val="none" w:sz="0" w:space="0" w:color="auto"/>
      </w:divBdr>
    </w:div>
    <w:div w:id="425614567">
      <w:bodyDiv w:val="1"/>
      <w:marLeft w:val="0"/>
      <w:marRight w:val="0"/>
      <w:marTop w:val="0"/>
      <w:marBottom w:val="0"/>
      <w:divBdr>
        <w:top w:val="none" w:sz="0" w:space="0" w:color="auto"/>
        <w:left w:val="none" w:sz="0" w:space="0" w:color="auto"/>
        <w:bottom w:val="none" w:sz="0" w:space="0" w:color="auto"/>
        <w:right w:val="none" w:sz="0" w:space="0" w:color="auto"/>
      </w:divBdr>
    </w:div>
    <w:div w:id="457265896">
      <w:bodyDiv w:val="1"/>
      <w:marLeft w:val="0"/>
      <w:marRight w:val="0"/>
      <w:marTop w:val="0"/>
      <w:marBottom w:val="0"/>
      <w:divBdr>
        <w:top w:val="none" w:sz="0" w:space="0" w:color="auto"/>
        <w:left w:val="none" w:sz="0" w:space="0" w:color="auto"/>
        <w:bottom w:val="none" w:sz="0" w:space="0" w:color="auto"/>
        <w:right w:val="none" w:sz="0" w:space="0" w:color="auto"/>
      </w:divBdr>
    </w:div>
    <w:div w:id="750005642">
      <w:bodyDiv w:val="1"/>
      <w:marLeft w:val="0"/>
      <w:marRight w:val="0"/>
      <w:marTop w:val="0"/>
      <w:marBottom w:val="0"/>
      <w:divBdr>
        <w:top w:val="none" w:sz="0" w:space="0" w:color="auto"/>
        <w:left w:val="none" w:sz="0" w:space="0" w:color="auto"/>
        <w:bottom w:val="none" w:sz="0" w:space="0" w:color="auto"/>
        <w:right w:val="none" w:sz="0" w:space="0" w:color="auto"/>
      </w:divBdr>
    </w:div>
    <w:div w:id="825049051">
      <w:bodyDiv w:val="1"/>
      <w:marLeft w:val="0"/>
      <w:marRight w:val="0"/>
      <w:marTop w:val="0"/>
      <w:marBottom w:val="0"/>
      <w:divBdr>
        <w:top w:val="none" w:sz="0" w:space="0" w:color="auto"/>
        <w:left w:val="none" w:sz="0" w:space="0" w:color="auto"/>
        <w:bottom w:val="none" w:sz="0" w:space="0" w:color="auto"/>
        <w:right w:val="none" w:sz="0" w:space="0" w:color="auto"/>
      </w:divBdr>
    </w:div>
    <w:div w:id="831945513">
      <w:bodyDiv w:val="1"/>
      <w:marLeft w:val="0"/>
      <w:marRight w:val="0"/>
      <w:marTop w:val="0"/>
      <w:marBottom w:val="0"/>
      <w:divBdr>
        <w:top w:val="none" w:sz="0" w:space="0" w:color="auto"/>
        <w:left w:val="none" w:sz="0" w:space="0" w:color="auto"/>
        <w:bottom w:val="none" w:sz="0" w:space="0" w:color="auto"/>
        <w:right w:val="none" w:sz="0" w:space="0" w:color="auto"/>
      </w:divBdr>
    </w:div>
    <w:div w:id="955060427">
      <w:bodyDiv w:val="1"/>
      <w:marLeft w:val="0"/>
      <w:marRight w:val="0"/>
      <w:marTop w:val="0"/>
      <w:marBottom w:val="0"/>
      <w:divBdr>
        <w:top w:val="none" w:sz="0" w:space="0" w:color="auto"/>
        <w:left w:val="none" w:sz="0" w:space="0" w:color="auto"/>
        <w:bottom w:val="none" w:sz="0" w:space="0" w:color="auto"/>
        <w:right w:val="none" w:sz="0" w:space="0" w:color="auto"/>
      </w:divBdr>
    </w:div>
    <w:div w:id="1020281846">
      <w:bodyDiv w:val="1"/>
      <w:marLeft w:val="0"/>
      <w:marRight w:val="0"/>
      <w:marTop w:val="0"/>
      <w:marBottom w:val="0"/>
      <w:divBdr>
        <w:top w:val="none" w:sz="0" w:space="0" w:color="auto"/>
        <w:left w:val="none" w:sz="0" w:space="0" w:color="auto"/>
        <w:bottom w:val="none" w:sz="0" w:space="0" w:color="auto"/>
        <w:right w:val="none" w:sz="0" w:space="0" w:color="auto"/>
      </w:divBdr>
    </w:div>
    <w:div w:id="1137841753">
      <w:bodyDiv w:val="1"/>
      <w:marLeft w:val="0"/>
      <w:marRight w:val="0"/>
      <w:marTop w:val="0"/>
      <w:marBottom w:val="0"/>
      <w:divBdr>
        <w:top w:val="none" w:sz="0" w:space="0" w:color="auto"/>
        <w:left w:val="none" w:sz="0" w:space="0" w:color="auto"/>
        <w:bottom w:val="none" w:sz="0" w:space="0" w:color="auto"/>
        <w:right w:val="none" w:sz="0" w:space="0" w:color="auto"/>
      </w:divBdr>
    </w:div>
    <w:div w:id="1145925425">
      <w:bodyDiv w:val="1"/>
      <w:marLeft w:val="0"/>
      <w:marRight w:val="0"/>
      <w:marTop w:val="0"/>
      <w:marBottom w:val="0"/>
      <w:divBdr>
        <w:top w:val="none" w:sz="0" w:space="0" w:color="auto"/>
        <w:left w:val="none" w:sz="0" w:space="0" w:color="auto"/>
        <w:bottom w:val="none" w:sz="0" w:space="0" w:color="auto"/>
        <w:right w:val="none" w:sz="0" w:space="0" w:color="auto"/>
      </w:divBdr>
    </w:div>
    <w:div w:id="1154029676">
      <w:bodyDiv w:val="1"/>
      <w:marLeft w:val="0"/>
      <w:marRight w:val="0"/>
      <w:marTop w:val="0"/>
      <w:marBottom w:val="0"/>
      <w:divBdr>
        <w:top w:val="none" w:sz="0" w:space="0" w:color="auto"/>
        <w:left w:val="none" w:sz="0" w:space="0" w:color="auto"/>
        <w:bottom w:val="none" w:sz="0" w:space="0" w:color="auto"/>
        <w:right w:val="none" w:sz="0" w:space="0" w:color="auto"/>
      </w:divBdr>
    </w:div>
    <w:div w:id="1194074906">
      <w:bodyDiv w:val="1"/>
      <w:marLeft w:val="0"/>
      <w:marRight w:val="0"/>
      <w:marTop w:val="0"/>
      <w:marBottom w:val="0"/>
      <w:divBdr>
        <w:top w:val="none" w:sz="0" w:space="0" w:color="auto"/>
        <w:left w:val="none" w:sz="0" w:space="0" w:color="auto"/>
        <w:bottom w:val="none" w:sz="0" w:space="0" w:color="auto"/>
        <w:right w:val="none" w:sz="0" w:space="0" w:color="auto"/>
      </w:divBdr>
    </w:div>
    <w:div w:id="1262031817">
      <w:bodyDiv w:val="1"/>
      <w:marLeft w:val="0"/>
      <w:marRight w:val="0"/>
      <w:marTop w:val="0"/>
      <w:marBottom w:val="0"/>
      <w:divBdr>
        <w:top w:val="none" w:sz="0" w:space="0" w:color="auto"/>
        <w:left w:val="none" w:sz="0" w:space="0" w:color="auto"/>
        <w:bottom w:val="none" w:sz="0" w:space="0" w:color="auto"/>
        <w:right w:val="none" w:sz="0" w:space="0" w:color="auto"/>
      </w:divBdr>
    </w:div>
    <w:div w:id="1299650999">
      <w:bodyDiv w:val="1"/>
      <w:marLeft w:val="0"/>
      <w:marRight w:val="0"/>
      <w:marTop w:val="0"/>
      <w:marBottom w:val="0"/>
      <w:divBdr>
        <w:top w:val="none" w:sz="0" w:space="0" w:color="auto"/>
        <w:left w:val="none" w:sz="0" w:space="0" w:color="auto"/>
        <w:bottom w:val="none" w:sz="0" w:space="0" w:color="auto"/>
        <w:right w:val="none" w:sz="0" w:space="0" w:color="auto"/>
      </w:divBdr>
    </w:div>
    <w:div w:id="1332442699">
      <w:bodyDiv w:val="1"/>
      <w:marLeft w:val="0"/>
      <w:marRight w:val="0"/>
      <w:marTop w:val="0"/>
      <w:marBottom w:val="0"/>
      <w:divBdr>
        <w:top w:val="none" w:sz="0" w:space="0" w:color="auto"/>
        <w:left w:val="none" w:sz="0" w:space="0" w:color="auto"/>
        <w:bottom w:val="none" w:sz="0" w:space="0" w:color="auto"/>
        <w:right w:val="none" w:sz="0" w:space="0" w:color="auto"/>
      </w:divBdr>
    </w:div>
    <w:div w:id="1362433673">
      <w:bodyDiv w:val="1"/>
      <w:marLeft w:val="0"/>
      <w:marRight w:val="0"/>
      <w:marTop w:val="0"/>
      <w:marBottom w:val="0"/>
      <w:divBdr>
        <w:top w:val="none" w:sz="0" w:space="0" w:color="auto"/>
        <w:left w:val="none" w:sz="0" w:space="0" w:color="auto"/>
        <w:bottom w:val="none" w:sz="0" w:space="0" w:color="auto"/>
        <w:right w:val="none" w:sz="0" w:space="0" w:color="auto"/>
      </w:divBdr>
    </w:div>
    <w:div w:id="1369573113">
      <w:bodyDiv w:val="1"/>
      <w:marLeft w:val="0"/>
      <w:marRight w:val="0"/>
      <w:marTop w:val="0"/>
      <w:marBottom w:val="0"/>
      <w:divBdr>
        <w:top w:val="none" w:sz="0" w:space="0" w:color="auto"/>
        <w:left w:val="none" w:sz="0" w:space="0" w:color="auto"/>
        <w:bottom w:val="none" w:sz="0" w:space="0" w:color="auto"/>
        <w:right w:val="none" w:sz="0" w:space="0" w:color="auto"/>
      </w:divBdr>
    </w:div>
    <w:div w:id="1514765667">
      <w:bodyDiv w:val="1"/>
      <w:marLeft w:val="0"/>
      <w:marRight w:val="0"/>
      <w:marTop w:val="0"/>
      <w:marBottom w:val="0"/>
      <w:divBdr>
        <w:top w:val="none" w:sz="0" w:space="0" w:color="auto"/>
        <w:left w:val="none" w:sz="0" w:space="0" w:color="auto"/>
        <w:bottom w:val="none" w:sz="0" w:space="0" w:color="auto"/>
        <w:right w:val="none" w:sz="0" w:space="0" w:color="auto"/>
      </w:divBdr>
    </w:div>
    <w:div w:id="1527596982">
      <w:bodyDiv w:val="1"/>
      <w:marLeft w:val="0"/>
      <w:marRight w:val="0"/>
      <w:marTop w:val="0"/>
      <w:marBottom w:val="0"/>
      <w:divBdr>
        <w:top w:val="none" w:sz="0" w:space="0" w:color="auto"/>
        <w:left w:val="none" w:sz="0" w:space="0" w:color="auto"/>
        <w:bottom w:val="none" w:sz="0" w:space="0" w:color="auto"/>
        <w:right w:val="none" w:sz="0" w:space="0" w:color="auto"/>
      </w:divBdr>
    </w:div>
    <w:div w:id="1538201461">
      <w:bodyDiv w:val="1"/>
      <w:marLeft w:val="0"/>
      <w:marRight w:val="0"/>
      <w:marTop w:val="0"/>
      <w:marBottom w:val="0"/>
      <w:divBdr>
        <w:top w:val="none" w:sz="0" w:space="0" w:color="auto"/>
        <w:left w:val="none" w:sz="0" w:space="0" w:color="auto"/>
        <w:bottom w:val="none" w:sz="0" w:space="0" w:color="auto"/>
        <w:right w:val="none" w:sz="0" w:space="0" w:color="auto"/>
      </w:divBdr>
    </w:div>
    <w:div w:id="1587760903">
      <w:bodyDiv w:val="1"/>
      <w:marLeft w:val="0"/>
      <w:marRight w:val="0"/>
      <w:marTop w:val="0"/>
      <w:marBottom w:val="0"/>
      <w:divBdr>
        <w:top w:val="none" w:sz="0" w:space="0" w:color="auto"/>
        <w:left w:val="none" w:sz="0" w:space="0" w:color="auto"/>
        <w:bottom w:val="none" w:sz="0" w:space="0" w:color="auto"/>
        <w:right w:val="none" w:sz="0" w:space="0" w:color="auto"/>
      </w:divBdr>
    </w:div>
    <w:div w:id="1611275865">
      <w:bodyDiv w:val="1"/>
      <w:marLeft w:val="0"/>
      <w:marRight w:val="0"/>
      <w:marTop w:val="0"/>
      <w:marBottom w:val="0"/>
      <w:divBdr>
        <w:top w:val="none" w:sz="0" w:space="0" w:color="auto"/>
        <w:left w:val="none" w:sz="0" w:space="0" w:color="auto"/>
        <w:bottom w:val="none" w:sz="0" w:space="0" w:color="auto"/>
        <w:right w:val="none" w:sz="0" w:space="0" w:color="auto"/>
      </w:divBdr>
    </w:div>
    <w:div w:id="1633056647">
      <w:bodyDiv w:val="1"/>
      <w:marLeft w:val="0"/>
      <w:marRight w:val="0"/>
      <w:marTop w:val="0"/>
      <w:marBottom w:val="0"/>
      <w:divBdr>
        <w:top w:val="none" w:sz="0" w:space="0" w:color="auto"/>
        <w:left w:val="none" w:sz="0" w:space="0" w:color="auto"/>
        <w:bottom w:val="none" w:sz="0" w:space="0" w:color="auto"/>
        <w:right w:val="none" w:sz="0" w:space="0" w:color="auto"/>
      </w:divBdr>
    </w:div>
    <w:div w:id="1774401931">
      <w:bodyDiv w:val="1"/>
      <w:marLeft w:val="0"/>
      <w:marRight w:val="0"/>
      <w:marTop w:val="0"/>
      <w:marBottom w:val="0"/>
      <w:divBdr>
        <w:top w:val="none" w:sz="0" w:space="0" w:color="auto"/>
        <w:left w:val="none" w:sz="0" w:space="0" w:color="auto"/>
        <w:bottom w:val="none" w:sz="0" w:space="0" w:color="auto"/>
        <w:right w:val="none" w:sz="0" w:space="0" w:color="auto"/>
      </w:divBdr>
    </w:div>
    <w:div w:id="1891844003">
      <w:bodyDiv w:val="1"/>
      <w:marLeft w:val="0"/>
      <w:marRight w:val="0"/>
      <w:marTop w:val="0"/>
      <w:marBottom w:val="0"/>
      <w:divBdr>
        <w:top w:val="none" w:sz="0" w:space="0" w:color="auto"/>
        <w:left w:val="none" w:sz="0" w:space="0" w:color="auto"/>
        <w:bottom w:val="none" w:sz="0" w:space="0" w:color="auto"/>
        <w:right w:val="none" w:sz="0" w:space="0" w:color="auto"/>
      </w:divBdr>
    </w:div>
    <w:div w:id="2032297061">
      <w:bodyDiv w:val="1"/>
      <w:marLeft w:val="0"/>
      <w:marRight w:val="0"/>
      <w:marTop w:val="0"/>
      <w:marBottom w:val="0"/>
      <w:divBdr>
        <w:top w:val="none" w:sz="0" w:space="0" w:color="auto"/>
        <w:left w:val="none" w:sz="0" w:space="0" w:color="auto"/>
        <w:bottom w:val="none" w:sz="0" w:space="0" w:color="auto"/>
        <w:right w:val="none" w:sz="0" w:space="0" w:color="auto"/>
      </w:divBdr>
    </w:div>
    <w:div w:id="2069765688">
      <w:bodyDiv w:val="1"/>
      <w:marLeft w:val="0"/>
      <w:marRight w:val="0"/>
      <w:marTop w:val="0"/>
      <w:marBottom w:val="0"/>
      <w:divBdr>
        <w:top w:val="none" w:sz="0" w:space="0" w:color="auto"/>
        <w:left w:val="none" w:sz="0" w:space="0" w:color="auto"/>
        <w:bottom w:val="none" w:sz="0" w:space="0" w:color="auto"/>
        <w:right w:val="none" w:sz="0" w:space="0" w:color="auto"/>
      </w:divBdr>
    </w:div>
    <w:div w:id="20827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CDF1BD466E83E842902559549E0F08F2" ma:contentTypeVersion="5" ma:contentTypeDescription="Új dokumentum létrehozása." ma:contentTypeScope="" ma:versionID="4b44a68e156a5b79248640aeafc70798">
  <xsd:schema xmlns:xsd="http://www.w3.org/2001/XMLSchema" xmlns:xs="http://www.w3.org/2001/XMLSchema" xmlns:p="http://schemas.microsoft.com/office/2006/metadata/properties" xmlns:ns2="cb7eed14-1ed6-4f4f-9464-e9d73fc2f8e9" xmlns:ns3="9669010e-b829-4d86-87dd-cdce11b02043" targetNamespace="http://schemas.microsoft.com/office/2006/metadata/properties" ma:root="true" ma:fieldsID="bd0071a6f26b893e5271513f12c665f5" ns2:_="" ns3:_="">
    <xsd:import namespace="cb7eed14-1ed6-4f4f-9464-e9d73fc2f8e9"/>
    <xsd:import namespace="9669010e-b829-4d86-87dd-cdce11b02043"/>
    <xsd:element name="properties">
      <xsd:complexType>
        <xsd:sequence>
          <xsd:element name="documentManagement">
            <xsd:complexType>
              <xsd:all>
                <xsd:element ref="ns2:T_x00e9_ma" minOccurs="0"/>
                <xsd:element ref="ns2:_x00c9_v"/>
                <xsd:element ref="ns2:L_x00e1_that_x00f3_s_x00e1_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eed14-1ed6-4f4f-9464-e9d73fc2f8e9" elementFormDefault="qualified">
    <xsd:import namespace="http://schemas.microsoft.com/office/2006/documentManagement/types"/>
    <xsd:import namespace="http://schemas.microsoft.com/office/infopath/2007/PartnerControls"/>
    <xsd:element name="T_x00e9_ma" ma:index="2" nillable="true" ma:displayName="Téma" ma:format="Dropdown" ma:internalName="T_x00e9_ma">
      <xsd:simpleType>
        <xsd:restriction base="dms:Choice">
          <xsd:enumeration value="Tervezés"/>
          <xsd:enumeration value="Zárszámadás"/>
          <xsd:enumeration value="Törvénymódosítás"/>
          <xsd:enumeration value="ÁSZ ellenőrzés"/>
          <xsd:enumeration value="Gyorsjelentés"/>
          <xsd:enumeration value="Monitoring"/>
          <xsd:enumeration value="Tervezési tájékoztató"/>
          <xsd:enumeration value="Útmutató"/>
          <xsd:enumeration value="Munkaprogram"/>
          <xsd:enumeration value="Ütemterv"/>
          <xsd:enumeration value="Módosító"/>
          <xsd:enumeration value="Kormányülés"/>
          <xsd:enumeration value="Gazdasági kabinet"/>
          <xsd:enumeration value="Stratégiai kabinet"/>
          <xsd:enumeration value="IFMIS"/>
          <xsd:enumeration value="Fejezeten belüli átcsoportosítás"/>
          <xsd:enumeration value="Címlista"/>
          <xsd:enumeration value="BEÜ"/>
          <xsd:enumeration value="Koronavírus"/>
          <xsd:enumeration value="Tudásbázis"/>
          <xsd:enumeration value="Kiemelt fejlesztési igények"/>
          <xsd:enumeration value="Iktatás"/>
        </xsd:restriction>
      </xsd:simpleType>
    </xsd:element>
    <xsd:element name="_x00c9_v" ma:index="3" ma:displayName="Év" ma:default="2018" ma:format="Dropdown" ma:internalName="_x00c9_v">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restriction>
      </xsd:simpleType>
    </xsd:element>
    <xsd:element name="L_x00e1_that_x00f3_s_x00e1_g" ma:index="4" nillable="true" ma:displayName="Láthatóság" ma:default="Publikus" ma:format="Dropdown" ma:internalName="L_x00e1_that_x00f3_s_x00e1_g">
      <xsd:simpleType>
        <xsd:restriction base="dms:Choice">
          <xsd:enumeration value="Publikus"/>
          <xsd:enumeration value="Csak admin látja (verziókat tartalmaz)"/>
        </xsd:restriction>
      </xsd:simpleType>
    </xsd:element>
  </xsd:schema>
  <xsd:schema xmlns:xsd="http://www.w3.org/2001/XMLSchema" xmlns:xs="http://www.w3.org/2001/XMLSchema" xmlns:dms="http://schemas.microsoft.com/office/2006/documentManagement/types" xmlns:pc="http://schemas.microsoft.com/office/infopath/2007/PartnerControls" targetNamespace="9669010e-b829-4d86-87dd-cdce11b02043" elementFormDefault="qualified">
    <xsd:import namespace="http://schemas.microsoft.com/office/2006/documentManagement/types"/>
    <xsd:import namespace="http://schemas.microsoft.com/office/infopath/2007/PartnerControls"/>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c9_v xmlns="cb7eed14-1ed6-4f4f-9464-e9d73fc2f8e9">2025</_x00c9_v>
    <T_x00e9_ma xmlns="cb7eed14-1ed6-4f4f-9464-e9d73fc2f8e9">Monitoring</T_x00e9_ma>
    <L_x00e1_that_x00f3_s_x00e1_g xmlns="cb7eed14-1ed6-4f4f-9464-e9d73fc2f8e9">Publikus</L_x00e1_that_x00f3_s_x00e1_g>
  </documentManagement>
</p:properties>
</file>

<file path=customXml/itemProps1.xml><?xml version="1.0" encoding="utf-8"?>
<ds:datastoreItem xmlns:ds="http://schemas.openxmlformats.org/officeDocument/2006/customXml" ds:itemID="{D45E50AF-6A38-4D56-A55D-D65BA869B7B4}">
  <ds:schemaRefs>
    <ds:schemaRef ds:uri="http://schemas.openxmlformats.org/officeDocument/2006/bibliography"/>
  </ds:schemaRefs>
</ds:datastoreItem>
</file>

<file path=customXml/itemProps2.xml><?xml version="1.0" encoding="utf-8"?>
<ds:datastoreItem xmlns:ds="http://schemas.openxmlformats.org/officeDocument/2006/customXml" ds:itemID="{1AAFD48C-7926-4BF1-87F7-A322FB81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eed14-1ed6-4f4f-9464-e9d73fc2f8e9"/>
    <ds:schemaRef ds:uri="9669010e-b829-4d86-87dd-cdce11b02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0F6AD-19C0-4D6B-ABDF-2564A2CC5C1F}">
  <ds:schemaRefs>
    <ds:schemaRef ds:uri="http://schemas.microsoft.com/sharepoint/v3/contenttype/forms"/>
  </ds:schemaRefs>
</ds:datastoreItem>
</file>

<file path=customXml/itemProps4.xml><?xml version="1.0" encoding="utf-8"?>
<ds:datastoreItem xmlns:ds="http://schemas.openxmlformats.org/officeDocument/2006/customXml" ds:itemID="{C84C958D-48DC-4564-B24D-56E63215790F}">
  <ds:schemaRefs>
    <ds:schemaRef ds:uri="http://purl.org/dc/elements/1.1/"/>
    <ds:schemaRef ds:uri="http://schemas.microsoft.com/office/2006/metadata/properties"/>
    <ds:schemaRef ds:uri="http://schemas.openxmlformats.org/package/2006/metadata/core-properties"/>
    <ds:schemaRef ds:uri="http://purl.org/dc/terms/"/>
    <ds:schemaRef ds:uri="cb7eed14-1ed6-4f4f-9464-e9d73fc2f8e9"/>
    <ds:schemaRef ds:uri="9669010e-b829-4d86-87dd-cdce11b02043"/>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22</Pages>
  <Words>4336</Words>
  <Characters>29920</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
    </vt:vector>
  </TitlesOfParts>
  <Company>NISZ Zrt.</Company>
  <LinksUpToDate>false</LinksUpToDate>
  <CharactersWithSpaces>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25</cp:revision>
  <cp:lastPrinted>2025-12-16T08:30:00Z</cp:lastPrinted>
  <dcterms:created xsi:type="dcterms:W3CDTF">2026-02-16T08:17:00Z</dcterms:created>
  <dcterms:modified xsi:type="dcterms:W3CDTF">2026-02-18T11:08:00Z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0x010100CDF1BD466E83E842902559549E0F08F2</vt:lpwstr>
  </property>
</Properties>
</file>