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ED9B" w14:textId="77777777" w:rsidR="00A62CB5" w:rsidRPr="00E532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19BD3E89" w14:textId="77777777" w:rsidR="00A62CB5" w:rsidRPr="00E532FA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0C14BE7A" w14:textId="77777777" w:rsidR="00A62CB5" w:rsidRPr="00E532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12DC0459" w14:textId="77777777" w:rsidR="00A62CB5" w:rsidRPr="00E532FA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E532F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14:paraId="1D9F7C63" w14:textId="77777777" w:rsidR="00B74DC7" w:rsidRPr="00E532FA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0A73A255" w14:textId="77777777" w:rsidR="00A62CB5" w:rsidRPr="00E532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E532FA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EF3715" w:rsidRPr="00E532FA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EF3715"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532FA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E532FA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11274B7B" w14:textId="77777777" w:rsidR="00A62CB5" w:rsidRPr="00E532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B8774CB" w14:textId="77777777" w:rsidR="00A62CB5" w:rsidRPr="00E532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069851B0" w14:textId="77777777" w:rsidR="00A62CB5" w:rsidRPr="00E532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C827A6C" w14:textId="77777777" w:rsidR="00A62CB5" w:rsidRPr="00E532FA" w:rsidRDefault="00624B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>Számfejtési ügyintéző</w:t>
      </w:r>
    </w:p>
    <w:p w14:paraId="549F3E86" w14:textId="77777777" w:rsidR="00A71EAD" w:rsidRPr="00E532FA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C2E8AD8" w14:textId="77777777" w:rsidR="00A62CB5" w:rsidRPr="00E532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20917D74" w14:textId="77777777" w:rsidR="00324772" w:rsidRPr="00E532F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867DB9" w14:textId="77777777" w:rsidR="00C71A6A" w:rsidRPr="00E532F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2A91C6A0" w14:textId="77777777" w:rsidR="00C71A6A" w:rsidRPr="00E532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7DA63E" w14:textId="77777777" w:rsidR="00C71A6A" w:rsidRPr="00E532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E532FA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E532FA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E532FA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14:paraId="305F6241" w14:textId="77777777" w:rsidR="00C71A6A" w:rsidRPr="00E532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6492743" w14:textId="77777777" w:rsidR="00C71A6A" w:rsidRPr="00E532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4F741266" w14:textId="77777777" w:rsidR="00C71A6A" w:rsidRPr="00E532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2F2C3D3" w14:textId="77777777" w:rsidR="00C71A6A" w:rsidRPr="00E532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264F374B" w14:textId="77777777" w:rsidR="00C71A6A" w:rsidRPr="00E532F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4808F038" w14:textId="77777777" w:rsidR="00C71A6A" w:rsidRPr="00E532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19F4621F" w14:textId="77777777" w:rsidR="00EF6235" w:rsidRPr="00E532FA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650791" w14:textId="77777777" w:rsidR="00A71EAD" w:rsidRPr="00E532FA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2FA">
        <w:rPr>
          <w:rFonts w:ascii="Times New Roman" w:hAnsi="Times New Roman"/>
          <w:sz w:val="24"/>
          <w:szCs w:val="24"/>
        </w:rPr>
        <w:t>A Kül</w:t>
      </w:r>
      <w:r w:rsidR="00BF44BF" w:rsidRPr="00E532FA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24BC7" w:rsidRPr="00E532FA">
        <w:rPr>
          <w:rFonts w:ascii="Times New Roman" w:hAnsi="Times New Roman"/>
          <w:sz w:val="24"/>
          <w:szCs w:val="24"/>
        </w:rPr>
        <w:t>Pénzügyi és Számviteli</w:t>
      </w:r>
      <w:r w:rsidR="00BF44BF" w:rsidRPr="00E532FA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E532FA">
        <w:rPr>
          <w:rFonts w:ascii="Times New Roman" w:hAnsi="Times New Roman"/>
          <w:sz w:val="24"/>
          <w:szCs w:val="24"/>
        </w:rPr>
        <w:t xml:space="preserve"> </w:t>
      </w:r>
      <w:r w:rsidRPr="00E532FA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624BC7" w:rsidRPr="00E532FA">
        <w:rPr>
          <w:rFonts w:ascii="Times New Roman" w:hAnsi="Times New Roman"/>
          <w:sz w:val="24"/>
          <w:szCs w:val="24"/>
        </w:rPr>
        <w:t>illetményszámfejtési</w:t>
      </w:r>
      <w:r w:rsidRPr="00E532FA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E532FA">
        <w:rPr>
          <w:rFonts w:ascii="Times New Roman" w:hAnsi="Times New Roman"/>
          <w:sz w:val="24"/>
          <w:szCs w:val="24"/>
        </w:rPr>
        <w:t>:</w:t>
      </w:r>
    </w:p>
    <w:p w14:paraId="71E02A60" w14:textId="77777777" w:rsidR="00A71EAD" w:rsidRPr="00E532FA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C6A9E0" w14:textId="77777777" w:rsidR="00757B6D" w:rsidRPr="00E532FA" w:rsidRDefault="00757B6D" w:rsidP="00757B6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32FA">
        <w:rPr>
          <w:rFonts w:ascii="Times New Roman" w:eastAsiaTheme="minorEastAsia" w:hAnsi="Times New Roman"/>
          <w:color w:val="000000"/>
          <w:sz w:val="24"/>
          <w:szCs w:val="24"/>
        </w:rPr>
        <w:t>Béren kívüli és egyéb személyi juttatások igénylésével</w:t>
      </w:r>
      <w:r w:rsidR="00263947" w:rsidRPr="00E532FA">
        <w:rPr>
          <w:rFonts w:ascii="Times New Roman" w:eastAsiaTheme="minorEastAsia" w:hAnsi="Times New Roman"/>
          <w:color w:val="000000"/>
          <w:sz w:val="24"/>
          <w:szCs w:val="24"/>
        </w:rPr>
        <w:t>, nyilvántartásával</w:t>
      </w:r>
      <w:r w:rsidRPr="00E532FA">
        <w:rPr>
          <w:rFonts w:ascii="Times New Roman" w:eastAsiaTheme="minorEastAsia" w:hAnsi="Times New Roman"/>
          <w:color w:val="000000"/>
          <w:sz w:val="24"/>
          <w:szCs w:val="24"/>
        </w:rPr>
        <w:t xml:space="preserve"> kapcsolatos feladatok ellátása és a juttatások számfejtése.</w:t>
      </w:r>
    </w:p>
    <w:p w14:paraId="436FB9BC" w14:textId="77777777" w:rsidR="00757B6D" w:rsidRPr="00E532FA" w:rsidRDefault="00EC25F2" w:rsidP="00757B6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32FA">
        <w:rPr>
          <w:rFonts w:ascii="Times New Roman" w:eastAsiaTheme="minorEastAsia" w:hAnsi="Times New Roman"/>
          <w:color w:val="000000"/>
          <w:sz w:val="24"/>
          <w:szCs w:val="24"/>
        </w:rPr>
        <w:t xml:space="preserve">Munkaidő nyilvántartás ellenőrzése, távollétek, szabadságok </w:t>
      </w:r>
      <w:r w:rsidR="00C70F73" w:rsidRPr="00E532FA">
        <w:rPr>
          <w:rFonts w:ascii="Times New Roman" w:eastAsiaTheme="minorEastAsia" w:hAnsi="Times New Roman"/>
          <w:color w:val="000000"/>
          <w:sz w:val="24"/>
          <w:szCs w:val="24"/>
        </w:rPr>
        <w:t xml:space="preserve">megállapítása és </w:t>
      </w:r>
      <w:r w:rsidRPr="00E532FA">
        <w:rPr>
          <w:rFonts w:ascii="Times New Roman" w:eastAsiaTheme="minorEastAsia" w:hAnsi="Times New Roman"/>
          <w:color w:val="000000"/>
          <w:sz w:val="24"/>
          <w:szCs w:val="24"/>
        </w:rPr>
        <w:t xml:space="preserve">nyilvántartása. </w:t>
      </w:r>
      <w:r w:rsidR="00C70F73" w:rsidRPr="00E532FA">
        <w:rPr>
          <w:rFonts w:ascii="Times New Roman" w:eastAsiaTheme="minorEastAsia" w:hAnsi="Times New Roman"/>
          <w:color w:val="000000"/>
          <w:sz w:val="24"/>
          <w:szCs w:val="24"/>
        </w:rPr>
        <w:t>Szabadságok évközi egyeztetése, pótszabadságokról nyilatkoztatás.</w:t>
      </w:r>
    </w:p>
    <w:p w14:paraId="30354674" w14:textId="77777777" w:rsidR="00EC25F2" w:rsidRPr="00E532FA" w:rsidRDefault="00EC25F2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32FA">
        <w:rPr>
          <w:rFonts w:ascii="Times New Roman" w:eastAsiaTheme="minorEastAsia" w:hAnsi="Times New Roman"/>
          <w:color w:val="000000"/>
          <w:sz w:val="24"/>
          <w:szCs w:val="24"/>
        </w:rPr>
        <w:t>A munkába járással kapcsolatos utazási költségtérítés jogszabályok és nyilvántartások szerinti ellenőrzése.</w:t>
      </w:r>
    </w:p>
    <w:p w14:paraId="06DC8BDD" w14:textId="77777777" w:rsidR="00AD1B56" w:rsidRPr="00E532FA" w:rsidRDefault="00EC25F2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32FA">
        <w:rPr>
          <w:rFonts w:ascii="Times New Roman" w:eastAsiaTheme="minorEastAsia" w:hAnsi="Times New Roman"/>
          <w:color w:val="000000"/>
          <w:sz w:val="24"/>
          <w:szCs w:val="24"/>
        </w:rPr>
        <w:t xml:space="preserve">Közreműködés </w:t>
      </w:r>
      <w:r w:rsidR="00544C4A" w:rsidRPr="00E532FA">
        <w:rPr>
          <w:rFonts w:ascii="Times New Roman" w:eastAsiaTheme="minorEastAsia" w:hAnsi="Times New Roman"/>
          <w:color w:val="000000"/>
          <w:sz w:val="24"/>
          <w:szCs w:val="24"/>
        </w:rPr>
        <w:t xml:space="preserve">a dolgozók beléptetésével kapcsolatos feladatokban </w:t>
      </w:r>
      <w:r w:rsidR="00C70F73" w:rsidRPr="00E532FA">
        <w:rPr>
          <w:rFonts w:ascii="Times New Roman" w:eastAsiaTheme="minorEastAsia" w:hAnsi="Times New Roman"/>
          <w:color w:val="000000"/>
          <w:sz w:val="24"/>
          <w:szCs w:val="24"/>
        </w:rPr>
        <w:t xml:space="preserve">és </w:t>
      </w:r>
      <w:r w:rsidRPr="00E532FA">
        <w:rPr>
          <w:rFonts w:ascii="Times New Roman" w:eastAsiaTheme="minorEastAsia" w:hAnsi="Times New Roman"/>
          <w:color w:val="000000"/>
          <w:sz w:val="24"/>
          <w:szCs w:val="24"/>
        </w:rPr>
        <w:t>a kilépő dolgozók elszámolásában.</w:t>
      </w:r>
    </w:p>
    <w:p w14:paraId="55EE47D8" w14:textId="77777777" w:rsidR="00203D29" w:rsidRPr="00E532FA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314709E7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0D53B3FE" w14:textId="77777777" w:rsidR="003A1BCB" w:rsidRPr="00E532FA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F2CDF47" w14:textId="77777777" w:rsidR="00F93054" w:rsidRPr="00E532F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3A1BCB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ide </w:t>
      </w:r>
      <w:r w:rsidR="003A1BCB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értve</w:t>
      </w:r>
      <w:proofErr w:type="gramEnd"/>
      <w:r w:rsidR="003A1BCB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különösen a Külgazdasági és Külügyminisztérium Közszolgálati Szabályzatáról szóló 1/2020. (I. 31.) KKM KÁT utasításban foglaltak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14:paraId="577E95FC" w14:textId="77777777" w:rsidR="00F93054" w:rsidRPr="00E532F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E4CD3AB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546108E8" w14:textId="77777777" w:rsidR="00F93054" w:rsidRPr="00E532F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299F988E" w14:textId="77777777" w:rsidR="00F93054" w:rsidRPr="00E532F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6AAC451E" w14:textId="77777777" w:rsidR="00F93054" w:rsidRPr="00E532F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6DE47F50" w14:textId="77777777" w:rsidR="00F93054" w:rsidRPr="00E532F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71F52415" w14:textId="77777777" w:rsidR="00F93054" w:rsidRPr="00E532FA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14:paraId="64763BED" w14:textId="77777777" w:rsidR="00213262" w:rsidRPr="00E532FA" w:rsidRDefault="00EC25F2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MS Office</w:t>
      </w:r>
      <w:r w:rsidR="00213262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(Word, Excel) felhasználói szintű ismerete</w:t>
      </w:r>
    </w:p>
    <w:p w14:paraId="26E5EE82" w14:textId="77777777" w:rsidR="00167096" w:rsidRPr="00E532FA" w:rsidRDefault="00167096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Érettségi, vagy középfokú szakképesítés vagy szakképesítés-ráépülés felső középfokú részszakképesítés vagy szakképesítés szakma - középfokú szakképzettség szakképesítés speciális készségfejlesztő szakiskolai </w:t>
      </w:r>
      <w:proofErr w:type="gram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szakképzettség ,</w:t>
      </w:r>
      <w:proofErr w:type="gram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Általános programok és képzések, m.n.s., Társadalombiztosítási vagy munkaügyi ügyintéző.</w:t>
      </w:r>
    </w:p>
    <w:p w14:paraId="5DFBAAEB" w14:textId="77777777" w:rsidR="003E7197" w:rsidRPr="00E532FA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AD8F455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10221721" w14:textId="77777777" w:rsidR="005B0398" w:rsidRPr="00E532FA" w:rsidRDefault="005B0398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Illetmény-számfejtési vagy munkaügyi területen szerzett tapasztalat.</w:t>
      </w:r>
    </w:p>
    <w:p w14:paraId="06DE13F3" w14:textId="77777777" w:rsidR="001A330E" w:rsidRPr="00E532FA" w:rsidRDefault="00624BC7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KIRA számfejtési rendszer ismerete</w:t>
      </w:r>
    </w:p>
    <w:p w14:paraId="10B00548" w14:textId="77777777" w:rsidR="00167096" w:rsidRPr="00E532FA" w:rsidRDefault="00167096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Felsőfokú végzettséghez kötött szakképesítés alapképzés (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Bsc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BA), Főiskola</w:t>
      </w:r>
    </w:p>
    <w:p w14:paraId="4BC750E1" w14:textId="77777777" w:rsidR="00BD54C5" w:rsidRPr="00E532FA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14:paraId="3876AAA5" w14:textId="77777777" w:rsidR="00215F1E" w:rsidRPr="00E532FA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3B7D4CCA" w14:textId="77777777" w:rsidR="00203D29" w:rsidRPr="00E532FA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14:paraId="50F7BAD9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AC7EC06" w14:textId="77777777" w:rsidR="00370BC1" w:rsidRPr="00E532FA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72B6902C" w14:textId="77777777" w:rsidR="00370BC1" w:rsidRPr="00E532FA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14:paraId="60C5DAB3" w14:textId="77777777" w:rsidR="00370BC1" w:rsidRPr="00E532FA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csapatmunka, együttműködés</w:t>
      </w:r>
    </w:p>
    <w:p w14:paraId="2163E277" w14:textId="77777777" w:rsidR="001A330E" w:rsidRPr="00E532FA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ügyfél-orientáltság</w:t>
      </w:r>
    </w:p>
    <w:p w14:paraId="0FF3B61E" w14:textId="77777777" w:rsidR="00B154A0" w:rsidRPr="00E532FA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probléma-megoldó készség</w:t>
      </w:r>
    </w:p>
    <w:p w14:paraId="139E49EF" w14:textId="77777777" w:rsidR="00B154A0" w:rsidRPr="00E532FA" w:rsidRDefault="00B154A0" w:rsidP="00B154A0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munkateherbírás</w:t>
      </w:r>
    </w:p>
    <w:p w14:paraId="3A870FAB" w14:textId="77777777" w:rsidR="00B154A0" w:rsidRPr="00E532FA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70F5A6" w14:textId="77777777" w:rsidR="00F93054" w:rsidRPr="00E532FA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A8CDC0A" w14:textId="77777777" w:rsidR="00F93054" w:rsidRPr="00E532F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58E23357" w14:textId="77777777" w:rsidR="00F93054" w:rsidRPr="00E532F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8D863EC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207E5457" w14:textId="77777777" w:rsidR="00C668CC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29764DF8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A99FE0F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40B44C8E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FE9CBE2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 pályázat részeként elektronikus úton benyújtandó iratok, igazolások:</w:t>
      </w:r>
    </w:p>
    <w:p w14:paraId="273F9750" w14:textId="77777777" w:rsidR="00F93054" w:rsidRPr="00E532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14:paraId="4D9C955A" w14:textId="77777777" w:rsidR="00F93054" w:rsidRPr="00E532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0B1A8DDE" w14:textId="77777777" w:rsidR="00F93054" w:rsidRPr="00E532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14C12DE8" w14:textId="77777777" w:rsidR="00F93054" w:rsidRPr="00E532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dokumentumok 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520ACFDB" w14:textId="77777777" w:rsidR="00F93054" w:rsidRPr="00E532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03D4F5B4" w14:textId="77777777" w:rsidR="00F93054" w:rsidRPr="00E532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</w:t>
      </w:r>
      <w:r w:rsidR="00CF759A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E532F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1BE2B882" w14:textId="77777777" w:rsidR="00F93054" w:rsidRPr="00E532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E532F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E532F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63CD1CF4" w14:textId="77777777" w:rsidR="00F93054" w:rsidRPr="00E532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E532F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E532F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4EDCB2A7" w14:textId="77777777" w:rsidR="00F93054" w:rsidRPr="00E532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03BE8DBC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0500956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5983103E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412F8DC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A06834" w:rsidRPr="00E532F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2026.04.20</w:t>
      </w:r>
      <w:r w:rsidR="001A330E" w:rsidRPr="00E532F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14:paraId="36E1DDB3" w14:textId="77777777" w:rsidR="00C668CC" w:rsidRPr="00E532FA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202E456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13FE7596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3F1B3C4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532F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E532F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E532FA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24BC7"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&lt;Számfejtési ügyintéző</w:t>
      </w:r>
      <w:r w:rsidR="00667B9D"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0A8A297E" w14:textId="77777777" w:rsidR="00A71EAD" w:rsidRPr="00E532FA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1667E98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0413736D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93FC6C7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1EB9CA9D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89EA880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E532FA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06834" w:rsidRPr="00E532FA">
        <w:rPr>
          <w:rFonts w:ascii="Times New Roman" w:eastAsia="Times New Roman" w:hAnsi="Times New Roman"/>
          <w:sz w:val="24"/>
          <w:szCs w:val="24"/>
          <w:lang w:eastAsia="hu-HU"/>
        </w:rPr>
        <w:t>2026.04.30</w:t>
      </w:r>
      <w:r w:rsidR="00667B9D" w:rsidRPr="00E532F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59B30A91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4A9553C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2F37C29A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093165B1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jogviszony létesítéséhez </w:t>
      </w:r>
      <w:r w:rsidR="00A71EAD"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532FA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4716DF50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81D9C0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378B84D9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E745A76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E532FA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E532FA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50BF54B5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72176B3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39D38DCA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F35348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E532F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28CE9CEB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96699D9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1028CF56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8A6BDE2" w14:textId="77777777" w:rsidR="00F93054" w:rsidRPr="00E532FA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E532FA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E532FA">
        <w:rPr>
          <w:rFonts w:ascii="Times New Roman" w:hAnsi="Times New Roman"/>
        </w:rPr>
        <w:t>)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7FCF3DF2" w14:textId="77777777" w:rsidR="00C668CC" w:rsidRPr="00E532FA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C886B9E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28956C3C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765F97D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6E20F305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17F304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0ED29F06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412B4FFE" w14:textId="77777777" w:rsidR="00C668CC" w:rsidRPr="00E532FA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35A8AC10" w14:textId="77777777" w:rsidR="00C668CC" w:rsidRPr="00E532FA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2DDA972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754CD6" wp14:editId="2C11620B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DD640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2CBA46C4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139AA91" w14:textId="77777777" w:rsidR="00F93054" w:rsidRPr="00E532FA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1C513C98" w14:textId="77777777" w:rsidR="00F93054" w:rsidRPr="00E532F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738E445F" w14:textId="77777777" w:rsidR="00F93054" w:rsidRPr="00E532FA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33E1DBD9" w14:textId="77777777" w:rsidR="00F93054" w:rsidRPr="00E532F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7ABBE247" w14:textId="77777777" w:rsidR="00F93054" w:rsidRPr="00E532FA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14E4C4D1" w14:textId="77777777" w:rsidR="00F93054" w:rsidRPr="00E532FA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275F45B1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D0160E2" w14:textId="77777777" w:rsidR="00F93054" w:rsidRPr="00E532F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08EE7FD1" w14:textId="77777777" w:rsidR="00F93054" w:rsidRPr="00E532F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40AA33DE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C94954D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B309A04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2916CA3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001733F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2AEFD0C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E2E81EF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E532FA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393BA017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F796C45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03B6BB5" w14:textId="77777777" w:rsidR="00F93054" w:rsidRPr="00E532FA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729FD405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895B8C7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EB1198" wp14:editId="220EC6A4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9A6CD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22DE98F7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09EFA25" w14:textId="77777777" w:rsidR="00F93054" w:rsidRPr="00E532FA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7DEF430A" w14:textId="77777777" w:rsidR="00F93054" w:rsidRPr="00E532F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E532FA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5EEBE286" w14:textId="77777777" w:rsidR="00F93054" w:rsidRPr="00E532FA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A5E0D51" w14:textId="77777777" w:rsidR="00F93054" w:rsidRPr="00E532F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E532FA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25319FB7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C8E74C" w14:textId="77777777" w:rsidR="00F93054" w:rsidRPr="00E532F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E532FA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655E5B2C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FDC9DE5" w14:textId="77777777" w:rsidR="00F93054" w:rsidRPr="00E532F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7DA23E24" w14:textId="77777777" w:rsidR="00F93054" w:rsidRPr="00E532FA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5436F745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BB8E636" w14:textId="77777777" w:rsidR="00F93054" w:rsidRPr="00E532F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5F647EC8" w14:textId="77777777" w:rsidR="00F93054" w:rsidRPr="00E532F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2D609E57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EA747B8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2774F10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620DDF8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5F06609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287332C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E532FA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E753ED" wp14:editId="648B7679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3E662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32FA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07C2F8E7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5DD36832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12511B70" w14:textId="77777777" w:rsidR="00F93054" w:rsidRPr="00E532F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C963FEC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B1F2F54" w14:textId="77777777" w:rsidR="00F93054" w:rsidRPr="00E532FA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36678740" w14:textId="77777777" w:rsidR="00F93054" w:rsidRPr="00E532FA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CBC8502" w14:textId="77777777" w:rsidR="00F93054" w:rsidRPr="00E532F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274760A4" w14:textId="77777777" w:rsidR="00F93054" w:rsidRPr="00E532F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78532EEB" w14:textId="77777777" w:rsidR="00F93054" w:rsidRPr="00E532F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2A3BE82E" w14:textId="77777777" w:rsidR="00F93054" w:rsidRPr="00E532F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5746FB76" w14:textId="77777777" w:rsidR="00F93054" w:rsidRPr="00E532F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E532F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5929B409" w14:textId="77777777" w:rsidR="00F93054" w:rsidRPr="00E532F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FEC92C4" w14:textId="77777777" w:rsidR="00F93054" w:rsidRPr="00E532FA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21C72659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016E032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E532FA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38A3E363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0257254F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E532FA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643F0118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019D4CE" w14:textId="77777777" w:rsidR="00F93054" w:rsidRPr="00E532FA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5A05C092" w14:textId="77777777" w:rsidR="00F93054" w:rsidRPr="00E532F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9B983CC" w14:textId="77777777" w:rsidR="00F93054" w:rsidRPr="00E532F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4D01EC05" w14:textId="77777777" w:rsidR="00F93054" w:rsidRPr="00E532F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DC85D85" w14:textId="77777777" w:rsidR="00F93054" w:rsidRPr="00E532FA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6AB8B21F" w14:textId="77777777" w:rsidR="00F93054" w:rsidRPr="00E532FA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532FA" w14:paraId="4C512A99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4A96444D" w14:textId="77777777" w:rsidR="00F93054" w:rsidRPr="00E532FA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01C70D2D" w14:textId="77777777" w:rsidR="00F93054" w:rsidRPr="00E532FA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532FA" w14:paraId="66AE7168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60DC12B6" w14:textId="77777777" w:rsidR="00F93054" w:rsidRPr="00E532FA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E53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E53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75C6CCDF" w14:textId="77777777" w:rsidR="00F93054" w:rsidRPr="00E532FA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 w:rsidRPr="00E53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E53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4D41A049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9AEF3DF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77CEACAB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4EC30339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532FA" w14:paraId="39A9AD4C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F7926" w14:textId="77777777" w:rsidR="00F93054" w:rsidRPr="00E532FA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77FAC" w14:textId="77777777" w:rsidR="00F93054" w:rsidRPr="00E532FA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532FA" w14:paraId="2EDBC89C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9FED9" w14:textId="77777777" w:rsidR="00F93054" w:rsidRPr="00E532FA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E53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29430" w14:textId="77777777" w:rsidR="00F93054" w:rsidRPr="00E532FA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40ABD3FA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AEFE65A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0064DDF2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532FA" w14:paraId="516036D1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338D3" w14:textId="77777777" w:rsidR="00F93054" w:rsidRPr="00E532FA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7BB10" w14:textId="77777777" w:rsidR="00F93054" w:rsidRPr="00E532FA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532FA" w14:paraId="40A3C31D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3E03E" w14:textId="77777777" w:rsidR="00F93054" w:rsidRPr="00E532FA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E8F14" w14:textId="77777777" w:rsidR="00F93054" w:rsidRPr="00E532FA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53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658108FF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2431A32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50B7CD" w14:textId="77777777" w:rsidR="00F93054" w:rsidRPr="00E532FA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4CF5D1" wp14:editId="047F486B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5F8C0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4AA7D976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44E613B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6DF4EB59" w14:textId="77777777" w:rsidR="00F93054" w:rsidRPr="00E532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7F5AA25" w14:textId="77777777" w:rsidR="00F93054" w:rsidRPr="00E532FA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568D2E2C" w14:textId="77777777" w:rsidR="00F93054" w:rsidRPr="00E532FA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1313AEF" w14:textId="77777777" w:rsidR="00F93054" w:rsidRPr="00E532FA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58AE9A58" w14:textId="77777777" w:rsidR="00F93054" w:rsidRPr="00E532FA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D6412AA" w14:textId="77777777" w:rsidR="00F93054" w:rsidRPr="00E532FA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432CC9E4" w14:textId="77777777" w:rsidR="00F93054" w:rsidRPr="00E532F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84A0A45" w14:textId="77777777" w:rsidR="00F93054" w:rsidRPr="00E532F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3B78B5C2" w14:textId="77777777" w:rsidR="00F93054" w:rsidRPr="00E532F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0E1B243" w14:textId="77777777" w:rsidR="00F93054" w:rsidRPr="00E532F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0D808591" w14:textId="77777777" w:rsidR="00ED7FB4" w:rsidRPr="00E532FA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690BB42" w14:textId="77777777" w:rsidR="00F93054" w:rsidRPr="00E532FA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496C9391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565EB2E" w14:textId="77777777" w:rsidR="00F93054" w:rsidRPr="00E532FA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11FC24D2" w14:textId="77777777" w:rsidR="00F93054" w:rsidRPr="00E532F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1D4F5A" w14:textId="77777777" w:rsidR="00F93054" w:rsidRPr="00E532F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2C79F8FA" w14:textId="77777777" w:rsidR="00F93054" w:rsidRPr="00E532F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E515B05" w14:textId="77777777" w:rsidR="00F93054" w:rsidRPr="00E532F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721DC49A" w14:textId="77777777" w:rsidR="00F93054" w:rsidRPr="00E532F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0C3676" w14:textId="77777777" w:rsidR="00F93054" w:rsidRPr="00E532F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1E924A13" w14:textId="77777777" w:rsidR="00F93054" w:rsidRPr="00E532F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308275" w14:textId="77777777" w:rsidR="00F93054" w:rsidRPr="00E532F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7909AE3F" w14:textId="77777777" w:rsidR="00F93054" w:rsidRPr="00E532F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036EAEE3" w14:textId="77777777" w:rsidR="00F93054" w:rsidRPr="00E532F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4837E1A7" w14:textId="77777777" w:rsidR="00F93054" w:rsidRPr="00E532F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22D89D6F" w14:textId="77777777" w:rsidR="00F93054" w:rsidRPr="00E532F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6B1C7607" w14:textId="77777777" w:rsidR="00F93054" w:rsidRPr="00E532FA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3DE8C80E" w14:textId="77777777" w:rsidR="00F93054" w:rsidRPr="00E532F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264F8EF0" w14:textId="77777777" w:rsidR="00F93054" w:rsidRPr="00E532FA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552B5C76" w14:textId="77777777" w:rsidR="00F93054" w:rsidRPr="00E532FA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86FB72" w14:textId="77777777" w:rsidR="00F93054" w:rsidRPr="00E532F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E532F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532F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09DD28" wp14:editId="6F76086B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6715C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046949CA" w14:textId="77777777" w:rsidR="00F93054" w:rsidRPr="00E532F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6408A25" w14:textId="77777777" w:rsidR="00F93054" w:rsidRPr="00E532F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05009D63" w14:textId="77777777" w:rsidR="00F93054" w:rsidRPr="00E532F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3A2A0AE" w14:textId="77777777" w:rsidR="00F93054" w:rsidRPr="00E532F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10FAF227" w14:textId="77777777" w:rsidR="00F93054" w:rsidRPr="00E532F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6288BD4" w14:textId="77777777" w:rsidR="00F93054" w:rsidRPr="00E532F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5C88E655" w14:textId="77777777" w:rsidR="00F93054" w:rsidRPr="00E532F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AF92C11" w14:textId="77777777" w:rsidR="00F93054" w:rsidRPr="00E532F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141C2BD8" w14:textId="77777777" w:rsidR="00F93054" w:rsidRPr="00E532FA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17CAC2A1" w14:textId="77777777" w:rsidR="00F93054" w:rsidRPr="00E532FA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58996710" w14:textId="77777777" w:rsidR="00F93054" w:rsidRPr="00E532FA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1013C315" w14:textId="77777777" w:rsidR="00F93054" w:rsidRPr="00E532FA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612FB02E" w14:textId="77777777" w:rsidR="00F93054" w:rsidRPr="00E532FA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D86AD59" w14:textId="77777777" w:rsidR="00F93054" w:rsidRPr="00E532F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32B52AF7" w14:textId="77777777" w:rsidR="00F93054" w:rsidRPr="00E532F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B3E147A" w14:textId="77777777" w:rsidR="00F93054" w:rsidRPr="00E532F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47A488DA" w14:textId="77777777" w:rsidR="00F93054" w:rsidRPr="00E532F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0E22E8D7" w14:textId="77777777" w:rsidR="00F93054" w:rsidRPr="00E532F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6C4B4B2E" w14:textId="77777777" w:rsidR="00F93054" w:rsidRPr="00E532F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1F902411" w14:textId="77777777" w:rsidR="00F93054" w:rsidRPr="00E532F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</w:t>
      </w:r>
      <w:proofErr w:type="gramStart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KKM  számára</w:t>
      </w:r>
      <w:proofErr w:type="gramEnd"/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jogszabály törlési kötelezettséget állapít meg, és annak még nem tett eleget.</w:t>
      </w:r>
    </w:p>
    <w:p w14:paraId="77C4597E" w14:textId="77777777" w:rsidR="00F93054" w:rsidRPr="00E532F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2AA3541" w14:textId="77777777" w:rsidR="00F93054" w:rsidRPr="00E532F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16C9C978" w14:textId="77777777" w:rsidR="00F93054" w:rsidRPr="00E532FA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642C5AD" w14:textId="77777777" w:rsidR="00F93054" w:rsidRPr="00E532FA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5AA669D1" w14:textId="77777777" w:rsidR="00F93054" w:rsidRPr="00E532FA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E532F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E532F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3D366D50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E532FA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E532F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E532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6C0C6F9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422431C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2309C"/>
    <w:rsid w:val="005307B9"/>
    <w:rsid w:val="00541FB7"/>
    <w:rsid w:val="00544C4A"/>
    <w:rsid w:val="00550F0C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11510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35418"/>
    <w:rsid w:val="00737DB5"/>
    <w:rsid w:val="007404C8"/>
    <w:rsid w:val="0074754C"/>
    <w:rsid w:val="00757B6D"/>
    <w:rsid w:val="007845CB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06834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4A0"/>
    <w:rsid w:val="00B24082"/>
    <w:rsid w:val="00B34D77"/>
    <w:rsid w:val="00B54D01"/>
    <w:rsid w:val="00B74DC7"/>
    <w:rsid w:val="00B875A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27FF"/>
    <w:rsid w:val="00E45674"/>
    <w:rsid w:val="00E52919"/>
    <w:rsid w:val="00E532FA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9AE8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2858</Words>
  <Characters>19726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2026-04-09T14:05:00Z</dcterms:created>
  <dcterms:modified xsi:type="dcterms:W3CDTF">2026-04-09T14:19:00Z</dcterms:modified>
</cp:coreProperties>
</file>