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77FA" w14:textId="77777777" w:rsidR="00A94EFE" w:rsidRPr="00377D59" w:rsidRDefault="7A1FFE35" w:rsidP="7A1FFE35">
      <w:pPr>
        <w:tabs>
          <w:tab w:val="center" w:pos="4536"/>
        </w:tabs>
        <w:bidi/>
        <w:spacing w:after="120" w:line="240" w:lineRule="auto"/>
        <w:ind w:left="-142" w:right="-1" w:firstLine="142"/>
        <w:rPr>
          <w:rFonts w:ascii="Times New Roman" w:eastAsia="Times New Roman" w:hAnsi="Times New Roman" w:cs="Times New Roman"/>
          <w:b/>
          <w:bCs/>
          <w:smallCaps/>
          <w:sz w:val="32"/>
          <w:szCs w:val="32"/>
          <w:lang w:eastAsia="hu-HU"/>
        </w:rPr>
      </w:pPr>
      <w:r w:rsidRPr="7A1FFE35">
        <w:rPr>
          <w:rFonts w:ascii="Times New Roman" w:eastAsia="Times New Roman" w:hAnsi="Times New Roman" w:cs="Times New Roman"/>
          <w:b/>
          <w:bCs/>
          <w:smallCaps/>
          <w:sz w:val="32"/>
          <w:szCs w:val="32"/>
          <w:lang w:eastAsia="hu-HU"/>
        </w:rPr>
        <w:t>Nemzetgazdasági Minisztérium</w:t>
      </w:r>
    </w:p>
    <w:p w14:paraId="36F33C9C" w14:textId="77777777" w:rsidR="001E689B" w:rsidRPr="00377D59" w:rsidRDefault="001E689B"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5"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6"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7"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8"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9"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26"/>
          <w:szCs w:val="26"/>
          <w:lang w:eastAsia="hu-HU"/>
        </w:rPr>
      </w:pPr>
    </w:p>
    <w:p w14:paraId="7B7689EB" w14:textId="74BA5630" w:rsidR="00B155FE" w:rsidRDefault="00B155FE"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4EE6826E" w14:textId="77777777" w:rsidR="000A4839" w:rsidRPr="00377D59" w:rsidRDefault="000A4839"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7B7689EC"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D"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E"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F" w14:textId="77777777" w:rsidR="00B155FE" w:rsidRPr="00377D59" w:rsidRDefault="00B155FE" w:rsidP="7A1FFE35">
      <w:pPr>
        <w:keepNext/>
        <w:widowControl w:val="0"/>
        <w:spacing w:after="120" w:line="240" w:lineRule="auto"/>
        <w:jc w:val="center"/>
        <w:rPr>
          <w:rFonts w:ascii="Times New Roman" w:eastAsia="Times New Roman" w:hAnsi="Times New Roman" w:cs="Times New Roman"/>
          <w:b/>
          <w:bCs/>
          <w:caps/>
          <w:sz w:val="32"/>
          <w:szCs w:val="32"/>
          <w:lang w:eastAsia="hu-HU"/>
        </w:rPr>
      </w:pPr>
      <w:r w:rsidRPr="00377D59">
        <w:rPr>
          <w:rFonts w:ascii="Times New Roman" w:eastAsia="Times New Roman" w:hAnsi="Times New Roman" w:cs="Times New Roman"/>
          <w:b/>
          <w:bCs/>
          <w:caps/>
          <w:spacing w:val="60"/>
          <w:sz w:val="32"/>
          <w:szCs w:val="32"/>
          <w:lang w:eastAsia="hu-HU"/>
        </w:rPr>
        <w:t>Tájékoztató</w:t>
      </w:r>
    </w:p>
    <w:p w14:paraId="5AE02B14" w14:textId="5F6CA985" w:rsidR="00B94CCA" w:rsidRPr="00377D59" w:rsidRDefault="7A1FFE35" w:rsidP="7A1FFE35">
      <w:pPr>
        <w:keepNext/>
        <w:tabs>
          <w:tab w:val="left" w:pos="2694"/>
        </w:tabs>
        <w:spacing w:after="120" w:line="240" w:lineRule="auto"/>
        <w:ind w:right="-1"/>
        <w:jc w:val="center"/>
        <w:outlineLvl w:val="1"/>
        <w:rPr>
          <w:rFonts w:ascii="Times New Roman" w:eastAsia="Times New Roman" w:hAnsi="Times New Roman" w:cs="Times New Roman"/>
          <w:b/>
          <w:bCs/>
          <w:i/>
          <w:iCs/>
          <w:sz w:val="26"/>
          <w:szCs w:val="26"/>
          <w:lang w:eastAsia="hu-HU"/>
        </w:rPr>
      </w:pPr>
      <w:r w:rsidRPr="7A1FFE35">
        <w:rPr>
          <w:rFonts w:ascii="Times New Roman" w:eastAsia="Times New Roman" w:hAnsi="Times New Roman" w:cs="Times New Roman"/>
          <w:b/>
          <w:bCs/>
          <w:i/>
          <w:iCs/>
          <w:sz w:val="26"/>
          <w:szCs w:val="26"/>
          <w:lang w:eastAsia="hu-HU"/>
        </w:rPr>
        <w:t>az államháztartás központi alrendszerének</w:t>
      </w:r>
      <w:r w:rsidR="00371825">
        <w:br/>
      </w:r>
      <w:r w:rsidRPr="7A1FFE35">
        <w:rPr>
          <w:rFonts w:ascii="Times New Roman" w:eastAsia="Times New Roman" w:hAnsi="Times New Roman" w:cs="Times New Roman"/>
          <w:b/>
          <w:bCs/>
          <w:i/>
          <w:iCs/>
          <w:sz w:val="26"/>
          <w:szCs w:val="26"/>
          <w:lang w:eastAsia="hu-HU"/>
        </w:rPr>
        <w:t xml:space="preserve">2025. </w:t>
      </w:r>
      <w:r w:rsidR="00300C27">
        <w:rPr>
          <w:rFonts w:ascii="Times New Roman" w:eastAsia="Times New Roman" w:hAnsi="Times New Roman" w:cs="Times New Roman"/>
          <w:b/>
          <w:bCs/>
          <w:i/>
          <w:iCs/>
          <w:sz w:val="26"/>
          <w:szCs w:val="26"/>
          <w:lang w:eastAsia="hu-HU"/>
        </w:rPr>
        <w:t>december</w:t>
      </w:r>
      <w:r w:rsidRPr="7A1FFE35">
        <w:rPr>
          <w:rFonts w:ascii="Times New Roman" w:eastAsia="Times New Roman" w:hAnsi="Times New Roman" w:cs="Times New Roman"/>
          <w:b/>
          <w:bCs/>
          <w:i/>
          <w:iCs/>
          <w:sz w:val="26"/>
          <w:szCs w:val="26"/>
          <w:lang w:eastAsia="hu-HU"/>
        </w:rPr>
        <w:t xml:space="preserve"> végi helyzetéről</w:t>
      </w:r>
    </w:p>
    <w:p w14:paraId="7B7689F2" w14:textId="2D4563EC" w:rsidR="00B155FE" w:rsidRPr="00377D59" w:rsidRDefault="00B155FE"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4A2F8C9F"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D327E5D"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35267E04"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20BD3D31"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6E13D32"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59F56A13"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7B7689F4"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6"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7"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8" w14:textId="7C3BEFF0" w:rsidR="00B155FE" w:rsidRPr="00377D59" w:rsidRDefault="00B155FE" w:rsidP="00EA1F58">
      <w:pPr>
        <w:tabs>
          <w:tab w:val="left" w:pos="5685"/>
        </w:tabs>
        <w:spacing w:after="120" w:line="240" w:lineRule="auto"/>
        <w:jc w:val="both"/>
        <w:rPr>
          <w:rFonts w:ascii="Times New Roman" w:eastAsia="Times New Roman" w:hAnsi="Times New Roman" w:cs="Times New Roman"/>
          <w:sz w:val="26"/>
          <w:szCs w:val="20"/>
          <w:lang w:eastAsia="hu-HU"/>
        </w:rPr>
      </w:pPr>
    </w:p>
    <w:p w14:paraId="7B7689F9"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A"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B"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1CF999E6" w14:textId="03B00ABF" w:rsidR="00E97147" w:rsidRPr="00377D59" w:rsidRDefault="00B155FE" w:rsidP="7A1FFE35">
      <w:pPr>
        <w:tabs>
          <w:tab w:val="left" w:pos="2694"/>
        </w:tabs>
        <w:spacing w:after="120" w:line="240" w:lineRule="auto"/>
        <w:jc w:val="center"/>
        <w:rPr>
          <w:rFonts w:ascii="Times New Roman" w:eastAsia="Times New Roman" w:hAnsi="Times New Roman" w:cs="Times New Roman"/>
          <w:b/>
          <w:bCs/>
          <w:lang w:eastAsia="hu-HU"/>
        </w:rPr>
        <w:sectPr w:rsidR="00E97147" w:rsidRPr="00377D59" w:rsidSect="007449BF">
          <w:headerReference w:type="default" r:id="rId11"/>
          <w:footerReference w:type="default" r:id="rId12"/>
          <w:footerReference w:type="first" r:id="rId13"/>
          <w:footnotePr>
            <w:numRestart w:val="eachPage"/>
          </w:footnotePr>
          <w:pgSz w:w="11907" w:h="16840" w:code="9"/>
          <w:pgMar w:top="1134" w:right="1134" w:bottom="1418" w:left="1418" w:header="709" w:footer="709" w:gutter="0"/>
          <w:pgNumType w:fmt="numberInDash" w:start="0"/>
          <w:cols w:space="708"/>
          <w:docGrid w:linePitch="354"/>
        </w:sectPr>
      </w:pPr>
      <w:r w:rsidRPr="00377D59">
        <w:rPr>
          <w:rFonts w:ascii="Times New Roman" w:eastAsia="Times New Roman" w:hAnsi="Times New Roman" w:cs="Times New Roman"/>
          <w:b/>
          <w:bCs/>
          <w:noProof/>
          <w:lang w:eastAsia="hu-HU"/>
        </w:rPr>
        <mc:AlternateContent>
          <mc:Choice Requires="wps">
            <w:drawing>
              <wp:anchor distT="0" distB="0" distL="114300" distR="114300" simplePos="0" relativeHeight="251658240" behindDoc="0" locked="0" layoutInCell="1" allowOverlap="1" wp14:anchorId="7B768C6C" wp14:editId="7B768C6D">
                <wp:simplePos x="0" y="0"/>
                <wp:positionH relativeFrom="column">
                  <wp:posOffset>2336732</wp:posOffset>
                </wp:positionH>
                <wp:positionV relativeFrom="paragraph">
                  <wp:posOffset>980217</wp:posOffset>
                </wp:positionV>
                <wp:extent cx="971550" cy="393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D87395B">
              <v:rect id="Rectangle 2" style="position:absolute;margin-left:184pt;margin-top:77.2pt;width:76.5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986F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D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"/>
            </w:pict>
          </mc:Fallback>
        </mc:AlternateContent>
      </w:r>
      <w:r w:rsidRPr="00377D59">
        <w:rPr>
          <w:rFonts w:ascii="Times New Roman" w:eastAsia="Times New Roman" w:hAnsi="Times New Roman" w:cs="Times New Roman"/>
          <w:b/>
          <w:bCs/>
          <w:lang w:eastAsia="hu-HU"/>
        </w:rPr>
        <w:t>202</w:t>
      </w:r>
      <w:r w:rsidR="00300C27">
        <w:rPr>
          <w:rFonts w:ascii="Times New Roman" w:eastAsia="Times New Roman" w:hAnsi="Times New Roman" w:cs="Times New Roman"/>
          <w:b/>
          <w:bCs/>
          <w:lang w:eastAsia="hu-HU"/>
        </w:rPr>
        <w:t>6</w:t>
      </w:r>
      <w:r w:rsidRPr="00377D59">
        <w:rPr>
          <w:rFonts w:ascii="Times New Roman" w:eastAsia="Times New Roman" w:hAnsi="Times New Roman" w:cs="Times New Roman"/>
          <w:b/>
          <w:bCs/>
          <w:lang w:eastAsia="hu-HU"/>
        </w:rPr>
        <w:t xml:space="preserve">. </w:t>
      </w:r>
      <w:r w:rsidR="00300C27">
        <w:rPr>
          <w:rFonts w:ascii="Times New Roman" w:eastAsia="Times New Roman" w:hAnsi="Times New Roman" w:cs="Times New Roman"/>
          <w:b/>
          <w:bCs/>
          <w:lang w:eastAsia="hu-HU"/>
        </w:rPr>
        <w:t>január</w:t>
      </w:r>
    </w:p>
    <w:p w14:paraId="7B7689FF" w14:textId="77777777" w:rsidR="00B155FE" w:rsidRPr="00377D59" w:rsidRDefault="7A1FFE35" w:rsidP="7A1FFE35">
      <w:pPr>
        <w:keepNext/>
        <w:spacing w:before="240" w:after="120" w:line="360" w:lineRule="auto"/>
        <w:ind w:left="425" w:hanging="425"/>
        <w:jc w:val="center"/>
        <w:outlineLvl w:val="3"/>
        <w:rPr>
          <w:rFonts w:ascii="Times New Roman" w:eastAsia="Times New Roman" w:hAnsi="Times New Roman" w:cs="Times New Roman"/>
          <w:b/>
          <w:bCs/>
          <w:caps/>
          <w:color w:val="000000" w:themeColor="text1"/>
          <w:sz w:val="26"/>
          <w:szCs w:val="26"/>
          <w:lang w:eastAsia="hu-HU"/>
        </w:rPr>
      </w:pPr>
      <w:r w:rsidRPr="7A1FFE35">
        <w:rPr>
          <w:rFonts w:ascii="Times New Roman" w:eastAsia="Times New Roman" w:hAnsi="Times New Roman" w:cs="Times New Roman"/>
          <w:b/>
          <w:bCs/>
          <w:caps/>
          <w:color w:val="000000" w:themeColor="text1"/>
          <w:sz w:val="26"/>
          <w:szCs w:val="26"/>
          <w:lang w:eastAsia="hu-HU"/>
        </w:rPr>
        <w:lastRenderedPageBreak/>
        <w:t>Összefoglalás</w:t>
      </w:r>
    </w:p>
    <w:p w14:paraId="6CF9F293" w14:textId="77777777" w:rsidR="00452639" w:rsidRDefault="7A1FFE35" w:rsidP="00452639">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7A1FFE35">
        <w:rPr>
          <w:rFonts w:ascii="Times New Roman" w:eastAsia="Times New Roman" w:hAnsi="Times New Roman" w:cs="Times New Roman"/>
          <w:b/>
          <w:bCs/>
          <w:color w:val="000000" w:themeColor="text1"/>
          <w:sz w:val="26"/>
          <w:szCs w:val="26"/>
          <w:lang w:eastAsia="hu-HU"/>
        </w:rPr>
        <w:t>Magyarország pénzügyei rendezettek.</w:t>
      </w:r>
      <w:r w:rsidR="00452639">
        <w:rPr>
          <w:rFonts w:ascii="Times New Roman" w:eastAsia="Times New Roman" w:hAnsi="Times New Roman" w:cs="Times New Roman"/>
          <w:b/>
          <w:bCs/>
          <w:color w:val="000000" w:themeColor="text1"/>
          <w:sz w:val="26"/>
          <w:szCs w:val="26"/>
          <w:lang w:eastAsia="hu-HU"/>
        </w:rPr>
        <w:t xml:space="preserve"> </w:t>
      </w:r>
      <w:r w:rsidR="00300C27" w:rsidRPr="00452639">
        <w:rPr>
          <w:rFonts w:ascii="Times New Roman" w:eastAsia="Times New Roman" w:hAnsi="Times New Roman" w:cs="Times New Roman"/>
          <w:b/>
          <w:bCs/>
          <w:color w:val="000000" w:themeColor="text1"/>
          <w:sz w:val="26"/>
          <w:szCs w:val="26"/>
          <w:lang w:eastAsia="hu-HU"/>
        </w:rPr>
        <w:t xml:space="preserve">Így a kormány 2025-ben is minden szükséges forrást előteremtett az olyan családokat, nyugdíjasokat, fiatalokat és vállalkozásokat támogató programokhoz, mint például: a fix 3%-os Otthon Start Program, a fix 3%-os kkv-hitel, a családi adókedvezmény megemelése, a háromgyermekes anyák szja-mentessége, a nyugdíjasok 30 ezer forintos élelmiszer-utalványa, vagy a Demján Sándor Program. A kormány mindezt a költségvetés stabilitásának megőrzése mellett valósította meg, ami komoly eredmény a jelenlegi negatív külső gazdasági környezetben. </w:t>
      </w:r>
    </w:p>
    <w:p w14:paraId="4C19ED11" w14:textId="4F723F79" w:rsidR="00300C27" w:rsidRPr="00452639" w:rsidRDefault="00300C27" w:rsidP="00452639">
      <w:pPr>
        <w:widowControl w:val="0"/>
        <w:spacing w:after="120" w:line="254" w:lineRule="auto"/>
        <w:jc w:val="both"/>
        <w:rPr>
          <w:rFonts w:ascii="Times New Roman" w:eastAsia="Times New Roman" w:hAnsi="Times New Roman" w:cs="Times New Roman"/>
          <w:b/>
          <w:bCs/>
          <w:color w:val="000000" w:themeColor="text1"/>
          <w:sz w:val="26"/>
          <w:szCs w:val="26"/>
          <w:lang w:eastAsia="hu-HU"/>
        </w:rPr>
      </w:pPr>
      <w:r w:rsidRPr="00300C27">
        <w:rPr>
          <w:rFonts w:ascii="Times New Roman" w:eastAsia="Times New Roman" w:hAnsi="Times New Roman" w:cs="Times New Roman"/>
          <w:color w:val="000000" w:themeColor="text1"/>
          <w:sz w:val="26"/>
          <w:szCs w:val="26"/>
          <w:lang w:eastAsia="hu-HU"/>
        </w:rPr>
        <w:t>A 2025-ös évben magasabban teljesültek az adó- és járulékbevételek és az elkülönített állami pénzalapok is többletet mutattak. Tavaly az állam többet fordított a közlekedési és közüzemi szolgáltatásokra, gyógyító-megelőző, valamint nyugellátásokra is.</w:t>
      </w:r>
    </w:p>
    <w:p w14:paraId="19A8829D" w14:textId="60569030" w:rsidR="00300C27" w:rsidRPr="00300C27" w:rsidRDefault="00300C27" w:rsidP="00300C27">
      <w:pPr>
        <w:jc w:val="both"/>
        <w:rPr>
          <w:rFonts w:ascii="Times New Roman" w:eastAsia="Times New Roman" w:hAnsi="Times New Roman" w:cs="Times New Roman"/>
          <w:color w:val="000000" w:themeColor="text1"/>
          <w:sz w:val="26"/>
          <w:szCs w:val="26"/>
          <w:lang w:eastAsia="hu-HU"/>
        </w:rPr>
      </w:pPr>
      <w:r w:rsidRPr="00300C27">
        <w:rPr>
          <w:rFonts w:ascii="Times New Roman" w:eastAsia="Times New Roman" w:hAnsi="Times New Roman" w:cs="Times New Roman"/>
          <w:color w:val="000000" w:themeColor="text1"/>
          <w:sz w:val="26"/>
          <w:szCs w:val="26"/>
          <w:lang w:eastAsia="hu-HU"/>
        </w:rPr>
        <w:t>Az államháztartás központi alrendszere tavaly 5738,7 milliárd forintos hiánnyal zárt. A</w:t>
      </w:r>
      <w:r>
        <w:rPr>
          <w:rFonts w:ascii="Times New Roman" w:eastAsia="Times New Roman" w:hAnsi="Times New Roman" w:cs="Times New Roman"/>
          <w:color w:val="000000" w:themeColor="text1"/>
          <w:sz w:val="26"/>
          <w:szCs w:val="26"/>
          <w:lang w:eastAsia="hu-HU"/>
        </w:rPr>
        <w:t> </w:t>
      </w:r>
      <w:r w:rsidRPr="00300C27">
        <w:rPr>
          <w:rFonts w:ascii="Times New Roman" w:eastAsia="Times New Roman" w:hAnsi="Times New Roman" w:cs="Times New Roman"/>
          <w:color w:val="000000" w:themeColor="text1"/>
          <w:sz w:val="26"/>
          <w:szCs w:val="26"/>
          <w:lang w:eastAsia="hu-HU"/>
        </w:rPr>
        <w:t>központi alrendszeren belül a központi költségvetés 5500,1 milliárd forintos hiányt, az elkülönített állami pénzalapok 7,3 milliárd forintos többletet, a társadalombiztosítás pénzügyi alapjai pedig 245,9 milliárd forintos hiányt mutattak.</w:t>
      </w:r>
    </w:p>
    <w:p w14:paraId="70A787EA" w14:textId="063CA5EF" w:rsidR="00300C27" w:rsidRPr="00300C27" w:rsidRDefault="00300C27" w:rsidP="00300C27">
      <w:pPr>
        <w:jc w:val="both"/>
        <w:rPr>
          <w:rFonts w:ascii="Times New Roman" w:eastAsia="Times New Roman" w:hAnsi="Times New Roman" w:cs="Times New Roman"/>
          <w:color w:val="000000" w:themeColor="text1"/>
          <w:sz w:val="26"/>
          <w:szCs w:val="26"/>
          <w:lang w:eastAsia="hu-HU"/>
        </w:rPr>
      </w:pPr>
      <w:r w:rsidRPr="00300C27">
        <w:rPr>
          <w:rFonts w:ascii="Times New Roman" w:eastAsia="Times New Roman" w:hAnsi="Times New Roman" w:cs="Times New Roman"/>
          <w:color w:val="000000" w:themeColor="text1"/>
          <w:sz w:val="26"/>
          <w:szCs w:val="26"/>
          <w:lang w:eastAsia="hu-HU"/>
        </w:rPr>
        <w:t>Fontos kiemelni, hogy a 2025. évi pénzforgalmi hiányt 248 milliárd forinttal növelte, hogy az Európai Bizottság a közösségi büdzsé likviditáshiányára hivatkozva ekkora összeget nem utalt át december utolsó napjaiban</w:t>
      </w:r>
      <w:r w:rsidRPr="00B44CBF">
        <w:rPr>
          <w:rFonts w:ascii="Times New Roman" w:eastAsia="Times New Roman" w:hAnsi="Times New Roman" w:cs="Times New Roman"/>
          <w:color w:val="000000" w:themeColor="text1"/>
          <w:sz w:val="26"/>
          <w:szCs w:val="26"/>
          <w:lang w:eastAsia="hu-HU"/>
        </w:rPr>
        <w:t xml:space="preserve">, </w:t>
      </w:r>
      <w:r w:rsidR="00B44CBF" w:rsidRPr="00B44CBF">
        <w:rPr>
          <w:rFonts w:ascii="Times New Roman" w:eastAsia="Times New Roman" w:hAnsi="Times New Roman" w:cs="Times New Roman"/>
          <w:color w:val="000000" w:themeColor="text1"/>
          <w:sz w:val="26"/>
          <w:szCs w:val="26"/>
          <w:lang w:eastAsia="hu-HU"/>
        </w:rPr>
        <w:t>ezekből az összegekből a két legnagyobb tétel, több mint 200 milliárd forint 2026. január 14-én megérkezett.</w:t>
      </w:r>
      <w:r w:rsidRPr="00300C27">
        <w:rPr>
          <w:rFonts w:ascii="Times New Roman" w:eastAsia="Times New Roman" w:hAnsi="Times New Roman" w:cs="Times New Roman"/>
          <w:color w:val="000000" w:themeColor="text1"/>
          <w:sz w:val="26"/>
          <w:szCs w:val="26"/>
          <w:lang w:eastAsia="hu-HU"/>
        </w:rPr>
        <w:t xml:space="preserve"> Mindezt figyelembe véve a pénzforgalmi hiány 2025-ben a tervezettek szerint alakult.</w:t>
      </w:r>
    </w:p>
    <w:p w14:paraId="661615C4" w14:textId="66D2A9C4" w:rsidR="00300C27" w:rsidRPr="00300C27" w:rsidRDefault="00300C27" w:rsidP="00300C27">
      <w:pPr>
        <w:jc w:val="both"/>
        <w:rPr>
          <w:rFonts w:ascii="Times New Roman" w:eastAsia="Times New Roman" w:hAnsi="Times New Roman" w:cs="Times New Roman"/>
          <w:color w:val="000000" w:themeColor="text1"/>
          <w:sz w:val="26"/>
          <w:szCs w:val="26"/>
          <w:lang w:eastAsia="hu-HU"/>
        </w:rPr>
      </w:pPr>
      <w:r w:rsidRPr="00300C27">
        <w:rPr>
          <w:rFonts w:ascii="Times New Roman" w:eastAsia="Times New Roman" w:hAnsi="Times New Roman" w:cs="Times New Roman"/>
          <w:color w:val="000000" w:themeColor="text1"/>
          <w:sz w:val="26"/>
          <w:szCs w:val="26"/>
          <w:lang w:eastAsia="hu-HU"/>
        </w:rPr>
        <w:t>2024-hez viszonyítva a központi alrendszer adó- és járulékbevételei 8,0 százalékkal magasabban alakultak. Ezen belül a fogyasztáshoz kapcsolódó adók esetében 9,5</w:t>
      </w:r>
      <w:r>
        <w:rPr>
          <w:rFonts w:ascii="Times New Roman" w:eastAsia="Times New Roman" w:hAnsi="Times New Roman" w:cs="Times New Roman"/>
          <w:color w:val="000000" w:themeColor="text1"/>
          <w:sz w:val="26"/>
          <w:szCs w:val="26"/>
          <w:lang w:eastAsia="hu-HU"/>
        </w:rPr>
        <w:t> </w:t>
      </w:r>
      <w:r w:rsidRPr="00300C27">
        <w:rPr>
          <w:rFonts w:ascii="Times New Roman" w:eastAsia="Times New Roman" w:hAnsi="Times New Roman" w:cs="Times New Roman"/>
          <w:color w:val="000000" w:themeColor="text1"/>
          <w:sz w:val="26"/>
          <w:szCs w:val="26"/>
          <w:lang w:eastAsia="hu-HU"/>
        </w:rPr>
        <w:t>százalékos növekedés történt. Kamatkiadásokra a 2025. évben 4197,8 milliárd forint kifizetése történt meg, ami 584,7 milliárd forinttal magasabb a 2024-es teljesítésnél.</w:t>
      </w:r>
    </w:p>
    <w:p w14:paraId="784DE07C" w14:textId="77777777" w:rsidR="00300C27" w:rsidRPr="00300C27" w:rsidRDefault="00300C27" w:rsidP="00300C27">
      <w:pPr>
        <w:jc w:val="both"/>
        <w:rPr>
          <w:rFonts w:ascii="Times New Roman" w:eastAsia="Times New Roman" w:hAnsi="Times New Roman" w:cs="Times New Roman"/>
          <w:color w:val="000000" w:themeColor="text1"/>
          <w:sz w:val="26"/>
          <w:szCs w:val="26"/>
          <w:lang w:eastAsia="hu-HU"/>
        </w:rPr>
      </w:pPr>
      <w:r w:rsidRPr="00300C27">
        <w:rPr>
          <w:rFonts w:ascii="Times New Roman" w:eastAsia="Times New Roman" w:hAnsi="Times New Roman" w:cs="Times New Roman"/>
          <w:color w:val="000000" w:themeColor="text1"/>
          <w:sz w:val="26"/>
          <w:szCs w:val="26"/>
          <w:lang w:eastAsia="hu-HU"/>
        </w:rPr>
        <w:t>Az állami közlekedési és közüzemi szolgáltatásokra fordított, összesen 2652,3 milliárd forint kifizetés 344,5 milliárd forinttal magasabb a 2024-es kiadásnál. A teljesítési adatok magasabb összege – többek között – a gyorsforgalmi úthálózat rendelkezésre állási díjának szerződésből fakadó változásából, továbbá a Víziközmű-fejlesztési és Ellentételezési Alapból a víziközmű-szolgáltatók részére történt megnövekedett kifizetési igényekből adódik. A lakossági energia rezsivédelmi szolgáltatás esetében 20024-hez viszonyítva csaknem azonos éves támogatási igény mutatkozott a kifizetések során.</w:t>
      </w:r>
    </w:p>
    <w:p w14:paraId="446B433B" w14:textId="5EA9DE8B" w:rsidR="00300C27" w:rsidRDefault="00300C27" w:rsidP="00300C27">
      <w:pPr>
        <w:jc w:val="both"/>
        <w:rPr>
          <w:rFonts w:ascii="Times New Roman" w:eastAsia="Times New Roman" w:hAnsi="Times New Roman" w:cs="Times New Roman"/>
          <w:color w:val="000000" w:themeColor="text1"/>
          <w:sz w:val="26"/>
          <w:szCs w:val="26"/>
          <w:lang w:eastAsia="hu-HU"/>
        </w:rPr>
      </w:pPr>
      <w:r w:rsidRPr="00300C27">
        <w:rPr>
          <w:rFonts w:ascii="Times New Roman" w:eastAsia="Times New Roman" w:hAnsi="Times New Roman" w:cs="Times New Roman"/>
          <w:color w:val="000000" w:themeColor="text1"/>
          <w:sz w:val="26"/>
          <w:szCs w:val="26"/>
          <w:lang w:eastAsia="hu-HU"/>
        </w:rPr>
        <w:t>Meghaladták a 2024-es összeget a nyugellátásokra és gyógyító-megelőző ellátásokra fordított kiadások is. December végéig – a 13. havi nyugdíjjal és ellátással együtt – nyugellátásokra és nyugdíjszerű ellátásokra összesen 7300,6 milliárd forint, míg gyógyító-megelőző ellátásokra 2916,3 milliárd forint kifizetése történt meg.</w:t>
      </w:r>
    </w:p>
    <w:p w14:paraId="7B768A0B" w14:textId="1FE361AF" w:rsidR="005171E0" w:rsidRDefault="00920F4D" w:rsidP="7A1FFE35">
      <w:pPr>
        <w:widowControl w:val="0"/>
        <w:spacing w:after="120" w:line="254" w:lineRule="auto"/>
        <w:jc w:val="both"/>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br w:type="column"/>
      </w:r>
      <w:r w:rsidR="639E9B9B" w:rsidRPr="639E9B9B">
        <w:rPr>
          <w:rFonts w:ascii="Times New Roman" w:eastAsia="Times New Roman" w:hAnsi="Times New Roman" w:cs="Times New Roman"/>
          <w:sz w:val="26"/>
          <w:szCs w:val="26"/>
          <w:lang w:eastAsia="hu-HU"/>
        </w:rPr>
        <w:lastRenderedPageBreak/>
        <w:t xml:space="preserve">Az államháztartás központi </w:t>
      </w:r>
      <w:r w:rsidR="639E9B9B" w:rsidRPr="00456EAE">
        <w:rPr>
          <w:rFonts w:ascii="Times New Roman" w:eastAsia="Times New Roman" w:hAnsi="Times New Roman" w:cs="Times New Roman"/>
          <w:sz w:val="26"/>
          <w:szCs w:val="26"/>
          <w:lang w:eastAsia="hu-HU"/>
        </w:rPr>
        <w:t>alrendszerének 202</w:t>
      </w:r>
      <w:r w:rsidR="005171E0" w:rsidRPr="00456EAE">
        <w:rPr>
          <w:rFonts w:ascii="Times New Roman" w:eastAsia="Times New Roman" w:hAnsi="Times New Roman" w:cs="Times New Roman"/>
          <w:sz w:val="26"/>
          <w:szCs w:val="26"/>
          <w:lang w:eastAsia="hu-HU"/>
        </w:rPr>
        <w:t>5</w:t>
      </w:r>
      <w:r w:rsidR="639E9B9B" w:rsidRPr="00456EAE">
        <w:rPr>
          <w:rFonts w:ascii="Times New Roman" w:eastAsia="Times New Roman" w:hAnsi="Times New Roman" w:cs="Times New Roman"/>
          <w:sz w:val="26"/>
          <w:szCs w:val="26"/>
          <w:lang w:eastAsia="hu-HU"/>
        </w:rPr>
        <w:t>.</w:t>
      </w:r>
      <w:r w:rsidR="00A673CC" w:rsidRPr="00456EAE">
        <w:rPr>
          <w:rFonts w:ascii="Times New Roman" w:eastAsia="Times New Roman" w:hAnsi="Times New Roman" w:cs="Times New Roman"/>
          <w:sz w:val="26"/>
          <w:szCs w:val="26"/>
          <w:lang w:eastAsia="hu-HU"/>
        </w:rPr>
        <w:t> </w:t>
      </w:r>
      <w:r w:rsidR="00452639">
        <w:rPr>
          <w:rFonts w:ascii="Times New Roman" w:eastAsia="Times New Roman" w:hAnsi="Times New Roman" w:cs="Times New Roman"/>
          <w:sz w:val="26"/>
          <w:szCs w:val="26"/>
          <w:lang w:eastAsia="hu-HU"/>
        </w:rPr>
        <w:t>dec</w:t>
      </w:r>
      <w:r w:rsidR="00B325C4" w:rsidRPr="00456EAE">
        <w:rPr>
          <w:rFonts w:ascii="Times New Roman" w:eastAsia="Times New Roman" w:hAnsi="Times New Roman" w:cs="Times New Roman"/>
          <w:sz w:val="26"/>
          <w:szCs w:val="26"/>
          <w:lang w:eastAsia="hu-HU"/>
        </w:rPr>
        <w:t>ember</w:t>
      </w:r>
      <w:r w:rsidR="00A673CC" w:rsidRPr="00456EAE">
        <w:rPr>
          <w:rFonts w:ascii="Times New Roman" w:eastAsia="Times New Roman" w:hAnsi="Times New Roman" w:cs="Times New Roman"/>
          <w:sz w:val="26"/>
          <w:szCs w:val="26"/>
          <w:lang w:eastAsia="hu-HU"/>
        </w:rPr>
        <w:t> </w:t>
      </w:r>
      <w:r w:rsidR="639E9B9B" w:rsidRPr="00456EAE">
        <w:rPr>
          <w:rFonts w:ascii="Times New Roman" w:eastAsia="Times New Roman" w:hAnsi="Times New Roman" w:cs="Times New Roman"/>
          <w:sz w:val="26"/>
          <w:szCs w:val="26"/>
          <w:lang w:eastAsia="hu-HU"/>
        </w:rPr>
        <w:t>végi főbb</w:t>
      </w:r>
      <w:r w:rsidR="639E9B9B" w:rsidRPr="639E9B9B">
        <w:rPr>
          <w:rFonts w:ascii="Times New Roman" w:eastAsia="Times New Roman" w:hAnsi="Times New Roman" w:cs="Times New Roman"/>
          <w:sz w:val="26"/>
          <w:szCs w:val="26"/>
          <w:lang w:eastAsia="hu-HU"/>
        </w:rPr>
        <w:t xml:space="preserve"> pé</w:t>
      </w:r>
      <w:r w:rsidR="006D5492">
        <w:rPr>
          <w:rFonts w:ascii="Times New Roman" w:eastAsia="Times New Roman" w:hAnsi="Times New Roman" w:cs="Times New Roman"/>
          <w:sz w:val="26"/>
          <w:szCs w:val="26"/>
          <w:lang w:eastAsia="hu-HU"/>
        </w:rPr>
        <w:t>nzforgalmi adatai a következők:</w:t>
      </w:r>
    </w:p>
    <w:tbl>
      <w:tblPr>
        <w:tblW w:w="8789" w:type="dxa"/>
        <w:jc w:val="center"/>
        <w:tblLayout w:type="fixed"/>
        <w:tblCellMar>
          <w:left w:w="70" w:type="dxa"/>
          <w:right w:w="70" w:type="dxa"/>
        </w:tblCellMar>
        <w:tblLook w:val="04A0" w:firstRow="1" w:lastRow="0" w:firstColumn="1" w:lastColumn="0" w:noHBand="0" w:noVBand="1"/>
      </w:tblPr>
      <w:tblGrid>
        <w:gridCol w:w="2189"/>
        <w:gridCol w:w="1320"/>
        <w:gridCol w:w="1320"/>
        <w:gridCol w:w="1320"/>
        <w:gridCol w:w="1320"/>
        <w:gridCol w:w="1320"/>
      </w:tblGrid>
      <w:tr w:rsidR="00300C27" w:rsidRPr="003D514A" w14:paraId="7C2CBF88" w14:textId="77777777" w:rsidTr="00300C27">
        <w:trPr>
          <w:trHeight w:val="1440"/>
          <w:jc w:val="center"/>
        </w:trPr>
        <w:tc>
          <w:tcPr>
            <w:tcW w:w="218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66847C39" w14:textId="77777777" w:rsidR="00300C27" w:rsidRPr="00602E3C" w:rsidRDefault="00300C27" w:rsidP="7A1FFE35">
            <w:pPr>
              <w:keepNext/>
              <w:keepLines/>
              <w:rPr>
                <w:rFonts w:ascii="Times New Roman" w:hAnsi="Times New Roman" w:cs="Times New Roman"/>
                <w:sz w:val="20"/>
                <w:szCs w:val="20"/>
              </w:rPr>
            </w:pPr>
            <w:r w:rsidRPr="7A1FFE35">
              <w:rPr>
                <w:rFonts w:ascii="Times New Roman" w:hAnsi="Times New Roman" w:cs="Times New Roman"/>
                <w:sz w:val="20"/>
                <w:szCs w:val="20"/>
              </w:rPr>
              <w:t> </w:t>
            </w:r>
          </w:p>
        </w:tc>
        <w:tc>
          <w:tcPr>
            <w:tcW w:w="132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6A30138" w14:textId="11322A85" w:rsidR="00300C27"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b/>
                <w:bCs/>
                <w:sz w:val="20"/>
                <w:szCs w:val="20"/>
              </w:rPr>
              <w:t xml:space="preserve">2024. évi </w:t>
            </w:r>
            <w:r>
              <w:br/>
            </w:r>
            <w:r w:rsidRPr="7A1FFE35">
              <w:rPr>
                <w:rFonts w:ascii="Times New Roman" w:hAnsi="Times New Roman" w:cs="Times New Roman"/>
                <w:b/>
                <w:bCs/>
                <w:sz w:val="20"/>
                <w:szCs w:val="20"/>
              </w:rPr>
              <w:t>tény</w:t>
            </w:r>
            <w:r>
              <w:br/>
            </w:r>
            <w:r w:rsidRPr="7A1FFE35">
              <w:rPr>
                <w:rFonts w:ascii="Times New Roman" w:hAnsi="Times New Roman" w:cs="Times New Roman"/>
                <w:sz w:val="20"/>
                <w:szCs w:val="20"/>
              </w:rPr>
              <w:t>milliárd forintban</w:t>
            </w:r>
          </w:p>
          <w:p w14:paraId="103DF983" w14:textId="77777777" w:rsidR="00300C27" w:rsidRPr="00602E3C" w:rsidRDefault="00300C27" w:rsidP="716D41F4">
            <w:pPr>
              <w:keepNext/>
              <w:keepLines/>
              <w:spacing w:after="0"/>
              <w:jc w:val="center"/>
              <w:rPr>
                <w:rFonts w:ascii="Times New Roman" w:hAnsi="Times New Roman" w:cs="Times New Roman"/>
                <w:sz w:val="20"/>
                <w:szCs w:val="20"/>
              </w:rPr>
            </w:pPr>
          </w:p>
          <w:p w14:paraId="36F5C342" w14:textId="76728DC5" w:rsidR="00300C27" w:rsidRPr="00602E3C"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sz w:val="20"/>
                <w:szCs w:val="20"/>
              </w:rPr>
              <w:t>(1)</w:t>
            </w:r>
          </w:p>
        </w:tc>
        <w:tc>
          <w:tcPr>
            <w:tcW w:w="132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21E5557" w14:textId="77777777" w:rsidR="00300C27" w:rsidRPr="00602E3C"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b/>
                <w:bCs/>
                <w:sz w:val="20"/>
                <w:szCs w:val="20"/>
              </w:rPr>
              <w:t>2025. évi előirányzat</w:t>
            </w:r>
            <w:r>
              <w:br/>
            </w:r>
            <w:r w:rsidRPr="7A1FFE35">
              <w:rPr>
                <w:rFonts w:ascii="Times New Roman" w:hAnsi="Times New Roman" w:cs="Times New Roman"/>
                <w:sz w:val="20"/>
                <w:szCs w:val="20"/>
              </w:rPr>
              <w:t>milliárd forintban</w:t>
            </w:r>
          </w:p>
          <w:p w14:paraId="6FB67AB7" w14:textId="77777777" w:rsidR="00300C27" w:rsidRPr="00602E3C" w:rsidRDefault="00300C27" w:rsidP="00B6763B">
            <w:pPr>
              <w:keepNext/>
              <w:keepLines/>
              <w:spacing w:after="0"/>
              <w:jc w:val="center"/>
              <w:rPr>
                <w:rFonts w:ascii="Times New Roman" w:hAnsi="Times New Roman" w:cs="Times New Roman"/>
                <w:sz w:val="20"/>
                <w:szCs w:val="20"/>
              </w:rPr>
            </w:pPr>
          </w:p>
          <w:p w14:paraId="2C87F662" w14:textId="6906D145" w:rsidR="00300C27" w:rsidRPr="00602E3C"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sz w:val="20"/>
                <w:szCs w:val="20"/>
              </w:rPr>
              <w:t>(</w:t>
            </w:r>
            <w:r>
              <w:rPr>
                <w:rFonts w:ascii="Times New Roman" w:hAnsi="Times New Roman" w:cs="Times New Roman"/>
                <w:sz w:val="20"/>
                <w:szCs w:val="20"/>
              </w:rPr>
              <w:t>2</w:t>
            </w:r>
            <w:r w:rsidRPr="7A1FFE35">
              <w:rPr>
                <w:rFonts w:ascii="Times New Roman" w:hAnsi="Times New Roman" w:cs="Times New Roman"/>
                <w:sz w:val="20"/>
                <w:szCs w:val="20"/>
              </w:rPr>
              <w:t>)</w:t>
            </w:r>
          </w:p>
        </w:tc>
        <w:tc>
          <w:tcPr>
            <w:tcW w:w="132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D4190CD" w14:textId="50D432C6" w:rsidR="00300C27" w:rsidRPr="00602E3C"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b/>
                <w:bCs/>
                <w:sz w:val="20"/>
                <w:szCs w:val="20"/>
              </w:rPr>
              <w:t>2025. I-X</w:t>
            </w:r>
            <w:r>
              <w:rPr>
                <w:rFonts w:ascii="Times New Roman" w:hAnsi="Times New Roman" w:cs="Times New Roman"/>
                <w:b/>
                <w:bCs/>
                <w:sz w:val="20"/>
                <w:szCs w:val="20"/>
              </w:rPr>
              <w:t>I</w:t>
            </w:r>
            <w:r w:rsidRPr="7A1FFE35">
              <w:rPr>
                <w:rFonts w:ascii="Times New Roman" w:hAnsi="Times New Roman" w:cs="Times New Roman"/>
                <w:b/>
                <w:bCs/>
                <w:sz w:val="20"/>
                <w:szCs w:val="20"/>
              </w:rPr>
              <w:t>I. hó tény</w:t>
            </w:r>
            <w:r>
              <w:br/>
            </w:r>
            <w:r w:rsidRPr="7A1FFE35">
              <w:rPr>
                <w:rFonts w:ascii="Times New Roman" w:hAnsi="Times New Roman" w:cs="Times New Roman"/>
                <w:sz w:val="20"/>
                <w:szCs w:val="20"/>
              </w:rPr>
              <w:t>milliárd forintban</w:t>
            </w:r>
          </w:p>
          <w:p w14:paraId="15A457DF" w14:textId="77777777" w:rsidR="00300C27" w:rsidRPr="00602E3C" w:rsidRDefault="00300C27" w:rsidP="00B6763B">
            <w:pPr>
              <w:keepNext/>
              <w:keepLines/>
              <w:spacing w:after="0"/>
              <w:jc w:val="center"/>
              <w:rPr>
                <w:rFonts w:ascii="Times New Roman" w:hAnsi="Times New Roman" w:cs="Times New Roman"/>
                <w:sz w:val="20"/>
                <w:szCs w:val="20"/>
              </w:rPr>
            </w:pPr>
          </w:p>
          <w:p w14:paraId="3C073C3C" w14:textId="53DE625F" w:rsidR="00300C27" w:rsidRPr="00602E3C"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sz w:val="20"/>
                <w:szCs w:val="20"/>
              </w:rPr>
              <w:t>(</w:t>
            </w:r>
            <w:r>
              <w:rPr>
                <w:rFonts w:ascii="Times New Roman" w:hAnsi="Times New Roman" w:cs="Times New Roman"/>
                <w:sz w:val="20"/>
                <w:szCs w:val="20"/>
              </w:rPr>
              <w:t>3</w:t>
            </w:r>
            <w:r w:rsidRPr="7A1FFE35">
              <w:rPr>
                <w:rFonts w:ascii="Times New Roman" w:hAnsi="Times New Roman" w:cs="Times New Roman"/>
                <w:sz w:val="20"/>
                <w:szCs w:val="20"/>
              </w:rPr>
              <w:t>)</w:t>
            </w:r>
          </w:p>
        </w:tc>
        <w:tc>
          <w:tcPr>
            <w:tcW w:w="132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CCBD1FD" w14:textId="77777777" w:rsidR="00300C27" w:rsidRPr="00602E3C"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sz w:val="20"/>
                <w:szCs w:val="20"/>
              </w:rPr>
              <w:t>előirányzat=</w:t>
            </w:r>
            <w:r>
              <w:br/>
            </w:r>
            <w:r w:rsidRPr="7A1FFE35">
              <w:rPr>
                <w:rFonts w:ascii="Times New Roman" w:hAnsi="Times New Roman" w:cs="Times New Roman"/>
                <w:sz w:val="20"/>
                <w:szCs w:val="20"/>
              </w:rPr>
              <w:t>100%</w:t>
            </w:r>
            <w:r>
              <w:br/>
            </w:r>
            <w:r w:rsidRPr="7A1FFE35">
              <w:rPr>
                <w:rFonts w:ascii="Times New Roman" w:hAnsi="Times New Roman" w:cs="Times New Roman"/>
                <w:sz w:val="20"/>
                <w:szCs w:val="20"/>
              </w:rPr>
              <w:t>Index (%)</w:t>
            </w:r>
          </w:p>
          <w:p w14:paraId="4AEEBB44" w14:textId="77777777" w:rsidR="00300C27" w:rsidRDefault="00300C27" w:rsidP="00B6763B">
            <w:pPr>
              <w:keepNext/>
              <w:keepLines/>
              <w:spacing w:after="0"/>
              <w:jc w:val="center"/>
              <w:rPr>
                <w:rFonts w:ascii="Times New Roman" w:hAnsi="Times New Roman" w:cs="Times New Roman"/>
                <w:sz w:val="20"/>
                <w:szCs w:val="20"/>
              </w:rPr>
            </w:pPr>
          </w:p>
          <w:p w14:paraId="594C63D7" w14:textId="77777777" w:rsidR="00300C27" w:rsidRPr="00602E3C" w:rsidRDefault="00300C27" w:rsidP="00B6763B">
            <w:pPr>
              <w:keepNext/>
              <w:keepLines/>
              <w:spacing w:after="0"/>
              <w:jc w:val="center"/>
              <w:rPr>
                <w:rFonts w:ascii="Times New Roman" w:hAnsi="Times New Roman" w:cs="Times New Roman"/>
                <w:sz w:val="20"/>
                <w:szCs w:val="20"/>
              </w:rPr>
            </w:pPr>
          </w:p>
          <w:p w14:paraId="6886B04A" w14:textId="0030C71D" w:rsidR="00300C27" w:rsidRPr="00602E3C"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sz w:val="20"/>
                <w:szCs w:val="20"/>
              </w:rPr>
              <w:t>(</w:t>
            </w:r>
            <w:r>
              <w:rPr>
                <w:rFonts w:ascii="Times New Roman" w:hAnsi="Times New Roman" w:cs="Times New Roman"/>
                <w:sz w:val="20"/>
                <w:szCs w:val="20"/>
              </w:rPr>
              <w:t>3</w:t>
            </w:r>
            <w:r w:rsidRPr="7A1FFE35">
              <w:rPr>
                <w:rFonts w:ascii="Times New Roman" w:hAnsi="Times New Roman" w:cs="Times New Roman"/>
                <w:sz w:val="20"/>
                <w:szCs w:val="20"/>
              </w:rPr>
              <w:t>/</w:t>
            </w:r>
            <w:r>
              <w:rPr>
                <w:rFonts w:ascii="Times New Roman" w:hAnsi="Times New Roman" w:cs="Times New Roman"/>
                <w:sz w:val="20"/>
                <w:szCs w:val="20"/>
              </w:rPr>
              <w:t>2</w:t>
            </w:r>
            <w:r w:rsidRPr="7A1FFE35">
              <w:rPr>
                <w:rFonts w:ascii="Times New Roman" w:hAnsi="Times New Roman" w:cs="Times New Roman"/>
                <w:sz w:val="20"/>
                <w:szCs w:val="20"/>
              </w:rPr>
              <w:t>)</w:t>
            </w:r>
          </w:p>
        </w:tc>
        <w:tc>
          <w:tcPr>
            <w:tcW w:w="132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392F559" w14:textId="77777777" w:rsidR="00300C27" w:rsidRPr="00602E3C" w:rsidRDefault="00300C27" w:rsidP="7A1FFE35">
            <w:pPr>
              <w:keepNext/>
              <w:keepLines/>
              <w:spacing w:after="0"/>
              <w:jc w:val="center"/>
              <w:rPr>
                <w:rFonts w:ascii="Times New Roman" w:hAnsi="Times New Roman" w:cs="Times New Roman"/>
                <w:sz w:val="20"/>
                <w:szCs w:val="20"/>
              </w:rPr>
            </w:pPr>
            <w:r w:rsidRPr="7A1FFE35">
              <w:rPr>
                <w:rFonts w:ascii="Times New Roman" w:hAnsi="Times New Roman" w:cs="Times New Roman"/>
                <w:sz w:val="20"/>
                <w:szCs w:val="20"/>
              </w:rPr>
              <w:t>előző év=</w:t>
            </w:r>
            <w:r>
              <w:br/>
            </w:r>
            <w:r w:rsidRPr="7A1FFE35">
              <w:rPr>
                <w:rFonts w:ascii="Times New Roman" w:hAnsi="Times New Roman" w:cs="Times New Roman"/>
                <w:sz w:val="20"/>
                <w:szCs w:val="20"/>
              </w:rPr>
              <w:t>100%</w:t>
            </w:r>
            <w:r>
              <w:br/>
            </w:r>
            <w:r w:rsidRPr="7A1FFE35">
              <w:rPr>
                <w:rFonts w:ascii="Times New Roman" w:hAnsi="Times New Roman" w:cs="Times New Roman"/>
                <w:sz w:val="20"/>
                <w:szCs w:val="20"/>
              </w:rPr>
              <w:t>Index (%)</w:t>
            </w:r>
          </w:p>
          <w:p w14:paraId="2CC3F023" w14:textId="77777777" w:rsidR="00300C27" w:rsidRPr="00602E3C" w:rsidRDefault="00300C27" w:rsidP="00B6763B">
            <w:pPr>
              <w:keepNext/>
              <w:keepLines/>
              <w:spacing w:after="0"/>
              <w:jc w:val="center"/>
              <w:rPr>
                <w:rFonts w:ascii="Times New Roman" w:hAnsi="Times New Roman" w:cs="Times New Roman"/>
                <w:sz w:val="20"/>
                <w:szCs w:val="20"/>
              </w:rPr>
            </w:pPr>
          </w:p>
          <w:p w14:paraId="1414C741" w14:textId="38891B31" w:rsidR="00300C27" w:rsidRPr="00602E3C" w:rsidRDefault="00300C27" w:rsidP="7A1FFE35">
            <w:pPr>
              <w:keepNext/>
              <w:keepLines/>
              <w:spacing w:after="0"/>
              <w:jc w:val="center"/>
              <w:rPr>
                <w:rFonts w:ascii="Times New Roman" w:hAnsi="Times New Roman" w:cs="Times New Roman"/>
                <w:sz w:val="20"/>
                <w:szCs w:val="20"/>
              </w:rPr>
            </w:pPr>
            <w:r>
              <w:br/>
            </w:r>
            <w:r w:rsidRPr="7A1FFE35">
              <w:rPr>
                <w:rFonts w:ascii="Times New Roman" w:hAnsi="Times New Roman" w:cs="Times New Roman"/>
                <w:sz w:val="20"/>
                <w:szCs w:val="20"/>
              </w:rPr>
              <w:t>(</w:t>
            </w:r>
            <w:r>
              <w:rPr>
                <w:rFonts w:ascii="Times New Roman" w:hAnsi="Times New Roman" w:cs="Times New Roman"/>
                <w:sz w:val="20"/>
                <w:szCs w:val="20"/>
              </w:rPr>
              <w:t>3</w:t>
            </w:r>
            <w:r w:rsidRPr="7A1FFE35">
              <w:rPr>
                <w:rFonts w:ascii="Times New Roman" w:hAnsi="Times New Roman" w:cs="Times New Roman"/>
                <w:sz w:val="20"/>
                <w:szCs w:val="20"/>
              </w:rPr>
              <w:t>/</w:t>
            </w:r>
            <w:r>
              <w:rPr>
                <w:rFonts w:ascii="Times New Roman" w:hAnsi="Times New Roman" w:cs="Times New Roman"/>
                <w:sz w:val="20"/>
                <w:szCs w:val="20"/>
              </w:rPr>
              <w:t>1</w:t>
            </w:r>
            <w:r w:rsidRPr="7A1FFE35">
              <w:rPr>
                <w:rFonts w:ascii="Times New Roman" w:hAnsi="Times New Roman" w:cs="Times New Roman"/>
                <w:sz w:val="20"/>
                <w:szCs w:val="20"/>
              </w:rPr>
              <w:t>)</w:t>
            </w:r>
          </w:p>
        </w:tc>
      </w:tr>
      <w:tr w:rsidR="00300C27" w:rsidRPr="003D514A" w14:paraId="272C1797"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5BBCCA14" w14:textId="77777777" w:rsidR="00300C27" w:rsidRPr="00602E3C" w:rsidRDefault="00300C27" w:rsidP="00300C27">
            <w:pPr>
              <w:keepNext/>
              <w:keepLines/>
              <w:spacing w:before="120" w:after="120"/>
              <w:rPr>
                <w:rFonts w:ascii="Times New Roman" w:hAnsi="Times New Roman" w:cs="Times New Roman"/>
                <w:b/>
                <w:bCs/>
                <w:sz w:val="20"/>
                <w:szCs w:val="20"/>
              </w:rPr>
            </w:pPr>
            <w:r w:rsidRPr="7A1FFE35">
              <w:rPr>
                <w:rFonts w:ascii="Times New Roman" w:hAnsi="Times New Roman" w:cs="Times New Roman"/>
                <w:b/>
                <w:bCs/>
                <w:sz w:val="20"/>
                <w:szCs w:val="20"/>
              </w:rPr>
              <w:t>Központi költségvetés egyenlege</w:t>
            </w:r>
          </w:p>
        </w:tc>
        <w:tc>
          <w:tcPr>
            <w:tcW w:w="1320" w:type="dxa"/>
            <w:tcBorders>
              <w:top w:val="single" w:sz="4" w:space="0" w:color="auto"/>
              <w:left w:val="single" w:sz="4" w:space="0" w:color="auto"/>
              <w:bottom w:val="single" w:sz="4" w:space="0" w:color="auto"/>
              <w:right w:val="single" w:sz="4" w:space="0" w:color="auto"/>
            </w:tcBorders>
            <w:noWrap/>
            <w:vAlign w:val="center"/>
          </w:tcPr>
          <w:p w14:paraId="74A13CE6" w14:textId="3E65F27B"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rPr>
              <w:t>-3 856,9</w:t>
            </w:r>
          </w:p>
        </w:tc>
        <w:tc>
          <w:tcPr>
            <w:tcW w:w="1320" w:type="dxa"/>
            <w:tcBorders>
              <w:top w:val="single" w:sz="4" w:space="0" w:color="auto"/>
              <w:left w:val="nil"/>
              <w:bottom w:val="single" w:sz="4" w:space="0" w:color="auto"/>
              <w:right w:val="single" w:sz="4" w:space="0" w:color="auto"/>
            </w:tcBorders>
            <w:noWrap/>
            <w:vAlign w:val="center"/>
          </w:tcPr>
          <w:p w14:paraId="5DEEBFBC" w14:textId="68F47B15"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szCs w:val="20"/>
              </w:rPr>
              <w:t>-4 211,6</w:t>
            </w:r>
          </w:p>
        </w:tc>
        <w:tc>
          <w:tcPr>
            <w:tcW w:w="1320" w:type="dxa"/>
            <w:tcBorders>
              <w:top w:val="single" w:sz="4" w:space="0" w:color="auto"/>
              <w:left w:val="nil"/>
              <w:bottom w:val="single" w:sz="4" w:space="0" w:color="auto"/>
              <w:right w:val="single" w:sz="4" w:space="0" w:color="auto"/>
            </w:tcBorders>
            <w:noWrap/>
            <w:vAlign w:val="center"/>
          </w:tcPr>
          <w:p w14:paraId="2B3E7161" w14:textId="00BEE764"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szCs w:val="20"/>
              </w:rPr>
              <w:t>-5 500,1</w:t>
            </w:r>
          </w:p>
        </w:tc>
        <w:tc>
          <w:tcPr>
            <w:tcW w:w="1320" w:type="dxa"/>
            <w:tcBorders>
              <w:top w:val="single" w:sz="4" w:space="0" w:color="auto"/>
              <w:left w:val="nil"/>
              <w:bottom w:val="single" w:sz="4" w:space="0" w:color="auto"/>
              <w:right w:val="single" w:sz="4" w:space="0" w:color="auto"/>
            </w:tcBorders>
            <w:noWrap/>
            <w:vAlign w:val="center"/>
          </w:tcPr>
          <w:p w14:paraId="1590672A" w14:textId="711571D3"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130,6</w:t>
            </w:r>
          </w:p>
        </w:tc>
        <w:tc>
          <w:tcPr>
            <w:tcW w:w="1320" w:type="dxa"/>
            <w:tcBorders>
              <w:top w:val="single" w:sz="4" w:space="0" w:color="auto"/>
              <w:left w:val="nil"/>
              <w:bottom w:val="single" w:sz="4" w:space="0" w:color="auto"/>
              <w:right w:val="single" w:sz="4" w:space="0" w:color="auto"/>
            </w:tcBorders>
            <w:noWrap/>
            <w:vAlign w:val="center"/>
          </w:tcPr>
          <w:p w14:paraId="5FD27053" w14:textId="03D26813"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142,6</w:t>
            </w:r>
          </w:p>
        </w:tc>
      </w:tr>
      <w:tr w:rsidR="00300C27" w:rsidRPr="003D514A" w14:paraId="43DB1C6B"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6191C3DC" w14:textId="77777777" w:rsidR="00300C27" w:rsidRPr="00602E3C" w:rsidRDefault="00300C27" w:rsidP="00300C27">
            <w:pPr>
              <w:keepNext/>
              <w:keepLines/>
              <w:spacing w:before="120" w:after="120"/>
              <w:jc w:val="right"/>
              <w:rPr>
                <w:rFonts w:ascii="Times New Roman" w:hAnsi="Times New Roman" w:cs="Times New Roman"/>
                <w:sz w:val="20"/>
                <w:szCs w:val="20"/>
              </w:rPr>
            </w:pPr>
            <w:r w:rsidRPr="7A1FFE35">
              <w:rPr>
                <w:rFonts w:ascii="Times New Roman" w:hAnsi="Times New Roman" w:cs="Times New Roman"/>
                <w:sz w:val="20"/>
                <w:szCs w:val="20"/>
              </w:rPr>
              <w:t>bevétel:</w:t>
            </w:r>
          </w:p>
        </w:tc>
        <w:tc>
          <w:tcPr>
            <w:tcW w:w="1320" w:type="dxa"/>
            <w:tcBorders>
              <w:top w:val="nil"/>
              <w:left w:val="single" w:sz="4" w:space="0" w:color="auto"/>
              <w:bottom w:val="single" w:sz="4" w:space="0" w:color="auto"/>
              <w:right w:val="single" w:sz="4" w:space="0" w:color="auto"/>
            </w:tcBorders>
            <w:noWrap/>
            <w:vAlign w:val="center"/>
          </w:tcPr>
          <w:p w14:paraId="3013BE1E" w14:textId="2ADB9D90"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rPr>
              <w:t>26 708,8</w:t>
            </w:r>
          </w:p>
        </w:tc>
        <w:tc>
          <w:tcPr>
            <w:tcW w:w="1320" w:type="dxa"/>
            <w:tcBorders>
              <w:top w:val="nil"/>
              <w:left w:val="nil"/>
              <w:bottom w:val="single" w:sz="4" w:space="0" w:color="auto"/>
              <w:right w:val="single" w:sz="4" w:space="0" w:color="auto"/>
            </w:tcBorders>
            <w:noWrap/>
            <w:vAlign w:val="center"/>
          </w:tcPr>
          <w:p w14:paraId="0B162934" w14:textId="7C126970"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26 622,0</w:t>
            </w:r>
          </w:p>
        </w:tc>
        <w:tc>
          <w:tcPr>
            <w:tcW w:w="1320" w:type="dxa"/>
            <w:tcBorders>
              <w:top w:val="nil"/>
              <w:left w:val="nil"/>
              <w:bottom w:val="single" w:sz="4" w:space="0" w:color="auto"/>
              <w:right w:val="single" w:sz="4" w:space="0" w:color="auto"/>
            </w:tcBorders>
            <w:noWrap/>
            <w:vAlign w:val="center"/>
          </w:tcPr>
          <w:p w14:paraId="6C375A8F" w14:textId="36265E21"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27 058,6</w:t>
            </w:r>
          </w:p>
        </w:tc>
        <w:tc>
          <w:tcPr>
            <w:tcW w:w="1320" w:type="dxa"/>
            <w:tcBorders>
              <w:top w:val="nil"/>
              <w:left w:val="nil"/>
              <w:bottom w:val="single" w:sz="4" w:space="0" w:color="auto"/>
              <w:right w:val="single" w:sz="4" w:space="0" w:color="auto"/>
            </w:tcBorders>
            <w:noWrap/>
            <w:vAlign w:val="center"/>
          </w:tcPr>
          <w:p w14:paraId="229A1E05" w14:textId="0E25C55F"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101,6</w:t>
            </w:r>
          </w:p>
        </w:tc>
        <w:tc>
          <w:tcPr>
            <w:tcW w:w="1320" w:type="dxa"/>
            <w:tcBorders>
              <w:top w:val="nil"/>
              <w:left w:val="nil"/>
              <w:bottom w:val="single" w:sz="4" w:space="0" w:color="auto"/>
              <w:right w:val="single" w:sz="4" w:space="0" w:color="auto"/>
            </w:tcBorders>
            <w:noWrap/>
            <w:vAlign w:val="center"/>
          </w:tcPr>
          <w:p w14:paraId="0D7E5DA4" w14:textId="6EC761F9"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101,3</w:t>
            </w:r>
          </w:p>
        </w:tc>
      </w:tr>
      <w:tr w:rsidR="00300C27" w:rsidRPr="003D514A" w14:paraId="576245F4"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47DE056B" w14:textId="77777777" w:rsidR="00300C27" w:rsidRPr="00602E3C" w:rsidRDefault="00300C27" w:rsidP="00300C27">
            <w:pPr>
              <w:keepNext/>
              <w:keepLines/>
              <w:spacing w:before="120" w:after="120"/>
              <w:jc w:val="right"/>
              <w:rPr>
                <w:rFonts w:ascii="Times New Roman" w:hAnsi="Times New Roman" w:cs="Times New Roman"/>
                <w:sz w:val="20"/>
                <w:szCs w:val="20"/>
              </w:rPr>
            </w:pPr>
            <w:r w:rsidRPr="7A1FFE35">
              <w:rPr>
                <w:rFonts w:ascii="Times New Roman" w:hAnsi="Times New Roman" w:cs="Times New Roman"/>
                <w:sz w:val="20"/>
                <w:szCs w:val="20"/>
              </w:rPr>
              <w:t>kiadás:</w:t>
            </w:r>
          </w:p>
        </w:tc>
        <w:tc>
          <w:tcPr>
            <w:tcW w:w="1320" w:type="dxa"/>
            <w:tcBorders>
              <w:top w:val="nil"/>
              <w:left w:val="single" w:sz="4" w:space="0" w:color="auto"/>
              <w:bottom w:val="single" w:sz="4" w:space="0" w:color="auto"/>
              <w:right w:val="single" w:sz="4" w:space="0" w:color="auto"/>
            </w:tcBorders>
            <w:noWrap/>
            <w:vAlign w:val="center"/>
          </w:tcPr>
          <w:p w14:paraId="2B82BDD4" w14:textId="7ED770C3"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rPr>
              <w:t>30 565,7</w:t>
            </w:r>
          </w:p>
        </w:tc>
        <w:tc>
          <w:tcPr>
            <w:tcW w:w="1320" w:type="dxa"/>
            <w:tcBorders>
              <w:top w:val="nil"/>
              <w:left w:val="nil"/>
              <w:bottom w:val="single" w:sz="4" w:space="0" w:color="auto"/>
              <w:right w:val="single" w:sz="4" w:space="0" w:color="auto"/>
            </w:tcBorders>
            <w:noWrap/>
            <w:vAlign w:val="center"/>
          </w:tcPr>
          <w:p w14:paraId="30613988" w14:textId="70A13489"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30 833,5</w:t>
            </w:r>
          </w:p>
        </w:tc>
        <w:tc>
          <w:tcPr>
            <w:tcW w:w="1320" w:type="dxa"/>
            <w:tcBorders>
              <w:top w:val="nil"/>
              <w:left w:val="nil"/>
              <w:bottom w:val="single" w:sz="4" w:space="0" w:color="auto"/>
              <w:right w:val="single" w:sz="4" w:space="0" w:color="auto"/>
            </w:tcBorders>
            <w:noWrap/>
            <w:vAlign w:val="center"/>
          </w:tcPr>
          <w:p w14:paraId="1CE8D31A" w14:textId="2E01258C"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32 558,7</w:t>
            </w:r>
          </w:p>
        </w:tc>
        <w:tc>
          <w:tcPr>
            <w:tcW w:w="1320" w:type="dxa"/>
            <w:tcBorders>
              <w:top w:val="nil"/>
              <w:left w:val="nil"/>
              <w:bottom w:val="single" w:sz="4" w:space="0" w:color="auto"/>
              <w:right w:val="single" w:sz="4" w:space="0" w:color="auto"/>
            </w:tcBorders>
            <w:noWrap/>
            <w:vAlign w:val="center"/>
          </w:tcPr>
          <w:p w14:paraId="2AF744DE" w14:textId="0D8B3C6D"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105,6</w:t>
            </w:r>
          </w:p>
        </w:tc>
        <w:tc>
          <w:tcPr>
            <w:tcW w:w="1320" w:type="dxa"/>
            <w:tcBorders>
              <w:top w:val="nil"/>
              <w:left w:val="nil"/>
              <w:bottom w:val="single" w:sz="4" w:space="0" w:color="auto"/>
              <w:right w:val="single" w:sz="4" w:space="0" w:color="auto"/>
            </w:tcBorders>
            <w:noWrap/>
            <w:vAlign w:val="center"/>
          </w:tcPr>
          <w:p w14:paraId="6B19C9DE" w14:textId="78E2E54A"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106,5</w:t>
            </w:r>
          </w:p>
        </w:tc>
      </w:tr>
      <w:tr w:rsidR="00300C27" w:rsidRPr="003D514A" w14:paraId="5D1AF47D"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702288AA" w14:textId="77777777" w:rsidR="00300C27" w:rsidRPr="00602E3C" w:rsidRDefault="00300C27" w:rsidP="00300C27">
            <w:pPr>
              <w:keepNext/>
              <w:keepLines/>
              <w:spacing w:before="120" w:after="120"/>
              <w:rPr>
                <w:rFonts w:ascii="Times New Roman" w:hAnsi="Times New Roman" w:cs="Times New Roman"/>
                <w:b/>
                <w:bCs/>
                <w:sz w:val="20"/>
                <w:szCs w:val="20"/>
              </w:rPr>
            </w:pPr>
            <w:r w:rsidRPr="7A1FFE35">
              <w:rPr>
                <w:rFonts w:ascii="Times New Roman" w:hAnsi="Times New Roman" w:cs="Times New Roman"/>
                <w:b/>
                <w:bCs/>
                <w:sz w:val="20"/>
                <w:szCs w:val="20"/>
              </w:rPr>
              <w:t>Elkülönített állami pénzalapok egyenlege</w:t>
            </w:r>
          </w:p>
        </w:tc>
        <w:tc>
          <w:tcPr>
            <w:tcW w:w="1320" w:type="dxa"/>
            <w:tcBorders>
              <w:top w:val="nil"/>
              <w:left w:val="single" w:sz="4" w:space="0" w:color="auto"/>
              <w:bottom w:val="single" w:sz="4" w:space="0" w:color="auto"/>
              <w:right w:val="single" w:sz="4" w:space="0" w:color="auto"/>
            </w:tcBorders>
            <w:noWrap/>
            <w:vAlign w:val="center"/>
          </w:tcPr>
          <w:p w14:paraId="77E1D897" w14:textId="4F8AF910"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rPr>
              <w:t>138,1</w:t>
            </w:r>
          </w:p>
        </w:tc>
        <w:tc>
          <w:tcPr>
            <w:tcW w:w="1320" w:type="dxa"/>
            <w:tcBorders>
              <w:top w:val="nil"/>
              <w:left w:val="nil"/>
              <w:bottom w:val="single" w:sz="4" w:space="0" w:color="auto"/>
              <w:right w:val="single" w:sz="4" w:space="0" w:color="auto"/>
            </w:tcBorders>
            <w:noWrap/>
            <w:vAlign w:val="center"/>
          </w:tcPr>
          <w:p w14:paraId="2C2D5FB6" w14:textId="0BADF1CC"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szCs w:val="20"/>
              </w:rPr>
              <w:t>88,6</w:t>
            </w:r>
          </w:p>
        </w:tc>
        <w:tc>
          <w:tcPr>
            <w:tcW w:w="1320" w:type="dxa"/>
            <w:tcBorders>
              <w:top w:val="nil"/>
              <w:left w:val="nil"/>
              <w:bottom w:val="single" w:sz="4" w:space="0" w:color="auto"/>
              <w:right w:val="single" w:sz="4" w:space="0" w:color="auto"/>
            </w:tcBorders>
            <w:noWrap/>
            <w:vAlign w:val="center"/>
          </w:tcPr>
          <w:p w14:paraId="63BDA3B4" w14:textId="49904D92"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szCs w:val="20"/>
              </w:rPr>
              <w:t>7,3</w:t>
            </w:r>
          </w:p>
        </w:tc>
        <w:tc>
          <w:tcPr>
            <w:tcW w:w="1320" w:type="dxa"/>
            <w:tcBorders>
              <w:top w:val="nil"/>
              <w:left w:val="nil"/>
              <w:bottom w:val="single" w:sz="4" w:space="0" w:color="auto"/>
              <w:right w:val="single" w:sz="4" w:space="0" w:color="auto"/>
            </w:tcBorders>
            <w:noWrap/>
            <w:vAlign w:val="center"/>
          </w:tcPr>
          <w:p w14:paraId="7D3E2161" w14:textId="5F08D3D4"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8,2</w:t>
            </w:r>
          </w:p>
        </w:tc>
        <w:tc>
          <w:tcPr>
            <w:tcW w:w="1320" w:type="dxa"/>
            <w:tcBorders>
              <w:top w:val="nil"/>
              <w:left w:val="nil"/>
              <w:bottom w:val="single" w:sz="4" w:space="0" w:color="auto"/>
              <w:right w:val="single" w:sz="4" w:space="0" w:color="auto"/>
            </w:tcBorders>
            <w:noWrap/>
            <w:vAlign w:val="center"/>
          </w:tcPr>
          <w:p w14:paraId="53938325" w14:textId="29F8C3CF"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5,3</w:t>
            </w:r>
          </w:p>
        </w:tc>
      </w:tr>
      <w:tr w:rsidR="00300C27" w:rsidRPr="003D514A" w14:paraId="28F7F28C"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6E223547" w14:textId="77777777" w:rsidR="00300C27" w:rsidRPr="00602E3C" w:rsidRDefault="00300C27" w:rsidP="00300C27">
            <w:pPr>
              <w:keepNext/>
              <w:keepLines/>
              <w:spacing w:before="120" w:after="120"/>
              <w:jc w:val="right"/>
              <w:rPr>
                <w:rFonts w:ascii="Times New Roman" w:hAnsi="Times New Roman" w:cs="Times New Roman"/>
                <w:sz w:val="20"/>
                <w:szCs w:val="20"/>
              </w:rPr>
            </w:pPr>
            <w:r w:rsidRPr="7A1FFE35">
              <w:rPr>
                <w:rFonts w:ascii="Times New Roman" w:hAnsi="Times New Roman" w:cs="Times New Roman"/>
                <w:sz w:val="20"/>
                <w:szCs w:val="20"/>
              </w:rPr>
              <w:t>bevétel:</w:t>
            </w:r>
          </w:p>
        </w:tc>
        <w:tc>
          <w:tcPr>
            <w:tcW w:w="1320" w:type="dxa"/>
            <w:tcBorders>
              <w:top w:val="nil"/>
              <w:left w:val="single" w:sz="4" w:space="0" w:color="auto"/>
              <w:bottom w:val="single" w:sz="4" w:space="0" w:color="auto"/>
              <w:right w:val="single" w:sz="4" w:space="0" w:color="auto"/>
            </w:tcBorders>
            <w:noWrap/>
            <w:vAlign w:val="center"/>
          </w:tcPr>
          <w:p w14:paraId="3162C4C7" w14:textId="12A05A81"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rPr>
              <w:t>856,3</w:t>
            </w:r>
          </w:p>
        </w:tc>
        <w:tc>
          <w:tcPr>
            <w:tcW w:w="1320" w:type="dxa"/>
            <w:tcBorders>
              <w:top w:val="nil"/>
              <w:left w:val="nil"/>
              <w:bottom w:val="single" w:sz="4" w:space="0" w:color="auto"/>
              <w:right w:val="single" w:sz="4" w:space="0" w:color="auto"/>
            </w:tcBorders>
            <w:noWrap/>
            <w:vAlign w:val="center"/>
          </w:tcPr>
          <w:p w14:paraId="26479F49" w14:textId="5E81F612"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845,7</w:t>
            </w:r>
          </w:p>
        </w:tc>
        <w:tc>
          <w:tcPr>
            <w:tcW w:w="1320" w:type="dxa"/>
            <w:tcBorders>
              <w:top w:val="nil"/>
              <w:left w:val="nil"/>
              <w:bottom w:val="single" w:sz="4" w:space="0" w:color="auto"/>
              <w:right w:val="single" w:sz="4" w:space="0" w:color="auto"/>
            </w:tcBorders>
            <w:noWrap/>
            <w:vAlign w:val="center"/>
          </w:tcPr>
          <w:p w14:paraId="24B66B6B" w14:textId="70E08982"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838,2</w:t>
            </w:r>
          </w:p>
        </w:tc>
        <w:tc>
          <w:tcPr>
            <w:tcW w:w="1320" w:type="dxa"/>
            <w:tcBorders>
              <w:top w:val="nil"/>
              <w:left w:val="nil"/>
              <w:bottom w:val="single" w:sz="4" w:space="0" w:color="auto"/>
              <w:right w:val="single" w:sz="4" w:space="0" w:color="auto"/>
            </w:tcBorders>
            <w:noWrap/>
            <w:vAlign w:val="center"/>
          </w:tcPr>
          <w:p w14:paraId="0543AEAF" w14:textId="63E495FC"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99,1</w:t>
            </w:r>
          </w:p>
        </w:tc>
        <w:tc>
          <w:tcPr>
            <w:tcW w:w="1320" w:type="dxa"/>
            <w:tcBorders>
              <w:top w:val="nil"/>
              <w:left w:val="nil"/>
              <w:bottom w:val="single" w:sz="4" w:space="0" w:color="auto"/>
              <w:right w:val="single" w:sz="4" w:space="0" w:color="auto"/>
            </w:tcBorders>
            <w:noWrap/>
            <w:vAlign w:val="center"/>
          </w:tcPr>
          <w:p w14:paraId="109115A4" w14:textId="5B8BAA88"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97,9</w:t>
            </w:r>
          </w:p>
        </w:tc>
      </w:tr>
      <w:tr w:rsidR="00300C27" w:rsidRPr="00190176" w14:paraId="1E40C612"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4B20A0A7" w14:textId="77777777" w:rsidR="00300C27" w:rsidRPr="00602E3C" w:rsidRDefault="00300C27" w:rsidP="00300C27">
            <w:pPr>
              <w:keepNext/>
              <w:keepLines/>
              <w:spacing w:before="120" w:after="120"/>
              <w:jc w:val="right"/>
              <w:rPr>
                <w:rFonts w:ascii="Times New Roman" w:hAnsi="Times New Roman" w:cs="Times New Roman"/>
                <w:sz w:val="20"/>
                <w:szCs w:val="20"/>
              </w:rPr>
            </w:pPr>
            <w:r w:rsidRPr="7A1FFE35">
              <w:rPr>
                <w:rFonts w:ascii="Times New Roman" w:hAnsi="Times New Roman" w:cs="Times New Roman"/>
                <w:sz w:val="20"/>
                <w:szCs w:val="20"/>
              </w:rPr>
              <w:t>kiadás:</w:t>
            </w:r>
          </w:p>
        </w:tc>
        <w:tc>
          <w:tcPr>
            <w:tcW w:w="1320" w:type="dxa"/>
            <w:tcBorders>
              <w:top w:val="nil"/>
              <w:left w:val="single" w:sz="4" w:space="0" w:color="auto"/>
              <w:bottom w:val="single" w:sz="4" w:space="0" w:color="auto"/>
              <w:right w:val="single" w:sz="4" w:space="0" w:color="auto"/>
            </w:tcBorders>
            <w:noWrap/>
            <w:vAlign w:val="center"/>
          </w:tcPr>
          <w:p w14:paraId="3DBFFE8F" w14:textId="3A70D067"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rPr>
              <w:t>718,3</w:t>
            </w:r>
          </w:p>
        </w:tc>
        <w:tc>
          <w:tcPr>
            <w:tcW w:w="1320" w:type="dxa"/>
            <w:tcBorders>
              <w:top w:val="nil"/>
              <w:left w:val="nil"/>
              <w:bottom w:val="single" w:sz="4" w:space="0" w:color="auto"/>
              <w:right w:val="single" w:sz="4" w:space="0" w:color="auto"/>
            </w:tcBorders>
            <w:noWrap/>
            <w:vAlign w:val="center"/>
          </w:tcPr>
          <w:p w14:paraId="38B8A8DE" w14:textId="000F306A"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757,2</w:t>
            </w:r>
          </w:p>
        </w:tc>
        <w:tc>
          <w:tcPr>
            <w:tcW w:w="1320" w:type="dxa"/>
            <w:tcBorders>
              <w:top w:val="nil"/>
              <w:left w:val="nil"/>
              <w:bottom w:val="single" w:sz="4" w:space="0" w:color="auto"/>
              <w:right w:val="single" w:sz="4" w:space="0" w:color="auto"/>
            </w:tcBorders>
            <w:noWrap/>
            <w:vAlign w:val="center"/>
          </w:tcPr>
          <w:p w14:paraId="1F33273D" w14:textId="471A8EAF"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830,9</w:t>
            </w:r>
          </w:p>
        </w:tc>
        <w:tc>
          <w:tcPr>
            <w:tcW w:w="1320" w:type="dxa"/>
            <w:tcBorders>
              <w:top w:val="nil"/>
              <w:left w:val="nil"/>
              <w:bottom w:val="single" w:sz="4" w:space="0" w:color="auto"/>
              <w:right w:val="single" w:sz="4" w:space="0" w:color="auto"/>
            </w:tcBorders>
            <w:noWrap/>
            <w:vAlign w:val="center"/>
          </w:tcPr>
          <w:p w14:paraId="087519CB" w14:textId="249F66E4"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109,7</w:t>
            </w:r>
          </w:p>
        </w:tc>
        <w:tc>
          <w:tcPr>
            <w:tcW w:w="1320" w:type="dxa"/>
            <w:tcBorders>
              <w:top w:val="nil"/>
              <w:left w:val="nil"/>
              <w:bottom w:val="single" w:sz="4" w:space="0" w:color="auto"/>
              <w:right w:val="single" w:sz="4" w:space="0" w:color="auto"/>
            </w:tcBorders>
            <w:noWrap/>
            <w:vAlign w:val="center"/>
          </w:tcPr>
          <w:p w14:paraId="0F6B30EE" w14:textId="7BB0252D"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115,7</w:t>
            </w:r>
          </w:p>
        </w:tc>
      </w:tr>
      <w:tr w:rsidR="00300C27" w:rsidRPr="003D514A" w14:paraId="76328518"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35FB6F71" w14:textId="77777777" w:rsidR="00300C27" w:rsidRPr="00602E3C" w:rsidRDefault="00300C27" w:rsidP="00300C27">
            <w:pPr>
              <w:keepNext/>
              <w:keepLines/>
              <w:spacing w:before="120" w:after="120"/>
              <w:rPr>
                <w:rFonts w:ascii="Times New Roman" w:hAnsi="Times New Roman" w:cs="Times New Roman"/>
                <w:b/>
                <w:bCs/>
                <w:sz w:val="20"/>
                <w:szCs w:val="20"/>
              </w:rPr>
            </w:pPr>
            <w:r w:rsidRPr="7A1FFE35">
              <w:rPr>
                <w:rFonts w:ascii="Times New Roman" w:hAnsi="Times New Roman" w:cs="Times New Roman"/>
                <w:b/>
                <w:bCs/>
                <w:sz w:val="20"/>
                <w:szCs w:val="20"/>
              </w:rPr>
              <w:t>Társadalombiztosítás pénzügyi alapjainak egyenlege</w:t>
            </w:r>
          </w:p>
        </w:tc>
        <w:tc>
          <w:tcPr>
            <w:tcW w:w="1320" w:type="dxa"/>
            <w:tcBorders>
              <w:top w:val="nil"/>
              <w:left w:val="single" w:sz="4" w:space="0" w:color="auto"/>
              <w:bottom w:val="single" w:sz="4" w:space="0" w:color="auto"/>
              <w:right w:val="single" w:sz="4" w:space="0" w:color="auto"/>
            </w:tcBorders>
            <w:noWrap/>
            <w:vAlign w:val="center"/>
          </w:tcPr>
          <w:p w14:paraId="09EEFFCC" w14:textId="1F76F022"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rPr>
              <w:t>-229,5</w:t>
            </w:r>
          </w:p>
        </w:tc>
        <w:tc>
          <w:tcPr>
            <w:tcW w:w="1320" w:type="dxa"/>
            <w:tcBorders>
              <w:top w:val="nil"/>
              <w:left w:val="nil"/>
              <w:bottom w:val="single" w:sz="4" w:space="0" w:color="auto"/>
              <w:right w:val="single" w:sz="4" w:space="0" w:color="auto"/>
            </w:tcBorders>
            <w:noWrap/>
            <w:vAlign w:val="center"/>
          </w:tcPr>
          <w:p w14:paraId="2DC56B04" w14:textId="296E9925"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szCs w:val="20"/>
              </w:rPr>
              <w:t>0,0</w:t>
            </w:r>
          </w:p>
        </w:tc>
        <w:tc>
          <w:tcPr>
            <w:tcW w:w="1320" w:type="dxa"/>
            <w:tcBorders>
              <w:top w:val="nil"/>
              <w:left w:val="nil"/>
              <w:bottom w:val="single" w:sz="4" w:space="0" w:color="auto"/>
              <w:right w:val="single" w:sz="4" w:space="0" w:color="auto"/>
            </w:tcBorders>
            <w:noWrap/>
            <w:vAlign w:val="center"/>
          </w:tcPr>
          <w:p w14:paraId="09A75478" w14:textId="7F142A68"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szCs w:val="20"/>
              </w:rPr>
              <w:t>-245,9</w:t>
            </w:r>
          </w:p>
        </w:tc>
        <w:tc>
          <w:tcPr>
            <w:tcW w:w="1320" w:type="dxa"/>
            <w:tcBorders>
              <w:top w:val="nil"/>
              <w:left w:val="nil"/>
              <w:bottom w:val="single" w:sz="4" w:space="0" w:color="auto"/>
              <w:right w:val="single" w:sz="4" w:space="0" w:color="auto"/>
            </w:tcBorders>
            <w:noWrap/>
            <w:vAlign w:val="center"/>
          </w:tcPr>
          <w:p w14:paraId="7360352A" w14:textId="1691C28A" w:rsidR="00300C27" w:rsidRPr="007007A3" w:rsidRDefault="00300C27" w:rsidP="00300C27">
            <w:pPr>
              <w:spacing w:before="120" w:after="120"/>
              <w:jc w:val="right"/>
              <w:rPr>
                <w:rFonts w:ascii="Times New Roman" w:hAnsi="Times New Roman" w:cs="Times New Roman"/>
                <w:sz w:val="20"/>
                <w:szCs w:val="20"/>
              </w:rPr>
            </w:pPr>
          </w:p>
        </w:tc>
        <w:tc>
          <w:tcPr>
            <w:tcW w:w="1320" w:type="dxa"/>
            <w:tcBorders>
              <w:top w:val="nil"/>
              <w:left w:val="nil"/>
              <w:bottom w:val="single" w:sz="4" w:space="0" w:color="auto"/>
              <w:right w:val="single" w:sz="4" w:space="0" w:color="auto"/>
            </w:tcBorders>
            <w:noWrap/>
            <w:vAlign w:val="center"/>
          </w:tcPr>
          <w:p w14:paraId="4CE48797" w14:textId="30FA2232"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107,1</w:t>
            </w:r>
          </w:p>
        </w:tc>
      </w:tr>
      <w:tr w:rsidR="00300C27" w:rsidRPr="003D514A" w14:paraId="019242A3"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0B28D060" w14:textId="77777777" w:rsidR="00300C27" w:rsidRPr="00602E3C" w:rsidRDefault="00300C27" w:rsidP="00300C27">
            <w:pPr>
              <w:keepNext/>
              <w:keepLines/>
              <w:spacing w:before="120" w:after="120"/>
              <w:jc w:val="right"/>
              <w:rPr>
                <w:rFonts w:ascii="Times New Roman" w:hAnsi="Times New Roman" w:cs="Times New Roman"/>
                <w:sz w:val="20"/>
                <w:szCs w:val="20"/>
              </w:rPr>
            </w:pPr>
            <w:r w:rsidRPr="7A1FFE35">
              <w:rPr>
                <w:rFonts w:ascii="Times New Roman" w:hAnsi="Times New Roman" w:cs="Times New Roman"/>
                <w:sz w:val="20"/>
                <w:szCs w:val="20"/>
              </w:rPr>
              <w:t>bevétel:</w:t>
            </w:r>
          </w:p>
        </w:tc>
        <w:tc>
          <w:tcPr>
            <w:tcW w:w="1320" w:type="dxa"/>
            <w:tcBorders>
              <w:top w:val="nil"/>
              <w:left w:val="single" w:sz="4" w:space="0" w:color="auto"/>
              <w:bottom w:val="single" w:sz="4" w:space="0" w:color="auto"/>
              <w:right w:val="single" w:sz="4" w:space="0" w:color="auto"/>
            </w:tcBorders>
            <w:noWrap/>
            <w:vAlign w:val="center"/>
          </w:tcPr>
          <w:p w14:paraId="37CEA0A8" w14:textId="7389C756"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rPr>
              <w:t>10 526,1</w:t>
            </w:r>
          </w:p>
        </w:tc>
        <w:tc>
          <w:tcPr>
            <w:tcW w:w="1320" w:type="dxa"/>
            <w:tcBorders>
              <w:top w:val="nil"/>
              <w:left w:val="nil"/>
              <w:bottom w:val="single" w:sz="4" w:space="0" w:color="auto"/>
              <w:right w:val="single" w:sz="4" w:space="0" w:color="auto"/>
            </w:tcBorders>
            <w:noWrap/>
            <w:vAlign w:val="center"/>
          </w:tcPr>
          <w:p w14:paraId="38B2FBF3" w14:textId="2FD1A54F"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11 261,1</w:t>
            </w:r>
          </w:p>
        </w:tc>
        <w:tc>
          <w:tcPr>
            <w:tcW w:w="1320" w:type="dxa"/>
            <w:tcBorders>
              <w:top w:val="nil"/>
              <w:left w:val="nil"/>
              <w:bottom w:val="single" w:sz="4" w:space="0" w:color="auto"/>
              <w:right w:val="single" w:sz="4" w:space="0" w:color="auto"/>
            </w:tcBorders>
            <w:noWrap/>
            <w:vAlign w:val="center"/>
          </w:tcPr>
          <w:p w14:paraId="45786421" w14:textId="072CC4C5"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11 294,9</w:t>
            </w:r>
          </w:p>
        </w:tc>
        <w:tc>
          <w:tcPr>
            <w:tcW w:w="1320" w:type="dxa"/>
            <w:tcBorders>
              <w:top w:val="nil"/>
              <w:left w:val="nil"/>
              <w:bottom w:val="single" w:sz="4" w:space="0" w:color="auto"/>
              <w:right w:val="single" w:sz="4" w:space="0" w:color="auto"/>
            </w:tcBorders>
            <w:noWrap/>
            <w:vAlign w:val="center"/>
          </w:tcPr>
          <w:p w14:paraId="36A63170" w14:textId="29C064A4"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100,3</w:t>
            </w:r>
          </w:p>
        </w:tc>
        <w:tc>
          <w:tcPr>
            <w:tcW w:w="1320" w:type="dxa"/>
            <w:tcBorders>
              <w:top w:val="nil"/>
              <w:left w:val="nil"/>
              <w:bottom w:val="single" w:sz="4" w:space="0" w:color="auto"/>
              <w:right w:val="single" w:sz="4" w:space="0" w:color="auto"/>
            </w:tcBorders>
            <w:noWrap/>
            <w:vAlign w:val="center"/>
          </w:tcPr>
          <w:p w14:paraId="20C35B4C" w14:textId="73C317AB"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107,3</w:t>
            </w:r>
          </w:p>
        </w:tc>
      </w:tr>
      <w:tr w:rsidR="00300C27" w:rsidRPr="003D514A" w14:paraId="57754C66"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63131A64" w14:textId="77777777" w:rsidR="00300C27" w:rsidRPr="00602E3C" w:rsidRDefault="00300C27" w:rsidP="00300C27">
            <w:pPr>
              <w:keepNext/>
              <w:keepLines/>
              <w:spacing w:before="120" w:after="120"/>
              <w:jc w:val="right"/>
              <w:rPr>
                <w:rFonts w:ascii="Times New Roman" w:hAnsi="Times New Roman" w:cs="Times New Roman"/>
                <w:sz w:val="20"/>
                <w:szCs w:val="20"/>
              </w:rPr>
            </w:pPr>
            <w:r w:rsidRPr="7A1FFE35">
              <w:rPr>
                <w:rFonts w:ascii="Times New Roman" w:hAnsi="Times New Roman" w:cs="Times New Roman"/>
                <w:sz w:val="20"/>
                <w:szCs w:val="20"/>
              </w:rPr>
              <w:t>kiadás:</w:t>
            </w:r>
          </w:p>
        </w:tc>
        <w:tc>
          <w:tcPr>
            <w:tcW w:w="1320" w:type="dxa"/>
            <w:tcBorders>
              <w:top w:val="nil"/>
              <w:left w:val="single" w:sz="4" w:space="0" w:color="auto"/>
              <w:bottom w:val="single" w:sz="4" w:space="0" w:color="auto"/>
              <w:right w:val="single" w:sz="4" w:space="0" w:color="auto"/>
            </w:tcBorders>
            <w:noWrap/>
            <w:vAlign w:val="center"/>
          </w:tcPr>
          <w:p w14:paraId="6EE84A7D" w14:textId="49964A7D"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rPr>
              <w:t>10 755,5</w:t>
            </w:r>
          </w:p>
        </w:tc>
        <w:tc>
          <w:tcPr>
            <w:tcW w:w="1320" w:type="dxa"/>
            <w:tcBorders>
              <w:top w:val="nil"/>
              <w:left w:val="nil"/>
              <w:bottom w:val="single" w:sz="4" w:space="0" w:color="auto"/>
              <w:right w:val="single" w:sz="4" w:space="0" w:color="auto"/>
            </w:tcBorders>
            <w:noWrap/>
            <w:vAlign w:val="center"/>
          </w:tcPr>
          <w:p w14:paraId="46E1FBBD" w14:textId="15BA5629"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11 261,1</w:t>
            </w:r>
          </w:p>
        </w:tc>
        <w:tc>
          <w:tcPr>
            <w:tcW w:w="1320" w:type="dxa"/>
            <w:tcBorders>
              <w:top w:val="nil"/>
              <w:left w:val="nil"/>
              <w:bottom w:val="single" w:sz="4" w:space="0" w:color="auto"/>
              <w:right w:val="single" w:sz="4" w:space="0" w:color="auto"/>
            </w:tcBorders>
            <w:noWrap/>
            <w:vAlign w:val="center"/>
          </w:tcPr>
          <w:p w14:paraId="66835E32" w14:textId="08956344"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11 540,8</w:t>
            </w:r>
          </w:p>
        </w:tc>
        <w:tc>
          <w:tcPr>
            <w:tcW w:w="1320" w:type="dxa"/>
            <w:tcBorders>
              <w:top w:val="nil"/>
              <w:left w:val="nil"/>
              <w:bottom w:val="single" w:sz="4" w:space="0" w:color="auto"/>
              <w:right w:val="single" w:sz="4" w:space="0" w:color="auto"/>
            </w:tcBorders>
            <w:noWrap/>
            <w:vAlign w:val="center"/>
          </w:tcPr>
          <w:p w14:paraId="58C18A84" w14:textId="3A2E8172"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102,5</w:t>
            </w:r>
          </w:p>
        </w:tc>
        <w:tc>
          <w:tcPr>
            <w:tcW w:w="1320" w:type="dxa"/>
            <w:tcBorders>
              <w:top w:val="nil"/>
              <w:left w:val="nil"/>
              <w:bottom w:val="single" w:sz="4" w:space="0" w:color="auto"/>
              <w:right w:val="single" w:sz="4" w:space="0" w:color="auto"/>
            </w:tcBorders>
            <w:noWrap/>
            <w:vAlign w:val="center"/>
          </w:tcPr>
          <w:p w14:paraId="13EBC871" w14:textId="2AE87780"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107,3</w:t>
            </w:r>
          </w:p>
        </w:tc>
      </w:tr>
      <w:tr w:rsidR="00300C27" w:rsidRPr="003D514A" w14:paraId="0BB4AC6A"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4A00CB7B" w14:textId="77777777" w:rsidR="00300C27" w:rsidRPr="00602E3C" w:rsidRDefault="00300C27" w:rsidP="00300C27">
            <w:pPr>
              <w:keepNext/>
              <w:keepLines/>
              <w:spacing w:before="120" w:after="120"/>
              <w:rPr>
                <w:rFonts w:ascii="Times New Roman" w:hAnsi="Times New Roman" w:cs="Times New Roman"/>
                <w:b/>
                <w:bCs/>
                <w:sz w:val="20"/>
                <w:szCs w:val="20"/>
              </w:rPr>
            </w:pPr>
            <w:r w:rsidRPr="7A1FFE35">
              <w:rPr>
                <w:rFonts w:ascii="Times New Roman" w:hAnsi="Times New Roman" w:cs="Times New Roman"/>
                <w:b/>
                <w:bCs/>
                <w:sz w:val="20"/>
                <w:szCs w:val="20"/>
              </w:rPr>
              <w:t>Egyenleg összesen</w:t>
            </w:r>
          </w:p>
        </w:tc>
        <w:tc>
          <w:tcPr>
            <w:tcW w:w="1320" w:type="dxa"/>
            <w:tcBorders>
              <w:top w:val="nil"/>
              <w:left w:val="single" w:sz="4" w:space="0" w:color="auto"/>
              <w:bottom w:val="single" w:sz="4" w:space="0" w:color="auto"/>
              <w:right w:val="single" w:sz="4" w:space="0" w:color="auto"/>
            </w:tcBorders>
            <w:noWrap/>
            <w:vAlign w:val="center"/>
          </w:tcPr>
          <w:p w14:paraId="1B8B1324" w14:textId="4DBAEFE4"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rPr>
              <w:t>-3 948,3</w:t>
            </w:r>
          </w:p>
        </w:tc>
        <w:tc>
          <w:tcPr>
            <w:tcW w:w="1320" w:type="dxa"/>
            <w:tcBorders>
              <w:top w:val="nil"/>
              <w:left w:val="nil"/>
              <w:bottom w:val="single" w:sz="4" w:space="0" w:color="auto"/>
              <w:right w:val="single" w:sz="4" w:space="0" w:color="auto"/>
            </w:tcBorders>
            <w:noWrap/>
            <w:vAlign w:val="center"/>
          </w:tcPr>
          <w:p w14:paraId="786BA0A5" w14:textId="546CC5DD"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szCs w:val="20"/>
              </w:rPr>
              <w:t>-4 123,0</w:t>
            </w:r>
          </w:p>
        </w:tc>
        <w:tc>
          <w:tcPr>
            <w:tcW w:w="1320" w:type="dxa"/>
            <w:tcBorders>
              <w:top w:val="nil"/>
              <w:left w:val="nil"/>
              <w:bottom w:val="single" w:sz="4" w:space="0" w:color="auto"/>
              <w:right w:val="single" w:sz="4" w:space="0" w:color="auto"/>
            </w:tcBorders>
            <w:noWrap/>
            <w:vAlign w:val="center"/>
          </w:tcPr>
          <w:p w14:paraId="53FEC34A" w14:textId="632F56F9" w:rsidR="00300C27" w:rsidRPr="007007A3" w:rsidRDefault="00300C27" w:rsidP="00300C27">
            <w:pPr>
              <w:spacing w:before="120" w:after="120"/>
              <w:jc w:val="right"/>
              <w:rPr>
                <w:rFonts w:ascii="Times New Roman" w:hAnsi="Times New Roman" w:cs="Times New Roman"/>
                <w:b/>
                <w:bCs/>
                <w:sz w:val="20"/>
                <w:szCs w:val="20"/>
              </w:rPr>
            </w:pPr>
            <w:r w:rsidRPr="003A2064">
              <w:rPr>
                <w:rFonts w:ascii="Garamond" w:hAnsi="Garamond"/>
                <w:b/>
                <w:bCs/>
                <w:szCs w:val="20"/>
              </w:rPr>
              <w:t>-5 738,7</w:t>
            </w:r>
          </w:p>
        </w:tc>
        <w:tc>
          <w:tcPr>
            <w:tcW w:w="1320" w:type="dxa"/>
            <w:tcBorders>
              <w:top w:val="nil"/>
              <w:left w:val="nil"/>
              <w:bottom w:val="single" w:sz="4" w:space="0" w:color="auto"/>
              <w:right w:val="single" w:sz="4" w:space="0" w:color="auto"/>
            </w:tcBorders>
            <w:noWrap/>
            <w:vAlign w:val="center"/>
          </w:tcPr>
          <w:p w14:paraId="6F96D6B4" w14:textId="6B3BBD05"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139,2</w:t>
            </w:r>
          </w:p>
        </w:tc>
        <w:tc>
          <w:tcPr>
            <w:tcW w:w="1320" w:type="dxa"/>
            <w:tcBorders>
              <w:top w:val="nil"/>
              <w:left w:val="nil"/>
              <w:bottom w:val="single" w:sz="4" w:space="0" w:color="auto"/>
              <w:right w:val="single" w:sz="4" w:space="0" w:color="auto"/>
            </w:tcBorders>
            <w:noWrap/>
            <w:vAlign w:val="center"/>
          </w:tcPr>
          <w:p w14:paraId="08B7BC04" w14:textId="47AF4591"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145,3</w:t>
            </w:r>
          </w:p>
        </w:tc>
      </w:tr>
      <w:tr w:rsidR="00300C27" w:rsidRPr="003D514A" w14:paraId="54A89CE6"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2D471282" w14:textId="77777777" w:rsidR="00300C27" w:rsidRPr="00602E3C" w:rsidRDefault="00300C27" w:rsidP="00300C27">
            <w:pPr>
              <w:keepNext/>
              <w:keepLines/>
              <w:spacing w:before="120" w:after="120"/>
              <w:jc w:val="right"/>
              <w:rPr>
                <w:rFonts w:ascii="Times New Roman" w:hAnsi="Times New Roman" w:cs="Times New Roman"/>
                <w:sz w:val="20"/>
                <w:szCs w:val="20"/>
              </w:rPr>
            </w:pPr>
            <w:r w:rsidRPr="7A1FFE35">
              <w:rPr>
                <w:rFonts w:ascii="Times New Roman" w:hAnsi="Times New Roman" w:cs="Times New Roman"/>
                <w:sz w:val="20"/>
                <w:szCs w:val="20"/>
              </w:rPr>
              <w:t>bevétel:</w:t>
            </w:r>
          </w:p>
        </w:tc>
        <w:tc>
          <w:tcPr>
            <w:tcW w:w="1320" w:type="dxa"/>
            <w:tcBorders>
              <w:top w:val="nil"/>
              <w:left w:val="single" w:sz="4" w:space="0" w:color="auto"/>
              <w:bottom w:val="single" w:sz="4" w:space="0" w:color="auto"/>
              <w:right w:val="single" w:sz="4" w:space="0" w:color="auto"/>
            </w:tcBorders>
            <w:noWrap/>
            <w:vAlign w:val="center"/>
          </w:tcPr>
          <w:p w14:paraId="1A9DE151" w14:textId="401A22F0"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rPr>
              <w:t>38 091,2</w:t>
            </w:r>
          </w:p>
        </w:tc>
        <w:tc>
          <w:tcPr>
            <w:tcW w:w="1320" w:type="dxa"/>
            <w:tcBorders>
              <w:top w:val="nil"/>
              <w:left w:val="nil"/>
              <w:bottom w:val="single" w:sz="4" w:space="0" w:color="auto"/>
              <w:right w:val="single" w:sz="4" w:space="0" w:color="auto"/>
            </w:tcBorders>
            <w:noWrap/>
            <w:vAlign w:val="center"/>
          </w:tcPr>
          <w:p w14:paraId="3B7C4504" w14:textId="397CB10F"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38 728,8</w:t>
            </w:r>
          </w:p>
        </w:tc>
        <w:tc>
          <w:tcPr>
            <w:tcW w:w="1320" w:type="dxa"/>
            <w:tcBorders>
              <w:top w:val="nil"/>
              <w:left w:val="nil"/>
              <w:bottom w:val="single" w:sz="4" w:space="0" w:color="auto"/>
              <w:right w:val="single" w:sz="4" w:space="0" w:color="auto"/>
            </w:tcBorders>
            <w:noWrap/>
            <w:vAlign w:val="center"/>
          </w:tcPr>
          <w:p w14:paraId="29707FCC" w14:textId="6D3CFDCB"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39 191,6</w:t>
            </w:r>
          </w:p>
        </w:tc>
        <w:tc>
          <w:tcPr>
            <w:tcW w:w="1320" w:type="dxa"/>
            <w:tcBorders>
              <w:top w:val="nil"/>
              <w:left w:val="nil"/>
              <w:bottom w:val="single" w:sz="4" w:space="0" w:color="auto"/>
              <w:right w:val="single" w:sz="4" w:space="0" w:color="auto"/>
            </w:tcBorders>
            <w:noWrap/>
            <w:vAlign w:val="center"/>
          </w:tcPr>
          <w:p w14:paraId="5BE38AAD" w14:textId="7A903F81"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101,2</w:t>
            </w:r>
          </w:p>
        </w:tc>
        <w:tc>
          <w:tcPr>
            <w:tcW w:w="1320" w:type="dxa"/>
            <w:tcBorders>
              <w:top w:val="nil"/>
              <w:left w:val="nil"/>
              <w:bottom w:val="single" w:sz="4" w:space="0" w:color="auto"/>
              <w:right w:val="single" w:sz="4" w:space="0" w:color="auto"/>
            </w:tcBorders>
            <w:noWrap/>
            <w:vAlign w:val="center"/>
          </w:tcPr>
          <w:p w14:paraId="434BF952" w14:textId="7BB26732"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102,9</w:t>
            </w:r>
          </w:p>
        </w:tc>
      </w:tr>
      <w:tr w:rsidR="00300C27" w:rsidRPr="0096527E" w14:paraId="7BAEDA41" w14:textId="77777777" w:rsidTr="00300C27">
        <w:trPr>
          <w:trHeight w:val="170"/>
          <w:jc w:val="center"/>
        </w:trPr>
        <w:tc>
          <w:tcPr>
            <w:tcW w:w="2189" w:type="dxa"/>
            <w:tcBorders>
              <w:top w:val="nil"/>
              <w:left w:val="single" w:sz="4" w:space="0" w:color="auto"/>
              <w:bottom w:val="single" w:sz="4" w:space="0" w:color="auto"/>
              <w:right w:val="single" w:sz="4" w:space="0" w:color="auto"/>
            </w:tcBorders>
            <w:vAlign w:val="center"/>
            <w:hideMark/>
          </w:tcPr>
          <w:p w14:paraId="639802C9" w14:textId="77777777" w:rsidR="00300C27" w:rsidRPr="00602E3C" w:rsidRDefault="00300C27" w:rsidP="00300C27">
            <w:pPr>
              <w:keepNext/>
              <w:keepLines/>
              <w:spacing w:before="120" w:after="120"/>
              <w:jc w:val="right"/>
              <w:rPr>
                <w:rFonts w:ascii="Times New Roman" w:hAnsi="Times New Roman" w:cs="Times New Roman"/>
                <w:sz w:val="20"/>
                <w:szCs w:val="20"/>
              </w:rPr>
            </w:pPr>
            <w:r w:rsidRPr="7A1FFE35">
              <w:rPr>
                <w:rFonts w:ascii="Times New Roman" w:hAnsi="Times New Roman" w:cs="Times New Roman"/>
                <w:sz w:val="20"/>
                <w:szCs w:val="20"/>
              </w:rPr>
              <w:t>kiadás:</w:t>
            </w:r>
          </w:p>
        </w:tc>
        <w:tc>
          <w:tcPr>
            <w:tcW w:w="1320" w:type="dxa"/>
            <w:tcBorders>
              <w:top w:val="nil"/>
              <w:left w:val="single" w:sz="4" w:space="0" w:color="auto"/>
              <w:bottom w:val="single" w:sz="4" w:space="0" w:color="auto"/>
              <w:right w:val="single" w:sz="4" w:space="0" w:color="auto"/>
            </w:tcBorders>
            <w:noWrap/>
            <w:vAlign w:val="center"/>
          </w:tcPr>
          <w:p w14:paraId="59AFD40D" w14:textId="284AC4E6"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rPr>
              <w:t>42 039,5</w:t>
            </w:r>
          </w:p>
        </w:tc>
        <w:tc>
          <w:tcPr>
            <w:tcW w:w="1320" w:type="dxa"/>
            <w:tcBorders>
              <w:top w:val="nil"/>
              <w:left w:val="nil"/>
              <w:bottom w:val="single" w:sz="4" w:space="0" w:color="auto"/>
              <w:right w:val="single" w:sz="4" w:space="0" w:color="auto"/>
            </w:tcBorders>
            <w:noWrap/>
            <w:vAlign w:val="center"/>
          </w:tcPr>
          <w:p w14:paraId="4ABA63B9" w14:textId="0E4518B5"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42 851,8</w:t>
            </w:r>
          </w:p>
        </w:tc>
        <w:tc>
          <w:tcPr>
            <w:tcW w:w="1320" w:type="dxa"/>
            <w:tcBorders>
              <w:top w:val="nil"/>
              <w:left w:val="nil"/>
              <w:bottom w:val="single" w:sz="4" w:space="0" w:color="auto"/>
              <w:right w:val="single" w:sz="4" w:space="0" w:color="auto"/>
            </w:tcBorders>
            <w:noWrap/>
            <w:vAlign w:val="center"/>
          </w:tcPr>
          <w:p w14:paraId="6B9088C5" w14:textId="047D5E14"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44 930,4</w:t>
            </w:r>
          </w:p>
        </w:tc>
        <w:tc>
          <w:tcPr>
            <w:tcW w:w="1320" w:type="dxa"/>
            <w:tcBorders>
              <w:top w:val="nil"/>
              <w:left w:val="nil"/>
              <w:bottom w:val="single" w:sz="4" w:space="0" w:color="auto"/>
              <w:right w:val="single" w:sz="4" w:space="0" w:color="auto"/>
            </w:tcBorders>
            <w:noWrap/>
            <w:vAlign w:val="center"/>
          </w:tcPr>
          <w:p w14:paraId="22DBE23B" w14:textId="7B8DDDA6"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104,9</w:t>
            </w:r>
          </w:p>
        </w:tc>
        <w:tc>
          <w:tcPr>
            <w:tcW w:w="1320" w:type="dxa"/>
            <w:tcBorders>
              <w:top w:val="nil"/>
              <w:left w:val="nil"/>
              <w:bottom w:val="single" w:sz="4" w:space="0" w:color="auto"/>
              <w:right w:val="single" w:sz="4" w:space="0" w:color="auto"/>
            </w:tcBorders>
            <w:noWrap/>
            <w:vAlign w:val="center"/>
          </w:tcPr>
          <w:p w14:paraId="6882C43A" w14:textId="37861F38" w:rsidR="00300C27" w:rsidRPr="007007A3" w:rsidRDefault="00300C27" w:rsidP="00300C27">
            <w:pPr>
              <w:spacing w:before="120" w:after="120"/>
              <w:jc w:val="right"/>
              <w:rPr>
                <w:rFonts w:ascii="Times New Roman" w:hAnsi="Times New Roman" w:cs="Times New Roman"/>
                <w:sz w:val="20"/>
                <w:szCs w:val="20"/>
              </w:rPr>
            </w:pPr>
            <w:r w:rsidRPr="003A2064">
              <w:rPr>
                <w:rFonts w:ascii="Garamond" w:hAnsi="Garamond"/>
                <w:szCs w:val="20"/>
              </w:rPr>
              <w:t>106,9</w:t>
            </w:r>
          </w:p>
        </w:tc>
      </w:tr>
    </w:tbl>
    <w:p w14:paraId="651BA2DD" w14:textId="77777777" w:rsidR="005171E0" w:rsidRDefault="005171E0" w:rsidP="00794A5E">
      <w:pPr>
        <w:jc w:val="both"/>
        <w:rPr>
          <w:rFonts w:ascii="Times New Roman" w:eastAsia="Times New Roman" w:hAnsi="Times New Roman" w:cs="Times New Roman"/>
          <w:sz w:val="26"/>
          <w:szCs w:val="26"/>
          <w:lang w:eastAsia="hu-HU"/>
        </w:rPr>
      </w:pPr>
    </w:p>
    <w:p w14:paraId="6530C941" w14:textId="77777777" w:rsidR="00794A5E" w:rsidRDefault="00794A5E" w:rsidP="00794A5E">
      <w:pPr>
        <w:jc w:val="both"/>
        <w:rPr>
          <w:rFonts w:ascii="Times New Roman" w:eastAsia="Times New Roman" w:hAnsi="Times New Roman" w:cs="Times New Roman"/>
          <w:sz w:val="26"/>
          <w:szCs w:val="26"/>
          <w:lang w:eastAsia="hu-HU"/>
        </w:rPr>
      </w:pPr>
    </w:p>
    <w:p w14:paraId="47665E44" w14:textId="77777777" w:rsidR="00794A5E" w:rsidRPr="00377D59" w:rsidRDefault="7A1FFE35" w:rsidP="7A1FFE35">
      <w:pPr>
        <w:keepNext/>
        <w:spacing w:line="240" w:lineRule="auto"/>
        <w:ind w:left="425" w:hanging="425"/>
        <w:jc w:val="center"/>
        <w:outlineLvl w:val="3"/>
        <w:rPr>
          <w:rFonts w:ascii="Times New Roman" w:eastAsia="Times New Roman" w:hAnsi="Times New Roman" w:cs="Times New Roman"/>
          <w:b/>
          <w:bCs/>
          <w:caps/>
          <w:sz w:val="26"/>
          <w:szCs w:val="26"/>
          <w:lang w:eastAsia="hu-HU"/>
        </w:rPr>
      </w:pPr>
      <w:r w:rsidRPr="7A1FFE35">
        <w:rPr>
          <w:rFonts w:ascii="Times New Roman" w:eastAsia="Times New Roman" w:hAnsi="Times New Roman" w:cs="Times New Roman"/>
          <w:b/>
          <w:bCs/>
          <w:caps/>
          <w:sz w:val="26"/>
          <w:szCs w:val="26"/>
          <w:lang w:eastAsia="hu-HU"/>
        </w:rPr>
        <w:t>Az államháztartás központi alrendszerének HIÁNYA</w:t>
      </w:r>
    </w:p>
    <w:p w14:paraId="48257848" w14:textId="0CD4A871" w:rsidR="00794A5E" w:rsidRPr="00794A5E" w:rsidRDefault="7A1FFE35" w:rsidP="7A1FFE35">
      <w:pPr>
        <w:jc w:val="both"/>
        <w:rPr>
          <w:rFonts w:ascii="Times New Roman" w:eastAsia="Times New Roman" w:hAnsi="Times New Roman" w:cs="Times New Roman"/>
          <w:color w:val="000000" w:themeColor="text1"/>
          <w:sz w:val="26"/>
          <w:szCs w:val="26"/>
          <w:lang w:eastAsia="hu-HU"/>
        </w:rPr>
      </w:pPr>
      <w:r w:rsidRPr="7A1FFE35">
        <w:rPr>
          <w:rFonts w:ascii="Times New Roman" w:eastAsia="Times New Roman" w:hAnsi="Times New Roman" w:cs="Times New Roman"/>
          <w:color w:val="000000" w:themeColor="text1"/>
          <w:sz w:val="26"/>
          <w:szCs w:val="26"/>
          <w:lang w:eastAsia="hu-HU"/>
        </w:rPr>
        <w:t>Az államháztartás központi alrendszerének az elfogadott költségvetési törvényben szereplő 3,7%-os ESA-hiányhoz tartozó pénzforgalmi hiánya 4123,0 milliárd forint.</w:t>
      </w:r>
    </w:p>
    <w:p w14:paraId="3D414BA9" w14:textId="77777777" w:rsidR="008B2C27" w:rsidRDefault="00452639" w:rsidP="00794A5E">
      <w:pPr>
        <w:jc w:val="both"/>
        <w:rPr>
          <w:rFonts w:ascii="Times New Roman" w:eastAsia="Times New Roman" w:hAnsi="Times New Roman" w:cs="Times New Roman"/>
          <w:color w:val="000000" w:themeColor="text1"/>
          <w:sz w:val="26"/>
          <w:szCs w:val="26"/>
          <w:lang w:eastAsia="hu-HU"/>
        </w:rPr>
      </w:pPr>
      <w:r w:rsidRPr="00452639">
        <w:rPr>
          <w:rFonts w:ascii="Times New Roman" w:eastAsia="Times New Roman" w:hAnsi="Times New Roman" w:cs="Times New Roman"/>
          <w:color w:val="000000" w:themeColor="text1"/>
          <w:sz w:val="26"/>
          <w:szCs w:val="26"/>
          <w:lang w:eastAsia="hu-HU"/>
        </w:rPr>
        <w:t xml:space="preserve">A Kormány ugyanakkor később mind a pénzforgalmi, mind az eredményszemléletű hiánycélt megemelte. </w:t>
      </w:r>
      <w:r w:rsidR="00430812" w:rsidRPr="00430812">
        <w:rPr>
          <w:rFonts w:ascii="Times New Roman" w:eastAsia="Times New Roman" w:hAnsi="Times New Roman" w:cs="Times New Roman"/>
          <w:color w:val="000000" w:themeColor="text1"/>
          <w:sz w:val="26"/>
          <w:szCs w:val="26"/>
          <w:lang w:eastAsia="hu-HU"/>
        </w:rPr>
        <w:t>Az államháztartás központi alrendszere tavaly 5738,7 milliárd forintos hiánnyal zárt.</w:t>
      </w:r>
      <w:r w:rsidR="008B2C27">
        <w:rPr>
          <w:rFonts w:ascii="Times New Roman" w:eastAsia="Times New Roman" w:hAnsi="Times New Roman" w:cs="Times New Roman"/>
          <w:color w:val="000000" w:themeColor="text1"/>
          <w:sz w:val="26"/>
          <w:szCs w:val="26"/>
          <w:lang w:eastAsia="hu-HU"/>
        </w:rPr>
        <w:t xml:space="preserve"> </w:t>
      </w:r>
    </w:p>
    <w:p w14:paraId="1A0A9898" w14:textId="7BCE4C4F" w:rsidR="00794A5E" w:rsidRPr="00452639" w:rsidRDefault="008B2C27" w:rsidP="00794A5E">
      <w:pPr>
        <w:jc w:val="both"/>
        <w:rPr>
          <w:rFonts w:ascii="Times New Roman" w:eastAsia="Times New Roman" w:hAnsi="Times New Roman" w:cs="Times New Roman"/>
          <w:color w:val="FF0000"/>
          <w:sz w:val="26"/>
          <w:szCs w:val="26"/>
          <w:lang w:eastAsia="hu-HU"/>
        </w:rPr>
      </w:pPr>
      <w:r>
        <w:rPr>
          <w:rFonts w:ascii="Times New Roman" w:eastAsia="Times New Roman" w:hAnsi="Times New Roman" w:cs="Times New Roman"/>
          <w:color w:val="000000" w:themeColor="text1"/>
          <w:sz w:val="26"/>
          <w:szCs w:val="26"/>
          <w:lang w:eastAsia="hu-HU"/>
        </w:rPr>
        <w:t xml:space="preserve">Az államháztartás uniós módszertan szerinti hiánya </w:t>
      </w:r>
      <w:r w:rsidR="005B0D1F" w:rsidRPr="00300C27">
        <w:rPr>
          <w:rFonts w:ascii="Times New Roman" w:eastAsia="Times New Roman" w:hAnsi="Times New Roman" w:cs="Times New Roman"/>
          <w:color w:val="000000" w:themeColor="text1"/>
          <w:sz w:val="26"/>
          <w:szCs w:val="26"/>
          <w:lang w:eastAsia="hu-HU"/>
        </w:rPr>
        <w:t>–</w:t>
      </w:r>
      <w:r w:rsidR="005B0D1F">
        <w:rPr>
          <w:rFonts w:ascii="Times New Roman" w:eastAsia="Times New Roman" w:hAnsi="Times New Roman" w:cs="Times New Roman"/>
          <w:color w:val="000000" w:themeColor="text1"/>
          <w:sz w:val="26"/>
          <w:szCs w:val="26"/>
          <w:lang w:eastAsia="hu-HU"/>
        </w:rPr>
        <w:t xml:space="preserve"> a Nemzetgazdasági Minisztérium becslése szerint </w:t>
      </w:r>
      <w:r w:rsidR="005B0D1F" w:rsidRPr="00300C27">
        <w:rPr>
          <w:rFonts w:ascii="Times New Roman" w:eastAsia="Times New Roman" w:hAnsi="Times New Roman" w:cs="Times New Roman"/>
          <w:color w:val="000000" w:themeColor="text1"/>
          <w:sz w:val="26"/>
          <w:szCs w:val="26"/>
          <w:lang w:eastAsia="hu-HU"/>
        </w:rPr>
        <w:t>–</w:t>
      </w:r>
      <w:r w:rsidR="005B0D1F">
        <w:rPr>
          <w:rFonts w:ascii="Times New Roman" w:eastAsia="Times New Roman" w:hAnsi="Times New Roman" w:cs="Times New Roman"/>
          <w:color w:val="000000" w:themeColor="text1"/>
          <w:sz w:val="26"/>
          <w:szCs w:val="26"/>
          <w:lang w:eastAsia="hu-HU"/>
        </w:rPr>
        <w:t xml:space="preserve"> </w:t>
      </w:r>
      <w:r>
        <w:rPr>
          <w:rFonts w:ascii="Times New Roman" w:eastAsia="Times New Roman" w:hAnsi="Times New Roman" w:cs="Times New Roman"/>
          <w:color w:val="000000" w:themeColor="text1"/>
          <w:sz w:val="26"/>
          <w:szCs w:val="26"/>
          <w:lang w:eastAsia="hu-HU"/>
        </w:rPr>
        <w:t>a kitűzött, 5%-os GDP-arányos hiánycélnak megfelelően alakult.</w:t>
      </w:r>
    </w:p>
    <w:p w14:paraId="01371788" w14:textId="77777777" w:rsidR="00BA38F7" w:rsidRDefault="00BA38F7" w:rsidP="716D41F4">
      <w:pPr>
        <w:spacing w:after="120" w:line="240" w:lineRule="auto"/>
        <w:jc w:val="center"/>
        <w:rPr>
          <w:rFonts w:ascii="Times New Roman" w:eastAsia="Times New Roman" w:hAnsi="Times New Roman" w:cs="Times New Roman"/>
          <w:b/>
          <w:bCs/>
          <w:sz w:val="26"/>
          <w:szCs w:val="26"/>
          <w:lang w:eastAsia="hu-HU"/>
        </w:rPr>
      </w:pPr>
    </w:p>
    <w:p w14:paraId="7B768A93" w14:textId="398E617F" w:rsidR="00B155FE" w:rsidRPr="00377D59" w:rsidRDefault="7A1FFE35" w:rsidP="7A1FFE35">
      <w:pPr>
        <w:spacing w:after="120" w:line="240" w:lineRule="auto"/>
        <w:jc w:val="center"/>
        <w:rPr>
          <w:rFonts w:ascii="Times New Roman" w:eastAsia="Times New Roman" w:hAnsi="Times New Roman" w:cs="Times New Roman"/>
          <w:b/>
          <w:bCs/>
          <w:sz w:val="26"/>
          <w:szCs w:val="26"/>
          <w:lang w:eastAsia="hu-HU"/>
        </w:rPr>
      </w:pPr>
      <w:r w:rsidRPr="7A1FFE35">
        <w:rPr>
          <w:rFonts w:ascii="Times New Roman" w:eastAsia="Times New Roman" w:hAnsi="Times New Roman" w:cs="Times New Roman"/>
          <w:b/>
          <w:bCs/>
          <w:sz w:val="26"/>
          <w:szCs w:val="26"/>
          <w:lang w:eastAsia="hu-HU"/>
        </w:rPr>
        <w:lastRenderedPageBreak/>
        <w:t>I.</w:t>
      </w:r>
    </w:p>
    <w:p w14:paraId="7B768A94" w14:textId="77777777" w:rsidR="00B155FE" w:rsidRPr="00377D59" w:rsidRDefault="7A1FFE35" w:rsidP="7A1FFE35">
      <w:pPr>
        <w:keepNext/>
        <w:spacing w:after="120" w:line="240" w:lineRule="auto"/>
        <w:jc w:val="center"/>
        <w:outlineLvl w:val="1"/>
        <w:rPr>
          <w:rFonts w:ascii="Times New Roman" w:eastAsia="Times New Roman" w:hAnsi="Times New Roman" w:cs="Times New Roman"/>
          <w:b/>
          <w:bCs/>
          <w:caps/>
          <w:sz w:val="26"/>
          <w:szCs w:val="26"/>
          <w:lang w:eastAsia="hu-HU"/>
        </w:rPr>
      </w:pPr>
      <w:r w:rsidRPr="7A1FFE35">
        <w:rPr>
          <w:rFonts w:ascii="Times New Roman" w:eastAsia="Times New Roman" w:hAnsi="Times New Roman" w:cs="Times New Roman"/>
          <w:b/>
          <w:bCs/>
          <w:caps/>
          <w:sz w:val="26"/>
          <w:szCs w:val="26"/>
          <w:lang w:eastAsia="hu-HU"/>
        </w:rPr>
        <w:t xml:space="preserve">A központi alrendszer pénzügyi folyamatainak </w:t>
      </w:r>
      <w:r w:rsidR="00371825">
        <w:br/>
      </w:r>
      <w:r w:rsidRPr="7A1FFE35">
        <w:rPr>
          <w:rFonts w:ascii="Times New Roman" w:eastAsia="Times New Roman" w:hAnsi="Times New Roman" w:cs="Times New Roman"/>
          <w:b/>
          <w:bCs/>
          <w:caps/>
          <w:sz w:val="26"/>
          <w:szCs w:val="26"/>
          <w:lang w:eastAsia="hu-HU"/>
        </w:rPr>
        <w:t>alakulása</w:t>
      </w:r>
    </w:p>
    <w:p w14:paraId="6D461365" w14:textId="08DC9FC2" w:rsidR="0004032B" w:rsidRPr="00377D59" w:rsidRDefault="7A1FFE35" w:rsidP="7A1FFE35">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7A1FFE35">
        <w:rPr>
          <w:rFonts w:ascii="Times New Roman" w:eastAsia="Times New Roman" w:hAnsi="Times New Roman" w:cs="Times New Roman"/>
          <w:b/>
          <w:bCs/>
          <w:smallCaps/>
          <w:sz w:val="28"/>
          <w:szCs w:val="28"/>
          <w:lang w:eastAsia="hu-HU"/>
        </w:rPr>
        <w:t>A főbb bevételek</w:t>
      </w:r>
    </w:p>
    <w:p w14:paraId="1C04A740" w14:textId="5A868AB0" w:rsidR="008E34AF" w:rsidRDefault="7A1FFE35" w:rsidP="7A1FFE35">
      <w:pPr>
        <w:jc w:val="both"/>
        <w:rPr>
          <w:rFonts w:ascii="Times New Roman" w:eastAsia="Times New Roman" w:hAnsi="Times New Roman" w:cs="Times New Roman"/>
          <w:b/>
          <w:bCs/>
          <w:sz w:val="26"/>
          <w:szCs w:val="26"/>
        </w:rPr>
      </w:pPr>
      <w:r w:rsidRPr="7A1FFE35">
        <w:rPr>
          <w:rFonts w:ascii="Times New Roman" w:eastAsia="Times New Roman" w:hAnsi="Times New Roman" w:cs="Times New Roman"/>
          <w:b/>
          <w:bCs/>
          <w:sz w:val="26"/>
          <w:szCs w:val="26"/>
        </w:rPr>
        <w:t xml:space="preserve">A központi alrendszer </w:t>
      </w:r>
      <w:r w:rsidR="00452639">
        <w:rPr>
          <w:rFonts w:ascii="Times New Roman" w:eastAsia="Times New Roman" w:hAnsi="Times New Roman" w:cs="Times New Roman"/>
          <w:b/>
          <w:bCs/>
          <w:sz w:val="26"/>
          <w:szCs w:val="26"/>
        </w:rPr>
        <w:t>dec</w:t>
      </w:r>
      <w:r w:rsidRPr="7A1FFE35">
        <w:rPr>
          <w:rFonts w:ascii="Times New Roman" w:eastAsia="Times New Roman" w:hAnsi="Times New Roman" w:cs="Times New Roman"/>
          <w:b/>
          <w:bCs/>
          <w:sz w:val="26"/>
          <w:szCs w:val="26"/>
        </w:rPr>
        <w:t>ember végi 3</w:t>
      </w:r>
      <w:r w:rsidR="00452639">
        <w:rPr>
          <w:rFonts w:ascii="Times New Roman" w:eastAsia="Times New Roman" w:hAnsi="Times New Roman" w:cs="Times New Roman"/>
          <w:b/>
          <w:bCs/>
          <w:sz w:val="26"/>
          <w:szCs w:val="26"/>
        </w:rPr>
        <w:t>9 191,6</w:t>
      </w:r>
      <w:r w:rsidRPr="7A1FFE35">
        <w:rPr>
          <w:rFonts w:ascii="Times New Roman" w:eastAsia="Times New Roman" w:hAnsi="Times New Roman" w:cs="Times New Roman"/>
          <w:b/>
          <w:bCs/>
          <w:sz w:val="26"/>
          <w:szCs w:val="26"/>
        </w:rPr>
        <w:t xml:space="preserve"> milliárd forint összegű bevételei az előző év azonos időszakához képest 1</w:t>
      </w:r>
      <w:r w:rsidR="00452639">
        <w:rPr>
          <w:rFonts w:ascii="Times New Roman" w:eastAsia="Times New Roman" w:hAnsi="Times New Roman" w:cs="Times New Roman"/>
          <w:b/>
          <w:bCs/>
          <w:sz w:val="26"/>
          <w:szCs w:val="26"/>
        </w:rPr>
        <w:t>100</w:t>
      </w:r>
      <w:r w:rsidRPr="7A1FFE35">
        <w:rPr>
          <w:rFonts w:ascii="Times New Roman" w:eastAsia="Times New Roman" w:hAnsi="Times New Roman" w:cs="Times New Roman"/>
          <w:b/>
          <w:bCs/>
          <w:sz w:val="26"/>
          <w:szCs w:val="26"/>
        </w:rPr>
        <w:t xml:space="preserve">,4 milliárd forinttal, </w:t>
      </w:r>
      <w:r w:rsidR="00452639">
        <w:rPr>
          <w:rFonts w:ascii="Times New Roman" w:eastAsia="Times New Roman" w:hAnsi="Times New Roman" w:cs="Times New Roman"/>
          <w:b/>
          <w:bCs/>
          <w:sz w:val="26"/>
          <w:szCs w:val="26"/>
        </w:rPr>
        <w:t>2</w:t>
      </w:r>
      <w:r w:rsidRPr="7A1FFE35">
        <w:rPr>
          <w:rFonts w:ascii="Times New Roman" w:eastAsia="Times New Roman" w:hAnsi="Times New Roman" w:cs="Times New Roman"/>
          <w:b/>
          <w:bCs/>
          <w:sz w:val="26"/>
          <w:szCs w:val="26"/>
        </w:rPr>
        <w:t>,9%-kal magasabb összegben alakultak.</w:t>
      </w:r>
    </w:p>
    <w:p w14:paraId="6BBE59DE" w14:textId="2C5F6542" w:rsidR="00CF551C" w:rsidRDefault="00AA22CB" w:rsidP="00C11940">
      <w:pPr>
        <w:pStyle w:val="NormlWeb"/>
        <w:spacing w:before="0" w:beforeAutospacing="0" w:after="120" w:afterAutospacing="0"/>
        <w:jc w:val="center"/>
      </w:pPr>
      <w:r>
        <w:rPr>
          <w:noProof/>
        </w:rPr>
        <w:drawing>
          <wp:inline distT="0" distB="0" distL="0" distR="0" wp14:anchorId="62BC5C28" wp14:editId="2A70950A">
            <wp:extent cx="5940425" cy="2483485"/>
            <wp:effectExtent l="0" t="0" r="3175" b="0"/>
            <wp:docPr id="1930664468" name="Kép 1" descr="A képen diagram, szöveg,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64468" name="Kép 1" descr="A képen diagram, szöveg, képernyőkép, kör látható&#10;&#10;Előfordulhat, hogy a mesterséges intelligencia által létrehozott tartalom helytelen."/>
                    <pic:cNvPicPr/>
                  </pic:nvPicPr>
                  <pic:blipFill>
                    <a:blip r:embed="rId14"/>
                    <a:stretch>
                      <a:fillRect/>
                    </a:stretch>
                  </pic:blipFill>
                  <pic:spPr>
                    <a:xfrm>
                      <a:off x="0" y="0"/>
                      <a:ext cx="5940425" cy="2483485"/>
                    </a:xfrm>
                    <a:prstGeom prst="rect">
                      <a:avLst/>
                    </a:prstGeom>
                  </pic:spPr>
                </pic:pic>
              </a:graphicData>
            </a:graphic>
          </wp:inline>
        </w:drawing>
      </w:r>
    </w:p>
    <w:p w14:paraId="3770B73A" w14:textId="77777777" w:rsidR="00804029" w:rsidRPr="00452639" w:rsidRDefault="00804029" w:rsidP="00452639">
      <w:pPr>
        <w:jc w:val="both"/>
        <w:rPr>
          <w:rFonts w:ascii="Times New Roman" w:eastAsia="Times New Roman" w:hAnsi="Times New Roman" w:cs="Times New Roman"/>
          <w:sz w:val="26"/>
          <w:szCs w:val="26"/>
          <w:highlight w:val="yellow"/>
          <w:lang w:eastAsia="hu-HU"/>
        </w:rPr>
      </w:pPr>
      <w:r w:rsidRPr="00452639">
        <w:rPr>
          <w:rFonts w:ascii="Times New Roman" w:eastAsia="Times New Roman" w:hAnsi="Times New Roman" w:cs="Times New Roman"/>
          <w:b/>
          <w:bCs/>
          <w:sz w:val="26"/>
          <w:szCs w:val="26"/>
          <w:lang w:eastAsia="hu-HU"/>
        </w:rPr>
        <w:t xml:space="preserve">Társasági adó </w:t>
      </w:r>
      <w:r w:rsidRPr="00452639">
        <w:rPr>
          <w:rFonts w:ascii="Times New Roman" w:eastAsia="Times New Roman" w:hAnsi="Times New Roman" w:cs="Times New Roman"/>
          <w:sz w:val="26"/>
          <w:szCs w:val="26"/>
          <w:lang w:eastAsia="hu-HU"/>
        </w:rPr>
        <w:t>jogcímen a 2025. évben 1027,4 milliárd forint realizálódott, amely az előző év egyenlegét 19,5 milliárd forinttal haladja meg. A bázisévhez viszonyított eltérés mögött a globális minimumadóból származó bevétel áll.</w:t>
      </w:r>
    </w:p>
    <w:p w14:paraId="7A31EF94" w14:textId="595E0483" w:rsidR="00804029" w:rsidRPr="00452639" w:rsidRDefault="00804029" w:rsidP="00452639">
      <w:pPr>
        <w:jc w:val="both"/>
        <w:rPr>
          <w:rFonts w:ascii="Times New Roman" w:eastAsia="Times New Roman" w:hAnsi="Times New Roman" w:cs="Times New Roman"/>
          <w:sz w:val="26"/>
          <w:szCs w:val="26"/>
          <w:lang w:eastAsia="hu-HU"/>
        </w:rPr>
      </w:pPr>
      <w:r w:rsidRPr="00452639">
        <w:rPr>
          <w:rFonts w:ascii="Times New Roman" w:eastAsia="Times New Roman" w:hAnsi="Times New Roman" w:cs="Times New Roman"/>
          <w:bCs/>
          <w:sz w:val="26"/>
          <w:szCs w:val="26"/>
          <w:lang w:eastAsia="hu-HU"/>
        </w:rPr>
        <w:t>A</w:t>
      </w:r>
      <w:r w:rsidRPr="00452639">
        <w:rPr>
          <w:rFonts w:ascii="Times New Roman" w:eastAsia="Times New Roman" w:hAnsi="Times New Roman" w:cs="Times New Roman"/>
          <w:b/>
          <w:bCs/>
          <w:sz w:val="26"/>
          <w:szCs w:val="26"/>
          <w:lang w:eastAsia="hu-HU"/>
        </w:rPr>
        <w:t xml:space="preserve"> pénzügyi szervezetek befizetései</w:t>
      </w:r>
      <w:r w:rsidRPr="00452639">
        <w:rPr>
          <w:rFonts w:ascii="Times New Roman" w:eastAsia="Times New Roman" w:hAnsi="Times New Roman" w:cs="Times New Roman"/>
          <w:sz w:val="26"/>
          <w:szCs w:val="26"/>
          <w:lang w:eastAsia="hu-HU"/>
        </w:rPr>
        <w:t xml:space="preserve"> mérlegsoron a 2025. évben 298,1 milliárd forint teljesült, amely az előző év egyenlegét 32,2 milliárd forinttal haladja meg. Ennek oka az</w:t>
      </w:r>
      <w:r w:rsidR="00BA6D82">
        <w:rPr>
          <w:rFonts w:ascii="Times New Roman" w:eastAsia="Times New Roman" w:hAnsi="Times New Roman" w:cs="Times New Roman"/>
          <w:sz w:val="26"/>
          <w:szCs w:val="26"/>
          <w:lang w:eastAsia="hu-HU"/>
        </w:rPr>
        <w:t> </w:t>
      </w:r>
      <w:r w:rsidRPr="00452639">
        <w:rPr>
          <w:rFonts w:ascii="Times New Roman" w:eastAsia="Times New Roman" w:hAnsi="Times New Roman" w:cs="Times New Roman"/>
          <w:sz w:val="26"/>
          <w:szCs w:val="26"/>
          <w:lang w:eastAsia="hu-HU"/>
        </w:rPr>
        <w:t>előírt magasabb előlegkötelezettségek a pénzügyi szervezetek különadója esetén</w:t>
      </w:r>
      <w:r w:rsidR="00635CE2">
        <w:rPr>
          <w:rFonts w:ascii="Times New Roman" w:eastAsia="Times New Roman" w:hAnsi="Times New Roman" w:cs="Times New Roman"/>
          <w:sz w:val="26"/>
          <w:szCs w:val="26"/>
          <w:lang w:eastAsia="hu-HU"/>
        </w:rPr>
        <w:t>,</w:t>
      </w:r>
      <w:r w:rsidRPr="00452639">
        <w:rPr>
          <w:rFonts w:ascii="Times New Roman" w:eastAsia="Times New Roman" w:hAnsi="Times New Roman" w:cs="Times New Roman"/>
          <w:sz w:val="26"/>
          <w:szCs w:val="26"/>
          <w:lang w:eastAsia="hu-HU"/>
        </w:rPr>
        <w:t xml:space="preserve"> </w:t>
      </w:r>
      <w:r w:rsidR="00BA6D82">
        <w:rPr>
          <w:rFonts w:ascii="Times New Roman" w:eastAsia="Times New Roman" w:hAnsi="Times New Roman" w:cs="Times New Roman"/>
          <w:sz w:val="26"/>
          <w:szCs w:val="26"/>
          <w:lang w:eastAsia="hu-HU"/>
        </w:rPr>
        <w:t>valamint</w:t>
      </w:r>
      <w:r w:rsidR="00635CE2">
        <w:rPr>
          <w:rFonts w:ascii="Times New Roman" w:eastAsia="Times New Roman" w:hAnsi="Times New Roman" w:cs="Times New Roman"/>
          <w:sz w:val="26"/>
          <w:szCs w:val="26"/>
          <w:lang w:eastAsia="hu-HU"/>
        </w:rPr>
        <w:t> </w:t>
      </w:r>
      <w:r w:rsidRPr="00452639">
        <w:rPr>
          <w:rFonts w:ascii="Times New Roman" w:eastAsia="Times New Roman" w:hAnsi="Times New Roman" w:cs="Times New Roman"/>
          <w:sz w:val="26"/>
          <w:szCs w:val="26"/>
          <w:lang w:eastAsia="hu-HU"/>
        </w:rPr>
        <w:t>a</w:t>
      </w:r>
      <w:r w:rsidR="00635CE2">
        <w:rPr>
          <w:rFonts w:ascii="Times New Roman" w:eastAsia="Times New Roman" w:hAnsi="Times New Roman" w:cs="Times New Roman"/>
          <w:sz w:val="26"/>
          <w:szCs w:val="26"/>
          <w:lang w:eastAsia="hu-HU"/>
        </w:rPr>
        <w:t> </w:t>
      </w:r>
      <w:r w:rsidRPr="00452639">
        <w:rPr>
          <w:rFonts w:ascii="Times New Roman" w:eastAsia="Times New Roman" w:hAnsi="Times New Roman" w:cs="Times New Roman"/>
          <w:sz w:val="26"/>
          <w:szCs w:val="26"/>
          <w:lang w:eastAsia="hu-HU"/>
        </w:rPr>
        <w:t>magasabb hitelintézeti extraprofitadó bevéte</w:t>
      </w:r>
      <w:r w:rsidR="00BA6D82">
        <w:rPr>
          <w:rFonts w:ascii="Times New Roman" w:eastAsia="Times New Roman" w:hAnsi="Times New Roman" w:cs="Times New Roman"/>
          <w:sz w:val="26"/>
          <w:szCs w:val="26"/>
          <w:lang w:eastAsia="hu-HU"/>
        </w:rPr>
        <w:t>l</w:t>
      </w:r>
      <w:r w:rsidRPr="00452639">
        <w:rPr>
          <w:rFonts w:ascii="Times New Roman" w:eastAsia="Times New Roman" w:hAnsi="Times New Roman" w:cs="Times New Roman"/>
          <w:sz w:val="26"/>
          <w:szCs w:val="26"/>
          <w:lang w:eastAsia="hu-HU"/>
        </w:rPr>
        <w:t>.</w:t>
      </w:r>
    </w:p>
    <w:p w14:paraId="68C0F3DA" w14:textId="5AB160F2" w:rsidR="00804029" w:rsidRPr="00452639" w:rsidRDefault="00804029" w:rsidP="00452639">
      <w:pPr>
        <w:jc w:val="both"/>
        <w:rPr>
          <w:rFonts w:ascii="Times New Roman" w:eastAsia="Times New Roman" w:hAnsi="Times New Roman" w:cs="Times New Roman"/>
          <w:sz w:val="26"/>
          <w:szCs w:val="26"/>
          <w:lang w:eastAsia="hu-HU"/>
        </w:rPr>
      </w:pPr>
      <w:r w:rsidRPr="00452639">
        <w:rPr>
          <w:rFonts w:ascii="Times New Roman" w:eastAsia="Times New Roman" w:hAnsi="Times New Roman" w:cs="Times New Roman"/>
          <w:bCs/>
          <w:sz w:val="26"/>
          <w:szCs w:val="26"/>
          <w:lang w:eastAsia="hu-HU"/>
        </w:rPr>
        <w:t>A</w:t>
      </w:r>
      <w:r w:rsidRPr="00452639">
        <w:rPr>
          <w:rFonts w:ascii="Times New Roman" w:eastAsia="Times New Roman" w:hAnsi="Times New Roman" w:cs="Times New Roman"/>
          <w:b/>
          <w:bCs/>
          <w:sz w:val="26"/>
          <w:szCs w:val="26"/>
          <w:lang w:eastAsia="hu-HU"/>
        </w:rPr>
        <w:t xml:space="preserve"> kisadózók tételes adójából</w:t>
      </w:r>
      <w:r w:rsidRPr="00452639">
        <w:rPr>
          <w:rFonts w:ascii="Times New Roman" w:eastAsia="Times New Roman" w:hAnsi="Times New Roman" w:cs="Times New Roman"/>
          <w:sz w:val="26"/>
          <w:szCs w:val="26"/>
          <w:lang w:eastAsia="hu-HU"/>
        </w:rPr>
        <w:t xml:space="preserve"> 2025</w:t>
      </w:r>
      <w:r w:rsidR="00BA6D82">
        <w:rPr>
          <w:rFonts w:ascii="Times New Roman" w:eastAsia="Times New Roman" w:hAnsi="Times New Roman" w:cs="Times New Roman"/>
          <w:sz w:val="26"/>
          <w:szCs w:val="26"/>
          <w:lang w:eastAsia="hu-HU"/>
        </w:rPr>
        <w:t>-</w:t>
      </w:r>
      <w:r w:rsidRPr="00452639">
        <w:rPr>
          <w:rFonts w:ascii="Times New Roman" w:eastAsia="Times New Roman" w:hAnsi="Times New Roman" w:cs="Times New Roman"/>
          <w:sz w:val="26"/>
          <w:szCs w:val="26"/>
          <w:lang w:eastAsia="hu-HU"/>
        </w:rPr>
        <w:t>ben a költségvetésnek 71,3 milliárd forint bevétele keletkezett, amely 3,9 milliárd forinttal több az egy évvel korábbinál. Ennek oka az</w:t>
      </w:r>
      <w:r w:rsidR="00BA6D82">
        <w:rPr>
          <w:rFonts w:ascii="Times New Roman" w:eastAsia="Times New Roman" w:hAnsi="Times New Roman" w:cs="Times New Roman"/>
          <w:sz w:val="26"/>
          <w:szCs w:val="26"/>
          <w:lang w:eastAsia="hu-HU"/>
        </w:rPr>
        <w:t> </w:t>
      </w:r>
      <w:r w:rsidRPr="00452639">
        <w:rPr>
          <w:rFonts w:ascii="Times New Roman" w:eastAsia="Times New Roman" w:hAnsi="Times New Roman" w:cs="Times New Roman"/>
          <w:sz w:val="26"/>
          <w:szCs w:val="26"/>
          <w:lang w:eastAsia="hu-HU"/>
        </w:rPr>
        <w:t>adónemet választók magasabb létszáma.</w:t>
      </w:r>
    </w:p>
    <w:p w14:paraId="1825CFD1" w14:textId="3A317072" w:rsidR="00523670" w:rsidRPr="00452639" w:rsidRDefault="00804029" w:rsidP="00452639">
      <w:pPr>
        <w:jc w:val="both"/>
        <w:rPr>
          <w:rFonts w:ascii="Times New Roman" w:eastAsia="Times New Roman" w:hAnsi="Times New Roman" w:cs="Times New Roman"/>
          <w:sz w:val="26"/>
          <w:szCs w:val="26"/>
          <w:lang w:eastAsia="hu-HU"/>
        </w:rPr>
      </w:pPr>
      <w:r w:rsidRPr="00452639">
        <w:rPr>
          <w:rFonts w:ascii="Times New Roman" w:eastAsia="Times New Roman" w:hAnsi="Times New Roman" w:cs="Times New Roman"/>
          <w:bCs/>
          <w:sz w:val="26"/>
          <w:szCs w:val="26"/>
          <w:lang w:eastAsia="hu-HU"/>
        </w:rPr>
        <w:t>A</w:t>
      </w:r>
      <w:r w:rsidRPr="00452639">
        <w:rPr>
          <w:rFonts w:ascii="Times New Roman" w:eastAsia="Times New Roman" w:hAnsi="Times New Roman" w:cs="Times New Roman"/>
          <w:b/>
          <w:bCs/>
          <w:sz w:val="26"/>
          <w:szCs w:val="26"/>
          <w:lang w:eastAsia="hu-HU"/>
        </w:rPr>
        <w:t xml:space="preserve"> kisvállalati adóból</w:t>
      </w:r>
      <w:r w:rsidRPr="00452639">
        <w:rPr>
          <w:rFonts w:ascii="Times New Roman" w:eastAsia="Times New Roman" w:hAnsi="Times New Roman" w:cs="Times New Roman"/>
          <w:sz w:val="26"/>
          <w:szCs w:val="26"/>
          <w:lang w:eastAsia="hu-HU"/>
        </w:rPr>
        <w:t xml:space="preserve"> származó bevétel a 2025. évben 243,6 milliárd forint volt, amely 28,0 milliárd forinttal magasabb az előző év egyenlegénél. Ennek oka az adóalanyok számának jelentős mértékű bővülése. 2025</w:t>
      </w:r>
      <w:r w:rsidR="00BA6D82">
        <w:rPr>
          <w:rFonts w:ascii="Times New Roman" w:eastAsia="Times New Roman" w:hAnsi="Times New Roman" w:cs="Times New Roman"/>
          <w:sz w:val="26"/>
          <w:szCs w:val="26"/>
          <w:lang w:eastAsia="hu-HU"/>
        </w:rPr>
        <w:t xml:space="preserve"> </w:t>
      </w:r>
      <w:r w:rsidRPr="00452639">
        <w:rPr>
          <w:rFonts w:ascii="Times New Roman" w:eastAsia="Times New Roman" w:hAnsi="Times New Roman" w:cs="Times New Roman"/>
          <w:sz w:val="26"/>
          <w:szCs w:val="26"/>
          <w:lang w:eastAsia="hu-HU"/>
        </w:rPr>
        <w:t>decemberében a KIVA alanyok száma 99,4</w:t>
      </w:r>
      <w:r w:rsidR="00BA6D82">
        <w:rPr>
          <w:rFonts w:ascii="Times New Roman" w:eastAsia="Times New Roman" w:hAnsi="Times New Roman" w:cs="Times New Roman"/>
          <w:sz w:val="26"/>
          <w:szCs w:val="26"/>
          <w:lang w:eastAsia="hu-HU"/>
        </w:rPr>
        <w:t> </w:t>
      </w:r>
      <w:r w:rsidRPr="00452639">
        <w:rPr>
          <w:rFonts w:ascii="Times New Roman" w:eastAsia="Times New Roman" w:hAnsi="Times New Roman" w:cs="Times New Roman"/>
          <w:sz w:val="26"/>
          <w:szCs w:val="26"/>
          <w:lang w:eastAsia="hu-HU"/>
        </w:rPr>
        <w:t>ezer</w:t>
      </w:r>
      <w:r w:rsidR="00BA6D82">
        <w:rPr>
          <w:rFonts w:ascii="Times New Roman" w:eastAsia="Times New Roman" w:hAnsi="Times New Roman" w:cs="Times New Roman"/>
          <w:sz w:val="26"/>
          <w:szCs w:val="26"/>
          <w:lang w:eastAsia="hu-HU"/>
        </w:rPr>
        <w:t xml:space="preserve"> volt</w:t>
      </w:r>
      <w:r w:rsidRPr="00452639">
        <w:rPr>
          <w:rFonts w:ascii="Times New Roman" w:eastAsia="Times New Roman" w:hAnsi="Times New Roman" w:cs="Times New Roman"/>
          <w:sz w:val="26"/>
          <w:szCs w:val="26"/>
          <w:lang w:eastAsia="hu-HU"/>
        </w:rPr>
        <w:t>.</w:t>
      </w:r>
    </w:p>
    <w:p w14:paraId="05A0FCFD" w14:textId="2D747BC3" w:rsidR="00640595" w:rsidRPr="00452639" w:rsidRDefault="7A1FFE35" w:rsidP="00452639">
      <w:pPr>
        <w:jc w:val="both"/>
        <w:rPr>
          <w:rFonts w:ascii="Times New Roman" w:eastAsia="Times New Roman" w:hAnsi="Times New Roman" w:cs="Times New Roman"/>
          <w:sz w:val="26"/>
          <w:szCs w:val="26"/>
        </w:rPr>
      </w:pPr>
      <w:r w:rsidRPr="00452639">
        <w:rPr>
          <w:rFonts w:ascii="Times New Roman" w:eastAsia="Times New Roman" w:hAnsi="Times New Roman" w:cs="Times New Roman"/>
          <w:sz w:val="26"/>
          <w:szCs w:val="26"/>
        </w:rPr>
        <w:t xml:space="preserve">A </w:t>
      </w:r>
      <w:r w:rsidRPr="00452639">
        <w:rPr>
          <w:rFonts w:ascii="Times New Roman" w:eastAsia="Times New Roman" w:hAnsi="Times New Roman" w:cs="Times New Roman"/>
          <w:b/>
          <w:bCs/>
          <w:sz w:val="26"/>
          <w:szCs w:val="26"/>
        </w:rPr>
        <w:t>bányajáradék-bevétel</w:t>
      </w:r>
      <w:r w:rsidRPr="00452639">
        <w:rPr>
          <w:rFonts w:ascii="Times New Roman" w:eastAsia="Times New Roman" w:hAnsi="Times New Roman" w:cs="Times New Roman"/>
          <w:sz w:val="26"/>
          <w:szCs w:val="26"/>
        </w:rPr>
        <w:t xml:space="preserve"> </w:t>
      </w:r>
      <w:r w:rsidR="00BA6D82">
        <w:rPr>
          <w:rFonts w:ascii="Times New Roman" w:eastAsia="Times New Roman" w:hAnsi="Times New Roman" w:cs="Times New Roman"/>
          <w:sz w:val="26"/>
          <w:szCs w:val="26"/>
        </w:rPr>
        <w:t xml:space="preserve">a </w:t>
      </w:r>
      <w:r w:rsidRPr="00452639">
        <w:rPr>
          <w:rFonts w:ascii="Times New Roman" w:eastAsia="Times New Roman" w:hAnsi="Times New Roman" w:cs="Times New Roman"/>
          <w:sz w:val="26"/>
          <w:szCs w:val="26"/>
        </w:rPr>
        <w:t xml:space="preserve">2025. </w:t>
      </w:r>
      <w:r w:rsidR="00BA6D82">
        <w:rPr>
          <w:rFonts w:ascii="Times New Roman" w:eastAsia="Times New Roman" w:hAnsi="Times New Roman" w:cs="Times New Roman"/>
          <w:sz w:val="26"/>
          <w:szCs w:val="26"/>
        </w:rPr>
        <w:t>évben</w:t>
      </w:r>
      <w:r w:rsidRPr="00452639">
        <w:rPr>
          <w:rFonts w:ascii="Times New Roman" w:eastAsia="Times New Roman" w:hAnsi="Times New Roman" w:cs="Times New Roman"/>
          <w:sz w:val="26"/>
          <w:szCs w:val="26"/>
        </w:rPr>
        <w:t xml:space="preserve"> 107,8</w:t>
      </w:r>
      <w:r w:rsidR="00BA6D82">
        <w:rPr>
          <w:rFonts w:ascii="Times New Roman" w:eastAsia="Times New Roman" w:hAnsi="Times New Roman" w:cs="Times New Roman"/>
          <w:sz w:val="26"/>
          <w:szCs w:val="26"/>
        </w:rPr>
        <w:t> </w:t>
      </w:r>
      <w:r w:rsidRPr="00452639">
        <w:rPr>
          <w:rFonts w:ascii="Times New Roman" w:eastAsia="Times New Roman" w:hAnsi="Times New Roman" w:cs="Times New Roman"/>
          <w:sz w:val="26"/>
          <w:szCs w:val="26"/>
        </w:rPr>
        <w:t>milliárd forint volt, amely 13,5 milliárd</w:t>
      </w:r>
      <w:r w:rsidR="00BA6D82">
        <w:rPr>
          <w:rFonts w:ascii="Times New Roman" w:eastAsia="Times New Roman" w:hAnsi="Times New Roman" w:cs="Times New Roman"/>
          <w:sz w:val="26"/>
          <w:szCs w:val="26"/>
        </w:rPr>
        <w:t xml:space="preserve"> </w:t>
      </w:r>
      <w:r w:rsidRPr="00452639">
        <w:rPr>
          <w:rFonts w:ascii="Times New Roman" w:eastAsia="Times New Roman" w:hAnsi="Times New Roman" w:cs="Times New Roman"/>
          <w:sz w:val="26"/>
          <w:szCs w:val="26"/>
        </w:rPr>
        <w:t xml:space="preserve">forinttal teljesült alacsonyabban az előző év azonos időszakához képest, amelynek fő oka a számítási szabályok év eleji kisebb változása és a bányajáradék számításához kapcsolódó </w:t>
      </w:r>
      <w:proofErr w:type="spellStart"/>
      <w:r w:rsidRPr="00452639">
        <w:rPr>
          <w:rFonts w:ascii="Times New Roman" w:eastAsia="Times New Roman" w:hAnsi="Times New Roman" w:cs="Times New Roman"/>
          <w:sz w:val="26"/>
          <w:szCs w:val="26"/>
        </w:rPr>
        <w:t>makroparaméterek</w:t>
      </w:r>
      <w:proofErr w:type="spellEnd"/>
      <w:r w:rsidRPr="00452639">
        <w:rPr>
          <w:rFonts w:ascii="Times New Roman" w:eastAsia="Times New Roman" w:hAnsi="Times New Roman" w:cs="Times New Roman"/>
          <w:sz w:val="26"/>
          <w:szCs w:val="26"/>
        </w:rPr>
        <w:t xml:space="preserve"> (olajár, </w:t>
      </w:r>
      <w:proofErr w:type="spellStart"/>
      <w:r w:rsidRPr="00452639">
        <w:rPr>
          <w:rFonts w:ascii="Times New Roman" w:eastAsia="Times New Roman" w:hAnsi="Times New Roman" w:cs="Times New Roman"/>
          <w:sz w:val="26"/>
          <w:szCs w:val="26"/>
        </w:rPr>
        <w:t>gázár</w:t>
      </w:r>
      <w:proofErr w:type="spellEnd"/>
      <w:r w:rsidRPr="00452639">
        <w:rPr>
          <w:rFonts w:ascii="Times New Roman" w:eastAsia="Times New Roman" w:hAnsi="Times New Roman" w:cs="Times New Roman"/>
          <w:sz w:val="26"/>
          <w:szCs w:val="26"/>
        </w:rPr>
        <w:t>, árfolyamok) alakulásának együttes eredője.</w:t>
      </w:r>
    </w:p>
    <w:p w14:paraId="092B7669" w14:textId="77777777" w:rsidR="008E34AF" w:rsidRPr="00452639" w:rsidRDefault="008E34AF" w:rsidP="00452639">
      <w:pPr>
        <w:jc w:val="both"/>
        <w:rPr>
          <w:rFonts w:ascii="Times New Roman" w:eastAsia="Times New Roman" w:hAnsi="Times New Roman" w:cs="Times New Roman"/>
          <w:sz w:val="26"/>
          <w:szCs w:val="26"/>
        </w:rPr>
      </w:pPr>
    </w:p>
    <w:p w14:paraId="5322C39E" w14:textId="3CED075A" w:rsidR="72AFD5C4" w:rsidRPr="00452639" w:rsidRDefault="7A1FFE35" w:rsidP="00452639">
      <w:pPr>
        <w:jc w:val="both"/>
        <w:rPr>
          <w:rFonts w:ascii="Times New Roman" w:eastAsia="Times New Roman" w:hAnsi="Times New Roman" w:cs="Times New Roman"/>
          <w:sz w:val="26"/>
          <w:szCs w:val="26"/>
        </w:rPr>
      </w:pPr>
      <w:r w:rsidRPr="00452639">
        <w:rPr>
          <w:rFonts w:ascii="Times New Roman" w:eastAsia="Times New Roman" w:hAnsi="Times New Roman" w:cs="Times New Roman"/>
          <w:sz w:val="26"/>
          <w:szCs w:val="26"/>
        </w:rPr>
        <w:lastRenderedPageBreak/>
        <w:t xml:space="preserve">Az </w:t>
      </w:r>
      <w:r w:rsidRPr="00452639">
        <w:rPr>
          <w:rFonts w:ascii="Times New Roman" w:eastAsia="Times New Roman" w:hAnsi="Times New Roman" w:cs="Times New Roman"/>
          <w:b/>
          <w:bCs/>
          <w:sz w:val="26"/>
          <w:szCs w:val="26"/>
        </w:rPr>
        <w:t>útdíjakból származó bevétel</w:t>
      </w:r>
      <w:r w:rsidRPr="00452639">
        <w:rPr>
          <w:rFonts w:ascii="Times New Roman" w:eastAsia="Times New Roman" w:hAnsi="Times New Roman" w:cs="Times New Roman"/>
          <w:sz w:val="26"/>
          <w:szCs w:val="26"/>
        </w:rPr>
        <w:t xml:space="preserve"> 2024-től külön mérlegsoron jelenik meg, mely az elektronikus útdíj rendszer és az időalapú útdíj rendszer bevételeinek együttes összegét tartalmazza. Az útdíjakból </w:t>
      </w:r>
      <w:r w:rsidR="00F80AB9">
        <w:rPr>
          <w:rFonts w:ascii="Times New Roman" w:eastAsia="Times New Roman" w:hAnsi="Times New Roman" w:cs="Times New Roman"/>
          <w:sz w:val="26"/>
          <w:szCs w:val="26"/>
        </w:rPr>
        <w:t>2025-ben</w:t>
      </w:r>
      <w:r w:rsidRPr="00452639">
        <w:rPr>
          <w:rFonts w:ascii="Times New Roman" w:eastAsia="Times New Roman" w:hAnsi="Times New Roman" w:cs="Times New Roman"/>
          <w:sz w:val="26"/>
          <w:szCs w:val="26"/>
        </w:rPr>
        <w:t xml:space="preserve"> 621,2</w:t>
      </w:r>
      <w:r w:rsidR="00F80AB9">
        <w:rPr>
          <w:rFonts w:ascii="Times New Roman" w:eastAsia="Times New Roman" w:hAnsi="Times New Roman" w:cs="Times New Roman"/>
          <w:sz w:val="26"/>
          <w:szCs w:val="26"/>
        </w:rPr>
        <w:t> </w:t>
      </w:r>
      <w:r w:rsidRPr="00452639">
        <w:rPr>
          <w:rFonts w:ascii="Times New Roman" w:eastAsia="Times New Roman" w:hAnsi="Times New Roman" w:cs="Times New Roman"/>
          <w:sz w:val="26"/>
          <w:szCs w:val="26"/>
        </w:rPr>
        <w:t>milliárd forint költségvetési bevétel teljesült ezen a mérlegsoron, amely 24,3 milliárd forinttal magasabb az előző év azonos időszakához viszonyítva. A magasabb teljesülést alapvetően a forgalmi viszonyok, valamint a díjrendszereket érintő jogszabályi keretek változása okozza.</w:t>
      </w:r>
    </w:p>
    <w:p w14:paraId="685BE235" w14:textId="1DF19186" w:rsidR="008A66DB" w:rsidRPr="00452639" w:rsidRDefault="7A1FFE35" w:rsidP="00452639">
      <w:pPr>
        <w:jc w:val="both"/>
        <w:rPr>
          <w:rFonts w:ascii="Times New Roman" w:eastAsia="Times New Roman" w:hAnsi="Times New Roman" w:cs="Times New Roman"/>
          <w:sz w:val="26"/>
          <w:szCs w:val="26"/>
        </w:rPr>
      </w:pPr>
      <w:r w:rsidRPr="00452639">
        <w:rPr>
          <w:rFonts w:ascii="Times New Roman" w:eastAsia="Times New Roman" w:hAnsi="Times New Roman" w:cs="Times New Roman"/>
          <w:b/>
          <w:bCs/>
          <w:sz w:val="26"/>
          <w:szCs w:val="26"/>
        </w:rPr>
        <w:t xml:space="preserve">Egyéb központosított bevételekből </w:t>
      </w:r>
      <w:r w:rsidR="00F80AB9">
        <w:rPr>
          <w:rFonts w:ascii="Times New Roman" w:eastAsia="Times New Roman" w:hAnsi="Times New Roman" w:cs="Times New Roman"/>
          <w:sz w:val="26"/>
          <w:szCs w:val="26"/>
        </w:rPr>
        <w:t>2025-ben</w:t>
      </w:r>
      <w:r w:rsidRPr="00452639">
        <w:rPr>
          <w:rFonts w:ascii="Times New Roman" w:eastAsia="Times New Roman" w:hAnsi="Times New Roman" w:cs="Times New Roman"/>
          <w:sz w:val="26"/>
          <w:szCs w:val="26"/>
        </w:rPr>
        <w:t xml:space="preserve"> 181,8 milliárd forint bevétel teljesült, amely a </w:t>
      </w:r>
      <w:r w:rsidRPr="00E80093">
        <w:rPr>
          <w:rFonts w:ascii="Times New Roman" w:eastAsia="Times New Roman" w:hAnsi="Times New Roman" w:cs="Times New Roman"/>
          <w:sz w:val="26"/>
          <w:szCs w:val="26"/>
        </w:rPr>
        <w:t>törvényi előirányzat 100,1%-ának felel meg. Ezen belül kiemel</w:t>
      </w:r>
      <w:r w:rsidR="005B0D1F">
        <w:rPr>
          <w:rFonts w:ascii="Times New Roman" w:eastAsia="Times New Roman" w:hAnsi="Times New Roman" w:cs="Times New Roman"/>
          <w:sz w:val="26"/>
          <w:szCs w:val="26"/>
        </w:rPr>
        <w:t>hető</w:t>
      </w:r>
      <w:r w:rsidRPr="00E80093">
        <w:rPr>
          <w:rFonts w:ascii="Times New Roman" w:eastAsia="Times New Roman" w:hAnsi="Times New Roman" w:cs="Times New Roman"/>
          <w:sz w:val="26"/>
          <w:szCs w:val="26"/>
        </w:rPr>
        <w:t xml:space="preserve"> a</w:t>
      </w:r>
      <w:r w:rsidR="00E80093">
        <w:rPr>
          <w:rFonts w:ascii="Times New Roman" w:eastAsia="Times New Roman" w:hAnsi="Times New Roman" w:cs="Times New Roman"/>
          <w:sz w:val="26"/>
          <w:szCs w:val="26"/>
        </w:rPr>
        <w:t> </w:t>
      </w:r>
      <w:r w:rsidRPr="00E80093">
        <w:rPr>
          <w:rFonts w:ascii="Times New Roman" w:eastAsia="Times New Roman" w:hAnsi="Times New Roman" w:cs="Times New Roman"/>
          <w:sz w:val="26"/>
          <w:szCs w:val="26"/>
        </w:rPr>
        <w:t>bírságbevételekből befolyt 103,8 milliárd forint.</w:t>
      </w:r>
    </w:p>
    <w:p w14:paraId="0C2B7503" w14:textId="33A797E0" w:rsidR="00804029" w:rsidRPr="00452639" w:rsidRDefault="00804029" w:rsidP="00452639">
      <w:pPr>
        <w:jc w:val="both"/>
        <w:rPr>
          <w:rFonts w:ascii="Times New Roman" w:eastAsia="Times New Roman" w:hAnsi="Times New Roman" w:cs="Times New Roman"/>
          <w:b/>
          <w:sz w:val="26"/>
          <w:szCs w:val="26"/>
          <w:lang w:eastAsia="hu-HU"/>
        </w:rPr>
      </w:pPr>
      <w:r w:rsidRPr="00452639">
        <w:rPr>
          <w:rFonts w:ascii="Times New Roman" w:eastAsia="Times New Roman" w:hAnsi="Times New Roman" w:cs="Times New Roman"/>
          <w:sz w:val="26"/>
          <w:szCs w:val="26"/>
          <w:lang w:eastAsia="hu-HU"/>
        </w:rPr>
        <w:t>Az</w:t>
      </w:r>
      <w:r w:rsidRPr="00452639">
        <w:rPr>
          <w:rFonts w:ascii="Times New Roman" w:eastAsia="Times New Roman" w:hAnsi="Times New Roman" w:cs="Times New Roman"/>
          <w:b/>
          <w:sz w:val="26"/>
          <w:szCs w:val="26"/>
          <w:lang w:eastAsia="hu-HU"/>
        </w:rPr>
        <w:t xml:space="preserve"> energia ágazat befizetései </w:t>
      </w:r>
      <w:r w:rsidRPr="00452639">
        <w:rPr>
          <w:rFonts w:ascii="Times New Roman" w:eastAsia="Times New Roman" w:hAnsi="Times New Roman" w:cs="Times New Roman"/>
          <w:sz w:val="26"/>
          <w:szCs w:val="26"/>
          <w:lang w:eastAsia="hu-HU"/>
        </w:rPr>
        <w:t xml:space="preserve">jogcímen </w:t>
      </w:r>
      <w:r w:rsidR="005C78B3">
        <w:rPr>
          <w:rFonts w:ascii="Times New Roman" w:eastAsia="Times New Roman" w:hAnsi="Times New Roman" w:cs="Times New Roman"/>
          <w:sz w:val="26"/>
          <w:szCs w:val="26"/>
          <w:lang w:eastAsia="hu-HU"/>
        </w:rPr>
        <w:t xml:space="preserve">a </w:t>
      </w:r>
      <w:r w:rsidRPr="00452639">
        <w:rPr>
          <w:rFonts w:ascii="Times New Roman" w:eastAsia="Times New Roman" w:hAnsi="Times New Roman" w:cs="Times New Roman"/>
          <w:sz w:val="26"/>
          <w:szCs w:val="26"/>
          <w:lang w:eastAsia="hu-HU"/>
        </w:rPr>
        <w:t>2025. évben 198,7 milliárd forint pénzforgalom teljesült, amely az előző év egyenlegétől 80,4 milliárd forinttal maradt el. A bázisévhez viszonyított eltérés több kisebb adónem megszűnéséhez</w:t>
      </w:r>
      <w:r w:rsidR="005C78B3">
        <w:rPr>
          <w:rFonts w:ascii="Times New Roman" w:eastAsia="Times New Roman" w:hAnsi="Times New Roman" w:cs="Times New Roman"/>
          <w:sz w:val="26"/>
          <w:szCs w:val="26"/>
          <w:lang w:eastAsia="hu-HU"/>
        </w:rPr>
        <w:t>, valamint</w:t>
      </w:r>
      <w:r w:rsidRPr="00452639">
        <w:rPr>
          <w:rFonts w:ascii="Times New Roman" w:eastAsia="Times New Roman" w:hAnsi="Times New Roman" w:cs="Times New Roman"/>
          <w:sz w:val="26"/>
          <w:szCs w:val="26"/>
          <w:lang w:eastAsia="hu-HU"/>
        </w:rPr>
        <w:t xml:space="preserve"> az Ural-</w:t>
      </w:r>
      <w:proofErr w:type="spellStart"/>
      <w:r w:rsidRPr="00452639">
        <w:rPr>
          <w:rFonts w:ascii="Times New Roman" w:eastAsia="Times New Roman" w:hAnsi="Times New Roman" w:cs="Times New Roman"/>
          <w:sz w:val="26"/>
          <w:szCs w:val="26"/>
          <w:lang w:eastAsia="hu-HU"/>
        </w:rPr>
        <w:t>Brent</w:t>
      </w:r>
      <w:proofErr w:type="spellEnd"/>
      <w:r w:rsidRPr="00452639">
        <w:rPr>
          <w:rFonts w:ascii="Times New Roman" w:eastAsia="Times New Roman" w:hAnsi="Times New Roman" w:cs="Times New Roman"/>
          <w:sz w:val="26"/>
          <w:szCs w:val="26"/>
          <w:lang w:eastAsia="hu-HU"/>
        </w:rPr>
        <w:t xml:space="preserve"> </w:t>
      </w:r>
      <w:proofErr w:type="spellStart"/>
      <w:r w:rsidRPr="00452639">
        <w:rPr>
          <w:rFonts w:ascii="Times New Roman" w:eastAsia="Times New Roman" w:hAnsi="Times New Roman" w:cs="Times New Roman"/>
          <w:sz w:val="26"/>
          <w:szCs w:val="26"/>
          <w:lang w:eastAsia="hu-HU"/>
        </w:rPr>
        <w:t>spread</w:t>
      </w:r>
      <w:proofErr w:type="spellEnd"/>
      <w:r w:rsidRPr="00452639">
        <w:rPr>
          <w:rFonts w:ascii="Times New Roman" w:eastAsia="Times New Roman" w:hAnsi="Times New Roman" w:cs="Times New Roman"/>
          <w:sz w:val="26"/>
          <w:szCs w:val="26"/>
          <w:lang w:eastAsia="hu-HU"/>
        </w:rPr>
        <w:t xml:space="preserve"> különadó bevételeinek elmaradásához köthető. </w:t>
      </w:r>
    </w:p>
    <w:p w14:paraId="7A34BE57" w14:textId="77777777" w:rsidR="00804029" w:rsidRPr="00452639" w:rsidRDefault="00804029" w:rsidP="00452639">
      <w:pPr>
        <w:jc w:val="both"/>
        <w:rPr>
          <w:rFonts w:ascii="Times New Roman" w:eastAsia="Times New Roman" w:hAnsi="Times New Roman" w:cs="Times New Roman"/>
          <w:sz w:val="26"/>
          <w:szCs w:val="26"/>
          <w:lang w:eastAsia="hu-HU"/>
        </w:rPr>
      </w:pPr>
      <w:r w:rsidRPr="00452639">
        <w:rPr>
          <w:rFonts w:ascii="Times New Roman" w:eastAsia="Times New Roman" w:hAnsi="Times New Roman" w:cs="Times New Roman"/>
          <w:b/>
          <w:sz w:val="26"/>
          <w:szCs w:val="26"/>
          <w:lang w:eastAsia="hu-HU"/>
        </w:rPr>
        <w:t>K</w:t>
      </w:r>
      <w:r w:rsidRPr="00452639">
        <w:rPr>
          <w:rFonts w:ascii="Times New Roman" w:eastAsia="Times New Roman" w:hAnsi="Times New Roman" w:cs="Times New Roman"/>
          <w:b/>
          <w:bCs/>
          <w:sz w:val="26"/>
          <w:szCs w:val="26"/>
          <w:lang w:eastAsia="hu-HU"/>
        </w:rPr>
        <w:t xml:space="preserve">iskereskedelmi adó </w:t>
      </w:r>
      <w:r w:rsidRPr="00452639">
        <w:rPr>
          <w:rFonts w:ascii="Times New Roman" w:eastAsia="Times New Roman" w:hAnsi="Times New Roman" w:cs="Times New Roman"/>
          <w:sz w:val="26"/>
          <w:szCs w:val="26"/>
          <w:lang w:eastAsia="hu-HU"/>
        </w:rPr>
        <w:t>jogcímen a 2025. évben 284,2 milliárd forint bevétel teljesült, amely a 2024. évi egyenlegénél 19,2 milliárd forinttal magasabb. A bevételek alakulásának hátterében az első és második előlegfizetés, valamint az elszámolásokhoz köthető befizetések állnak.</w:t>
      </w:r>
    </w:p>
    <w:p w14:paraId="54771008" w14:textId="0EF7405E" w:rsidR="00804029" w:rsidRPr="00452639" w:rsidRDefault="00804029" w:rsidP="00452639">
      <w:pPr>
        <w:jc w:val="both"/>
        <w:rPr>
          <w:rFonts w:ascii="Times New Roman" w:eastAsia="Times New Roman" w:hAnsi="Times New Roman" w:cs="Times New Roman"/>
          <w:b/>
          <w:sz w:val="26"/>
          <w:szCs w:val="26"/>
          <w:highlight w:val="yellow"/>
          <w:lang w:eastAsia="hu-HU"/>
        </w:rPr>
      </w:pPr>
      <w:r w:rsidRPr="00452639">
        <w:rPr>
          <w:rFonts w:ascii="Times New Roman" w:eastAsia="Times New Roman" w:hAnsi="Times New Roman" w:cs="Times New Roman"/>
          <w:b/>
          <w:sz w:val="26"/>
          <w:szCs w:val="26"/>
          <w:lang w:eastAsia="hu-HU"/>
        </w:rPr>
        <w:t xml:space="preserve">Gyógyszergyártói adó </w:t>
      </w:r>
      <w:r w:rsidRPr="00452639">
        <w:rPr>
          <w:rFonts w:ascii="Times New Roman" w:eastAsia="Times New Roman" w:hAnsi="Times New Roman" w:cs="Times New Roman"/>
          <w:sz w:val="26"/>
          <w:szCs w:val="26"/>
          <w:lang w:eastAsia="hu-HU"/>
        </w:rPr>
        <w:t>jogcímen 2025</w:t>
      </w:r>
      <w:r w:rsidR="00A90161">
        <w:rPr>
          <w:rFonts w:ascii="Times New Roman" w:eastAsia="Times New Roman" w:hAnsi="Times New Roman" w:cs="Times New Roman"/>
          <w:sz w:val="26"/>
          <w:szCs w:val="26"/>
          <w:lang w:eastAsia="hu-HU"/>
        </w:rPr>
        <w:t>-</w:t>
      </w:r>
      <w:r w:rsidRPr="00452639">
        <w:rPr>
          <w:rFonts w:ascii="Times New Roman" w:eastAsia="Times New Roman" w:hAnsi="Times New Roman" w:cs="Times New Roman"/>
          <w:sz w:val="26"/>
          <w:szCs w:val="26"/>
          <w:lang w:eastAsia="hu-HU"/>
        </w:rPr>
        <w:t>ben 4,2 milliárd forint pénzforgalom teljesült, amely 24,5 milliárd forinttal maradt el az előző év egyenlegéhez képest. Ennek oka, hogy az adónem a 2025. évben megszűnt, a befizetés eltérő üzleti éves adózóhoz kötődik.</w:t>
      </w:r>
    </w:p>
    <w:p w14:paraId="76AEE9A1" w14:textId="06A299B9" w:rsidR="00804029" w:rsidRPr="00452639" w:rsidRDefault="00804029" w:rsidP="00452639">
      <w:pPr>
        <w:widowControl w:val="0"/>
        <w:jc w:val="both"/>
        <w:rPr>
          <w:rFonts w:ascii="Times New Roman" w:eastAsia="Times New Roman" w:hAnsi="Times New Roman" w:cs="Times New Roman"/>
          <w:sz w:val="26"/>
          <w:szCs w:val="26"/>
          <w:lang w:eastAsia="hu-HU"/>
        </w:rPr>
      </w:pPr>
      <w:r w:rsidRPr="00452639">
        <w:rPr>
          <w:rFonts w:ascii="Times New Roman" w:eastAsia="Times New Roman" w:hAnsi="Times New Roman" w:cs="Times New Roman"/>
          <w:sz w:val="26"/>
          <w:szCs w:val="26"/>
          <w:lang w:eastAsia="hu-HU"/>
        </w:rPr>
        <w:t xml:space="preserve">A </w:t>
      </w:r>
      <w:r w:rsidRPr="00452639">
        <w:rPr>
          <w:rFonts w:ascii="Times New Roman" w:eastAsia="Times New Roman" w:hAnsi="Times New Roman" w:cs="Times New Roman"/>
          <w:b/>
          <w:bCs/>
          <w:sz w:val="26"/>
          <w:szCs w:val="26"/>
          <w:lang w:eastAsia="hu-HU"/>
        </w:rPr>
        <w:t xml:space="preserve">rehabilitációs hozzájárulásból </w:t>
      </w:r>
      <w:r w:rsidRPr="00452639">
        <w:rPr>
          <w:rFonts w:ascii="Times New Roman" w:eastAsia="Times New Roman" w:hAnsi="Times New Roman" w:cs="Times New Roman"/>
          <w:bCs/>
          <w:sz w:val="26"/>
          <w:szCs w:val="26"/>
          <w:lang w:eastAsia="hu-HU"/>
        </w:rPr>
        <w:t>származó bevétel 2025</w:t>
      </w:r>
      <w:r w:rsidR="00A90161">
        <w:rPr>
          <w:rFonts w:ascii="Times New Roman" w:eastAsia="Times New Roman" w:hAnsi="Times New Roman" w:cs="Times New Roman"/>
          <w:bCs/>
          <w:sz w:val="26"/>
          <w:szCs w:val="26"/>
          <w:lang w:eastAsia="hu-HU"/>
        </w:rPr>
        <w:t>-</w:t>
      </w:r>
      <w:r w:rsidRPr="00452639">
        <w:rPr>
          <w:rFonts w:ascii="Times New Roman" w:eastAsia="Times New Roman" w:hAnsi="Times New Roman" w:cs="Times New Roman"/>
          <w:bCs/>
          <w:sz w:val="26"/>
          <w:szCs w:val="26"/>
          <w:lang w:eastAsia="hu-HU"/>
        </w:rPr>
        <w:t xml:space="preserve">ben </w:t>
      </w:r>
      <w:r w:rsidRPr="00452639">
        <w:rPr>
          <w:rFonts w:ascii="Times New Roman" w:eastAsia="Times New Roman" w:hAnsi="Times New Roman" w:cs="Times New Roman"/>
          <w:sz w:val="26"/>
          <w:szCs w:val="26"/>
          <w:lang w:eastAsia="hu-HU"/>
        </w:rPr>
        <w:t>201,2 milliárd forint volt, amely 15,4 milliárd forinttal magasabb az egy évvel korábbi összegnél. Ennek oka a</w:t>
      </w:r>
      <w:r w:rsidR="00E80093">
        <w:rPr>
          <w:rFonts w:ascii="Times New Roman" w:eastAsia="Times New Roman" w:hAnsi="Times New Roman" w:cs="Times New Roman"/>
          <w:sz w:val="26"/>
          <w:szCs w:val="26"/>
          <w:lang w:eastAsia="hu-HU"/>
        </w:rPr>
        <w:t> </w:t>
      </w:r>
      <w:r w:rsidRPr="00452639">
        <w:rPr>
          <w:rFonts w:ascii="Times New Roman" w:eastAsia="Times New Roman" w:hAnsi="Times New Roman" w:cs="Times New Roman"/>
          <w:sz w:val="26"/>
          <w:szCs w:val="26"/>
          <w:lang w:eastAsia="hu-HU"/>
        </w:rPr>
        <w:t>minimálbérnek, így az adó mértékének az emelkedése.</w:t>
      </w:r>
    </w:p>
    <w:p w14:paraId="54046E48" w14:textId="616BFD83" w:rsidR="006330AD" w:rsidRPr="00452639" w:rsidRDefault="00804029" w:rsidP="00452639">
      <w:pPr>
        <w:widowControl w:val="0"/>
        <w:tabs>
          <w:tab w:val="left" w:pos="3105"/>
        </w:tabs>
        <w:jc w:val="both"/>
        <w:rPr>
          <w:rFonts w:ascii="Times New Roman" w:eastAsia="Times New Roman" w:hAnsi="Times New Roman" w:cs="Times New Roman"/>
          <w:sz w:val="26"/>
          <w:szCs w:val="26"/>
          <w:lang w:eastAsia="hu-HU"/>
        </w:rPr>
      </w:pPr>
      <w:r w:rsidRPr="00452639">
        <w:rPr>
          <w:rFonts w:ascii="Times New Roman" w:eastAsia="Times New Roman" w:hAnsi="Times New Roman" w:cs="Times New Roman"/>
          <w:sz w:val="26"/>
          <w:szCs w:val="26"/>
          <w:lang w:eastAsia="hu-HU"/>
        </w:rPr>
        <w:t xml:space="preserve">A 2025. évben az </w:t>
      </w:r>
      <w:r w:rsidRPr="00452639">
        <w:rPr>
          <w:rFonts w:ascii="Times New Roman" w:eastAsia="Times New Roman" w:hAnsi="Times New Roman" w:cs="Times New Roman"/>
          <w:b/>
          <w:bCs/>
          <w:sz w:val="26"/>
          <w:szCs w:val="26"/>
          <w:lang w:eastAsia="hu-HU"/>
        </w:rPr>
        <w:t>általános forgalmi adóból</w:t>
      </w:r>
      <w:r w:rsidRPr="00452639">
        <w:rPr>
          <w:rFonts w:ascii="Times New Roman" w:eastAsia="Times New Roman" w:hAnsi="Times New Roman" w:cs="Times New Roman"/>
          <w:sz w:val="26"/>
          <w:szCs w:val="26"/>
          <w:lang w:eastAsia="hu-HU"/>
        </w:rPr>
        <w:t xml:space="preserve"> 8265,4</w:t>
      </w:r>
      <w:r w:rsidRPr="00452639">
        <w:rPr>
          <w:rFonts w:ascii="Times New Roman" w:eastAsia="Times New Roman" w:hAnsi="Times New Roman" w:cs="Times New Roman"/>
          <w:color w:val="000000"/>
          <w:sz w:val="26"/>
          <w:szCs w:val="26"/>
          <w:lang w:eastAsia="hu-HU"/>
        </w:rPr>
        <w:t> </w:t>
      </w:r>
      <w:r w:rsidRPr="00452639">
        <w:rPr>
          <w:rFonts w:ascii="Times New Roman" w:eastAsia="Times New Roman" w:hAnsi="Times New Roman" w:cs="Times New Roman"/>
          <w:sz w:val="26"/>
          <w:szCs w:val="26"/>
          <w:lang w:eastAsia="hu-HU"/>
        </w:rPr>
        <w:t>milliárd forint bevétele keletkezett a</w:t>
      </w:r>
      <w:r w:rsidR="00E80093">
        <w:rPr>
          <w:rFonts w:ascii="Times New Roman" w:eastAsia="Times New Roman" w:hAnsi="Times New Roman" w:cs="Times New Roman"/>
          <w:sz w:val="26"/>
          <w:szCs w:val="26"/>
          <w:lang w:eastAsia="hu-HU"/>
        </w:rPr>
        <w:t> </w:t>
      </w:r>
      <w:r w:rsidRPr="00452639">
        <w:rPr>
          <w:rFonts w:ascii="Times New Roman" w:eastAsia="Times New Roman" w:hAnsi="Times New Roman" w:cs="Times New Roman"/>
          <w:sz w:val="26"/>
          <w:szCs w:val="26"/>
          <w:lang w:eastAsia="hu-HU"/>
        </w:rPr>
        <w:t>költségvetésnek, ami az egy évvel korábbi bevételt 889,2</w:t>
      </w:r>
      <w:r w:rsidRPr="00452639">
        <w:rPr>
          <w:rFonts w:ascii="Times New Roman" w:eastAsia="Times New Roman" w:hAnsi="Times New Roman" w:cs="Times New Roman"/>
          <w:color w:val="000000"/>
          <w:sz w:val="26"/>
          <w:szCs w:val="26"/>
          <w:lang w:eastAsia="hu-HU"/>
        </w:rPr>
        <w:t> </w:t>
      </w:r>
      <w:r w:rsidRPr="00452639">
        <w:rPr>
          <w:rFonts w:ascii="Times New Roman" w:eastAsia="Times New Roman" w:hAnsi="Times New Roman" w:cs="Times New Roman"/>
          <w:sz w:val="26"/>
          <w:szCs w:val="26"/>
          <w:lang w:eastAsia="hu-HU"/>
        </w:rPr>
        <w:t>milliárd forinttal haladja meg.</w:t>
      </w:r>
    </w:p>
    <w:tbl>
      <w:tblPr>
        <w:tblW w:w="6905" w:type="dxa"/>
        <w:jc w:val="center"/>
        <w:tblCellMar>
          <w:left w:w="70" w:type="dxa"/>
          <w:right w:w="70" w:type="dxa"/>
        </w:tblCellMar>
        <w:tblLook w:val="04A0" w:firstRow="1" w:lastRow="0" w:firstColumn="1" w:lastColumn="0" w:noHBand="0" w:noVBand="1"/>
      </w:tblPr>
      <w:tblGrid>
        <w:gridCol w:w="1537"/>
        <w:gridCol w:w="1724"/>
        <w:gridCol w:w="1700"/>
        <w:gridCol w:w="993"/>
        <w:gridCol w:w="951"/>
      </w:tblGrid>
      <w:tr w:rsidR="00804029" w:rsidRPr="00804029" w14:paraId="481CD1FE" w14:textId="77777777" w:rsidTr="00A54A10">
        <w:trPr>
          <w:trHeight w:val="255"/>
          <w:jc w:val="center"/>
        </w:trPr>
        <w:tc>
          <w:tcPr>
            <w:tcW w:w="6905" w:type="dxa"/>
            <w:gridSpan w:val="5"/>
            <w:tcBorders>
              <w:top w:val="nil"/>
              <w:left w:val="nil"/>
              <w:bottom w:val="nil"/>
              <w:right w:val="nil"/>
            </w:tcBorders>
            <w:noWrap/>
            <w:vAlign w:val="bottom"/>
            <w:hideMark/>
          </w:tcPr>
          <w:p w14:paraId="64FC8F92" w14:textId="77777777" w:rsidR="00804029" w:rsidRPr="00804029" w:rsidRDefault="00804029" w:rsidP="00804029">
            <w:pPr>
              <w:widowControl w:val="0"/>
              <w:spacing w:before="120" w:after="12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 xml:space="preserve">Általános forgalmi adó bevétel alakulása (milliárd forint) </w:t>
            </w:r>
          </w:p>
        </w:tc>
      </w:tr>
      <w:tr w:rsidR="00804029" w:rsidRPr="00804029" w14:paraId="6AF674CC" w14:textId="77777777" w:rsidTr="00735480">
        <w:trPr>
          <w:trHeight w:val="340"/>
          <w:jc w:val="center"/>
        </w:trPr>
        <w:tc>
          <w:tcPr>
            <w:tcW w:w="153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4B0E414"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Megnevezés</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ECB43B2" w14:textId="46F0C66D" w:rsidR="00735480" w:rsidRDefault="00804029" w:rsidP="00735480">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2024. évi</w:t>
            </w:r>
          </w:p>
          <w:p w14:paraId="38B66ABB" w14:textId="7B7E13D1" w:rsidR="00804029" w:rsidRPr="00804029" w:rsidRDefault="00804029" w:rsidP="00735480">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tény</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294A3F" w14:textId="1B377118"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 xml:space="preserve">2025. </w:t>
            </w:r>
            <w:r w:rsidR="00735480">
              <w:rPr>
                <w:rFonts w:ascii="Times New Roman" w:eastAsia="Times New Roman" w:hAnsi="Times New Roman" w:cs="Times New Roman"/>
                <w:b/>
                <w:bCs/>
                <w:szCs w:val="20"/>
                <w:lang w:eastAsia="hu-HU"/>
              </w:rPr>
              <w:t>évi</w:t>
            </w:r>
          </w:p>
          <w:p w14:paraId="50122336"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előzetes tény</w:t>
            </w:r>
          </w:p>
        </w:tc>
        <w:tc>
          <w:tcPr>
            <w:tcW w:w="194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2DD9DAA"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Eltérés</w:t>
            </w:r>
          </w:p>
        </w:tc>
      </w:tr>
      <w:tr w:rsidR="00804029" w:rsidRPr="00804029" w14:paraId="226AAC73" w14:textId="77777777" w:rsidTr="00735480">
        <w:trPr>
          <w:trHeight w:val="340"/>
          <w:jc w:val="center"/>
        </w:trPr>
        <w:tc>
          <w:tcPr>
            <w:tcW w:w="153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BEBA17C" w14:textId="77777777" w:rsidR="00804029" w:rsidRPr="00804029" w:rsidRDefault="00804029" w:rsidP="00804029">
            <w:pPr>
              <w:spacing w:after="0" w:line="240" w:lineRule="auto"/>
              <w:jc w:val="both"/>
              <w:rPr>
                <w:rFonts w:ascii="Times New Roman" w:eastAsia="Times New Roman" w:hAnsi="Times New Roman" w:cs="Times New Roman"/>
                <w:b/>
                <w:bCs/>
                <w:szCs w:val="20"/>
                <w:lang w:eastAsia="hu-HU"/>
              </w:rPr>
            </w:pPr>
          </w:p>
        </w:tc>
        <w:tc>
          <w:tcPr>
            <w:tcW w:w="172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99ED0C2" w14:textId="77777777" w:rsidR="00804029" w:rsidRPr="00804029" w:rsidRDefault="00804029" w:rsidP="00804029">
            <w:pPr>
              <w:spacing w:after="0" w:line="240" w:lineRule="auto"/>
              <w:jc w:val="both"/>
              <w:rPr>
                <w:rFonts w:ascii="Times New Roman" w:eastAsia="Times New Roman" w:hAnsi="Times New Roman" w:cs="Times New Roman"/>
                <w:b/>
                <w:bCs/>
                <w:szCs w:val="20"/>
                <w:lang w:eastAsia="hu-HU"/>
              </w:rPr>
            </w:pPr>
          </w:p>
        </w:tc>
        <w:tc>
          <w:tcPr>
            <w:tcW w:w="170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CBBA3F5" w14:textId="77777777" w:rsidR="00804029" w:rsidRPr="00804029" w:rsidRDefault="00804029" w:rsidP="00804029">
            <w:pPr>
              <w:spacing w:after="0" w:line="240" w:lineRule="auto"/>
              <w:jc w:val="both"/>
              <w:rPr>
                <w:rFonts w:ascii="Times New Roman" w:eastAsia="Times New Roman" w:hAnsi="Times New Roman" w:cs="Times New Roman"/>
                <w:b/>
                <w:bCs/>
                <w:szCs w:val="20"/>
                <w:lang w:eastAsia="hu-HU"/>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58D9CB0"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Mrd Ft</w:t>
            </w:r>
          </w:p>
        </w:tc>
        <w:tc>
          <w:tcPr>
            <w:tcW w:w="95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4C0C5A1"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w:t>
            </w:r>
          </w:p>
        </w:tc>
      </w:tr>
      <w:tr w:rsidR="00804029" w:rsidRPr="00804029" w14:paraId="380626C7" w14:textId="77777777" w:rsidTr="00A54A10">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71666E19" w14:textId="77777777" w:rsidR="00804029" w:rsidRPr="00804029" w:rsidRDefault="00804029" w:rsidP="00804029">
            <w:pPr>
              <w:spacing w:after="0" w:line="240" w:lineRule="auto"/>
              <w:jc w:val="both"/>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Befizetés</w:t>
            </w:r>
          </w:p>
        </w:tc>
        <w:tc>
          <w:tcPr>
            <w:tcW w:w="1724" w:type="dxa"/>
            <w:tcBorders>
              <w:top w:val="single" w:sz="4" w:space="0" w:color="auto"/>
              <w:left w:val="single" w:sz="4" w:space="0" w:color="auto"/>
              <w:bottom w:val="single" w:sz="4" w:space="0" w:color="auto"/>
              <w:right w:val="single" w:sz="4" w:space="0" w:color="auto"/>
            </w:tcBorders>
            <w:noWrap/>
            <w:vAlign w:val="center"/>
          </w:tcPr>
          <w:p w14:paraId="019AA960" w14:textId="77777777" w:rsidR="00804029" w:rsidRPr="00804029" w:rsidRDefault="00804029" w:rsidP="00804029">
            <w:pPr>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12 875,8</w:t>
            </w:r>
          </w:p>
        </w:tc>
        <w:tc>
          <w:tcPr>
            <w:tcW w:w="1700" w:type="dxa"/>
            <w:tcBorders>
              <w:top w:val="single" w:sz="4" w:space="0" w:color="auto"/>
              <w:left w:val="single" w:sz="4" w:space="0" w:color="auto"/>
              <w:bottom w:val="single" w:sz="4" w:space="0" w:color="auto"/>
              <w:right w:val="single" w:sz="4" w:space="0" w:color="auto"/>
            </w:tcBorders>
            <w:noWrap/>
            <w:vAlign w:val="center"/>
          </w:tcPr>
          <w:p w14:paraId="256077C2" w14:textId="77777777" w:rsidR="00804029" w:rsidRPr="00804029" w:rsidRDefault="00804029" w:rsidP="00804029">
            <w:pPr>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13 672,9</w:t>
            </w:r>
          </w:p>
        </w:tc>
        <w:tc>
          <w:tcPr>
            <w:tcW w:w="993" w:type="dxa"/>
            <w:tcBorders>
              <w:top w:val="single" w:sz="4" w:space="0" w:color="auto"/>
              <w:left w:val="single" w:sz="4" w:space="0" w:color="auto"/>
              <w:bottom w:val="single" w:sz="4" w:space="0" w:color="auto"/>
              <w:right w:val="single" w:sz="4" w:space="0" w:color="auto"/>
            </w:tcBorders>
            <w:noWrap/>
            <w:vAlign w:val="center"/>
          </w:tcPr>
          <w:p w14:paraId="00DF0395" w14:textId="77777777" w:rsidR="00804029" w:rsidRPr="00804029" w:rsidRDefault="00804029" w:rsidP="00804029">
            <w:pPr>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797,1</w:t>
            </w:r>
          </w:p>
        </w:tc>
        <w:tc>
          <w:tcPr>
            <w:tcW w:w="951" w:type="dxa"/>
            <w:tcBorders>
              <w:top w:val="single" w:sz="4" w:space="0" w:color="auto"/>
              <w:left w:val="single" w:sz="4" w:space="0" w:color="auto"/>
              <w:bottom w:val="single" w:sz="4" w:space="0" w:color="auto"/>
              <w:right w:val="single" w:sz="4" w:space="0" w:color="auto"/>
            </w:tcBorders>
            <w:noWrap/>
            <w:vAlign w:val="center"/>
          </w:tcPr>
          <w:p w14:paraId="0699094B" w14:textId="77777777" w:rsidR="00804029" w:rsidRPr="00804029" w:rsidRDefault="00804029" w:rsidP="00804029">
            <w:pPr>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106,2</w:t>
            </w:r>
          </w:p>
        </w:tc>
      </w:tr>
      <w:tr w:rsidR="00804029" w:rsidRPr="00804029" w14:paraId="1E128114" w14:textId="77777777" w:rsidTr="00A54A10">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5F0A612D" w14:textId="77777777" w:rsidR="00804029" w:rsidRPr="00804029" w:rsidRDefault="00804029" w:rsidP="00804029">
            <w:pPr>
              <w:spacing w:after="0" w:line="240" w:lineRule="auto"/>
              <w:jc w:val="both"/>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Kiutalás</w:t>
            </w:r>
          </w:p>
        </w:tc>
        <w:tc>
          <w:tcPr>
            <w:tcW w:w="1724" w:type="dxa"/>
            <w:tcBorders>
              <w:top w:val="single" w:sz="4" w:space="0" w:color="auto"/>
              <w:left w:val="single" w:sz="4" w:space="0" w:color="auto"/>
              <w:bottom w:val="single" w:sz="4" w:space="0" w:color="auto"/>
              <w:right w:val="single" w:sz="4" w:space="0" w:color="auto"/>
            </w:tcBorders>
            <w:noWrap/>
            <w:vAlign w:val="center"/>
          </w:tcPr>
          <w:p w14:paraId="2C3ED916" w14:textId="77777777" w:rsidR="00804029" w:rsidRPr="00804029" w:rsidRDefault="00804029" w:rsidP="00804029">
            <w:pPr>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5 499,6</w:t>
            </w:r>
          </w:p>
        </w:tc>
        <w:tc>
          <w:tcPr>
            <w:tcW w:w="1700" w:type="dxa"/>
            <w:tcBorders>
              <w:top w:val="single" w:sz="4" w:space="0" w:color="auto"/>
              <w:left w:val="single" w:sz="4" w:space="0" w:color="auto"/>
              <w:bottom w:val="single" w:sz="4" w:space="0" w:color="auto"/>
              <w:right w:val="single" w:sz="4" w:space="0" w:color="auto"/>
            </w:tcBorders>
            <w:noWrap/>
            <w:vAlign w:val="center"/>
          </w:tcPr>
          <w:p w14:paraId="021ADD63" w14:textId="77777777" w:rsidR="00804029" w:rsidRPr="00804029" w:rsidRDefault="00804029" w:rsidP="00804029">
            <w:pPr>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5 407,5</w:t>
            </w:r>
          </w:p>
        </w:tc>
        <w:tc>
          <w:tcPr>
            <w:tcW w:w="993" w:type="dxa"/>
            <w:tcBorders>
              <w:top w:val="single" w:sz="4" w:space="0" w:color="auto"/>
              <w:left w:val="single" w:sz="4" w:space="0" w:color="auto"/>
              <w:bottom w:val="single" w:sz="4" w:space="0" w:color="auto"/>
              <w:right w:val="single" w:sz="4" w:space="0" w:color="auto"/>
            </w:tcBorders>
            <w:noWrap/>
            <w:vAlign w:val="center"/>
          </w:tcPr>
          <w:p w14:paraId="5BABE1E0" w14:textId="77777777" w:rsidR="00804029" w:rsidRPr="00804029" w:rsidRDefault="00804029" w:rsidP="00804029">
            <w:pPr>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-92,1</w:t>
            </w:r>
          </w:p>
        </w:tc>
        <w:tc>
          <w:tcPr>
            <w:tcW w:w="951" w:type="dxa"/>
            <w:tcBorders>
              <w:top w:val="single" w:sz="4" w:space="0" w:color="auto"/>
              <w:left w:val="single" w:sz="4" w:space="0" w:color="auto"/>
              <w:bottom w:val="single" w:sz="4" w:space="0" w:color="auto"/>
              <w:right w:val="single" w:sz="4" w:space="0" w:color="auto"/>
            </w:tcBorders>
            <w:noWrap/>
            <w:vAlign w:val="center"/>
          </w:tcPr>
          <w:p w14:paraId="6C053015" w14:textId="77777777" w:rsidR="00804029" w:rsidRPr="00804029" w:rsidRDefault="00804029" w:rsidP="00804029">
            <w:pPr>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98,3</w:t>
            </w:r>
          </w:p>
        </w:tc>
      </w:tr>
      <w:tr w:rsidR="00804029" w:rsidRPr="00804029" w14:paraId="2C625513" w14:textId="77777777" w:rsidTr="00A54A10">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46EEA206" w14:textId="77777777" w:rsidR="00804029" w:rsidRPr="00804029" w:rsidRDefault="00804029" w:rsidP="00804029">
            <w:pPr>
              <w:spacing w:after="0" w:line="240" w:lineRule="auto"/>
              <w:jc w:val="both"/>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Egyenleg</w:t>
            </w:r>
          </w:p>
        </w:tc>
        <w:tc>
          <w:tcPr>
            <w:tcW w:w="1724" w:type="dxa"/>
            <w:tcBorders>
              <w:top w:val="single" w:sz="4" w:space="0" w:color="auto"/>
              <w:left w:val="single" w:sz="4" w:space="0" w:color="auto"/>
              <w:bottom w:val="single" w:sz="4" w:space="0" w:color="auto"/>
              <w:right w:val="single" w:sz="4" w:space="0" w:color="auto"/>
            </w:tcBorders>
            <w:noWrap/>
            <w:vAlign w:val="center"/>
          </w:tcPr>
          <w:p w14:paraId="4BCA9E24" w14:textId="77777777" w:rsidR="00804029" w:rsidRPr="00804029" w:rsidRDefault="00804029" w:rsidP="00804029">
            <w:pPr>
              <w:spacing w:after="0" w:line="240" w:lineRule="auto"/>
              <w:jc w:val="right"/>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7 376,2</w:t>
            </w:r>
          </w:p>
        </w:tc>
        <w:tc>
          <w:tcPr>
            <w:tcW w:w="1700" w:type="dxa"/>
            <w:tcBorders>
              <w:top w:val="single" w:sz="4" w:space="0" w:color="auto"/>
              <w:left w:val="single" w:sz="4" w:space="0" w:color="auto"/>
              <w:bottom w:val="single" w:sz="4" w:space="0" w:color="auto"/>
              <w:right w:val="single" w:sz="4" w:space="0" w:color="auto"/>
            </w:tcBorders>
            <w:noWrap/>
            <w:vAlign w:val="center"/>
          </w:tcPr>
          <w:p w14:paraId="37219C60" w14:textId="77777777" w:rsidR="00804029" w:rsidRPr="00804029" w:rsidRDefault="00804029" w:rsidP="00804029">
            <w:pPr>
              <w:spacing w:after="0" w:line="240" w:lineRule="auto"/>
              <w:jc w:val="right"/>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8 265,4</w:t>
            </w:r>
          </w:p>
        </w:tc>
        <w:tc>
          <w:tcPr>
            <w:tcW w:w="993" w:type="dxa"/>
            <w:tcBorders>
              <w:top w:val="single" w:sz="4" w:space="0" w:color="auto"/>
              <w:left w:val="single" w:sz="4" w:space="0" w:color="auto"/>
              <w:bottom w:val="single" w:sz="4" w:space="0" w:color="auto"/>
              <w:right w:val="single" w:sz="4" w:space="0" w:color="auto"/>
            </w:tcBorders>
            <w:noWrap/>
            <w:vAlign w:val="center"/>
          </w:tcPr>
          <w:p w14:paraId="1F78EBCA" w14:textId="77777777" w:rsidR="00804029" w:rsidRPr="00A90161" w:rsidRDefault="00804029" w:rsidP="00804029">
            <w:pPr>
              <w:spacing w:after="0" w:line="240" w:lineRule="auto"/>
              <w:jc w:val="right"/>
              <w:rPr>
                <w:rFonts w:ascii="Times New Roman" w:eastAsia="Times New Roman" w:hAnsi="Times New Roman" w:cs="Times New Roman"/>
                <w:b/>
                <w:bCs/>
                <w:szCs w:val="20"/>
                <w:lang w:eastAsia="hu-HU"/>
              </w:rPr>
            </w:pPr>
            <w:r w:rsidRPr="00A90161">
              <w:rPr>
                <w:rFonts w:ascii="Times New Roman" w:eastAsia="Times New Roman" w:hAnsi="Times New Roman" w:cs="Times New Roman"/>
                <w:b/>
                <w:bCs/>
                <w:szCs w:val="20"/>
                <w:lang w:eastAsia="hu-HU"/>
              </w:rPr>
              <w:t>889,2</w:t>
            </w:r>
          </w:p>
        </w:tc>
        <w:tc>
          <w:tcPr>
            <w:tcW w:w="951" w:type="dxa"/>
            <w:tcBorders>
              <w:top w:val="single" w:sz="4" w:space="0" w:color="auto"/>
              <w:left w:val="single" w:sz="4" w:space="0" w:color="auto"/>
              <w:bottom w:val="single" w:sz="4" w:space="0" w:color="auto"/>
              <w:right w:val="single" w:sz="4" w:space="0" w:color="auto"/>
            </w:tcBorders>
            <w:noWrap/>
            <w:vAlign w:val="center"/>
          </w:tcPr>
          <w:p w14:paraId="7CFA60D9" w14:textId="77777777" w:rsidR="00804029" w:rsidRPr="00A90161" w:rsidRDefault="00804029" w:rsidP="00804029">
            <w:pPr>
              <w:spacing w:after="0" w:line="240" w:lineRule="auto"/>
              <w:jc w:val="right"/>
              <w:rPr>
                <w:rFonts w:ascii="Times New Roman" w:eastAsia="Times New Roman" w:hAnsi="Times New Roman" w:cs="Times New Roman"/>
                <w:b/>
                <w:bCs/>
                <w:szCs w:val="20"/>
                <w:lang w:eastAsia="hu-HU"/>
              </w:rPr>
            </w:pPr>
            <w:r w:rsidRPr="00A90161">
              <w:rPr>
                <w:rFonts w:ascii="Times New Roman" w:eastAsia="Times New Roman" w:hAnsi="Times New Roman" w:cs="Times New Roman"/>
                <w:b/>
                <w:bCs/>
                <w:szCs w:val="20"/>
                <w:lang w:eastAsia="hu-HU"/>
              </w:rPr>
              <w:t>112,1</w:t>
            </w:r>
          </w:p>
        </w:tc>
      </w:tr>
    </w:tbl>
    <w:p w14:paraId="2CEF46E8" w14:textId="77777777" w:rsidR="00804029" w:rsidRDefault="00804029" w:rsidP="00804029">
      <w:pPr>
        <w:spacing w:after="120" w:line="240" w:lineRule="auto"/>
        <w:jc w:val="both"/>
        <w:rPr>
          <w:rFonts w:ascii="Times New Roman" w:eastAsia="Times New Roman" w:hAnsi="Times New Roman" w:cs="Times New Roman"/>
          <w:sz w:val="26"/>
          <w:szCs w:val="20"/>
          <w:lang w:eastAsia="hu-HU"/>
        </w:rPr>
      </w:pPr>
    </w:p>
    <w:p w14:paraId="364D5636" w14:textId="38156EE3" w:rsidR="00804029" w:rsidRPr="00804029" w:rsidRDefault="00804029" w:rsidP="005854D3">
      <w:pPr>
        <w:jc w:val="both"/>
        <w:rPr>
          <w:rFonts w:ascii="Times New Roman" w:eastAsia="Times New Roman" w:hAnsi="Times New Roman" w:cs="Times New Roman"/>
          <w:sz w:val="26"/>
          <w:szCs w:val="20"/>
          <w:lang w:eastAsia="hu-HU"/>
        </w:rPr>
      </w:pPr>
      <w:r w:rsidRPr="00804029">
        <w:rPr>
          <w:rFonts w:ascii="Times New Roman" w:eastAsia="Times New Roman" w:hAnsi="Times New Roman" w:cs="Times New Roman"/>
          <w:sz w:val="26"/>
          <w:szCs w:val="20"/>
          <w:lang w:eastAsia="hu-HU"/>
        </w:rPr>
        <w:t>A belföldi befizetések és az import utáni áfabevételek növekedtek, ugyanakkor a dohány</w:t>
      </w:r>
      <w:r w:rsidR="00A90161">
        <w:rPr>
          <w:rFonts w:ascii="Times New Roman" w:eastAsia="Times New Roman" w:hAnsi="Times New Roman" w:cs="Times New Roman"/>
          <w:sz w:val="26"/>
          <w:szCs w:val="20"/>
          <w:lang w:eastAsia="hu-HU"/>
        </w:rPr>
        <w:t>-</w:t>
      </w:r>
      <w:r w:rsidRPr="00804029">
        <w:rPr>
          <w:rFonts w:ascii="Times New Roman" w:eastAsia="Times New Roman" w:hAnsi="Times New Roman" w:cs="Times New Roman"/>
          <w:sz w:val="26"/>
          <w:szCs w:val="20"/>
          <w:lang w:eastAsia="hu-HU"/>
        </w:rPr>
        <w:t>termékek utáni áfabevétel csökkent. A belföldi befizetések növekedése elsősorban a</w:t>
      </w:r>
      <w:r w:rsidR="00A90161">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0"/>
          <w:lang w:eastAsia="hu-HU"/>
        </w:rPr>
        <w:t>kereskedelem ágazathoz köthető. Az import utáni befizetések növekedése hátterében a</w:t>
      </w:r>
      <w:r w:rsidR="00A90161">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0"/>
          <w:lang w:eastAsia="hu-HU"/>
        </w:rPr>
        <w:t>forgalom alakulása áll. A dohánytermékek utáni bevételek alacsonyabb teljesülését a</w:t>
      </w:r>
      <w:r w:rsidR="00A90161">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0"/>
          <w:lang w:eastAsia="hu-HU"/>
        </w:rPr>
        <w:t>2025. januári jövedéki adómérték-emelésre adott piaci reakció, a készletezési hatás</w:t>
      </w:r>
      <w:r w:rsidR="00B728C5">
        <w:rPr>
          <w:rFonts w:ascii="Times New Roman" w:eastAsia="Times New Roman" w:hAnsi="Times New Roman" w:cs="Times New Roman"/>
          <w:sz w:val="26"/>
          <w:szCs w:val="20"/>
          <w:lang w:eastAsia="hu-HU"/>
        </w:rPr>
        <w:t>,</w:t>
      </w:r>
      <w:r w:rsidRPr="00804029">
        <w:rPr>
          <w:rFonts w:ascii="Times New Roman" w:eastAsia="Times New Roman" w:hAnsi="Times New Roman" w:cs="Times New Roman"/>
          <w:sz w:val="26"/>
          <w:szCs w:val="20"/>
          <w:lang w:eastAsia="hu-HU"/>
        </w:rPr>
        <w:t xml:space="preserve"> valamint az ízesített, hevített dohánytermékekre vonatkozó jogszabályváltozás miatti </w:t>
      </w:r>
      <w:r w:rsidRPr="00804029">
        <w:rPr>
          <w:rFonts w:ascii="Times New Roman" w:eastAsia="Times New Roman" w:hAnsi="Times New Roman" w:cs="Times New Roman"/>
          <w:sz w:val="26"/>
          <w:szCs w:val="20"/>
          <w:lang w:eastAsia="hu-HU"/>
        </w:rPr>
        <w:lastRenderedPageBreak/>
        <w:t>2024. júliusi készletezés együttes hatása magyarázza. A kiutalások alakulását a köztes ágazatok befizetése befolyásolja.</w:t>
      </w:r>
    </w:p>
    <w:p w14:paraId="6A4419C7" w14:textId="26027D0F" w:rsidR="00CF551C" w:rsidRPr="00945E04" w:rsidRDefault="00A25365" w:rsidP="009F5DC5">
      <w:pPr>
        <w:pStyle w:val="NormlWeb"/>
        <w:spacing w:before="0" w:beforeAutospacing="0" w:after="0" w:afterAutospacing="0"/>
        <w:jc w:val="center"/>
        <w:rPr>
          <w:sz w:val="22"/>
        </w:rPr>
      </w:pPr>
      <w:r>
        <w:rPr>
          <w:noProof/>
        </w:rPr>
        <w:drawing>
          <wp:inline distT="0" distB="0" distL="0" distR="0" wp14:anchorId="48846F42" wp14:editId="4209ECA2">
            <wp:extent cx="5612014" cy="3655758"/>
            <wp:effectExtent l="0" t="0" r="8255" b="1905"/>
            <wp:docPr id="348095425" name="Kép 1" descr="A képen szöveg, sor, Diagram, szá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95425" name="Kép 1" descr="A képen szöveg, sor, Diagram, szám látható&#10;&#10;Előfordulhat, hogy a mesterséges intelligencia által létrehozott tartalom helytelen."/>
                    <pic:cNvPicPr/>
                  </pic:nvPicPr>
                  <pic:blipFill>
                    <a:blip r:embed="rId15"/>
                    <a:stretch>
                      <a:fillRect/>
                    </a:stretch>
                  </pic:blipFill>
                  <pic:spPr>
                    <a:xfrm>
                      <a:off x="0" y="0"/>
                      <a:ext cx="5618835" cy="3660201"/>
                    </a:xfrm>
                    <a:prstGeom prst="rect">
                      <a:avLst/>
                    </a:prstGeom>
                  </pic:spPr>
                </pic:pic>
              </a:graphicData>
            </a:graphic>
          </wp:inline>
        </w:drawing>
      </w:r>
    </w:p>
    <w:p w14:paraId="6C0D85D2" w14:textId="0F000FE7" w:rsidR="00804029" w:rsidRPr="00804029" w:rsidRDefault="00804029" w:rsidP="005854D3">
      <w:pPr>
        <w:spacing w:before="120"/>
        <w:jc w:val="both"/>
        <w:rPr>
          <w:rFonts w:ascii="Times New Roman" w:eastAsia="Times New Roman" w:hAnsi="Times New Roman" w:cs="Times New Roman"/>
          <w:sz w:val="26"/>
          <w:szCs w:val="20"/>
          <w:lang w:eastAsia="hu-HU"/>
        </w:rPr>
      </w:pPr>
      <w:r w:rsidRPr="00804029">
        <w:rPr>
          <w:rFonts w:ascii="Times New Roman" w:eastAsia="Times New Roman" w:hAnsi="Times New Roman" w:cs="Times New Roman"/>
          <w:sz w:val="26"/>
          <w:szCs w:val="20"/>
          <w:lang w:eastAsia="hu-HU"/>
        </w:rPr>
        <w:t xml:space="preserve">A </w:t>
      </w:r>
      <w:r w:rsidRPr="00804029">
        <w:rPr>
          <w:rFonts w:ascii="Times New Roman" w:eastAsia="Times New Roman" w:hAnsi="Times New Roman" w:cs="Times New Roman"/>
          <w:b/>
          <w:sz w:val="26"/>
          <w:szCs w:val="20"/>
          <w:lang w:eastAsia="hu-HU"/>
        </w:rPr>
        <w:t>jövedéki adóból</w:t>
      </w:r>
      <w:r w:rsidRPr="00804029">
        <w:rPr>
          <w:rFonts w:ascii="Times New Roman" w:eastAsia="Times New Roman" w:hAnsi="Times New Roman" w:cs="Times New Roman"/>
          <w:sz w:val="26"/>
          <w:szCs w:val="20"/>
          <w:lang w:eastAsia="hu-HU"/>
        </w:rPr>
        <w:t xml:space="preserve"> származó bevétel a 2025. évben 1627,6</w:t>
      </w:r>
      <w:r w:rsidRPr="00804029">
        <w:rPr>
          <w:rFonts w:ascii="Times New Roman" w:eastAsia="Times New Roman" w:hAnsi="Times New Roman" w:cs="Times New Roman"/>
          <w:color w:val="000000"/>
          <w:sz w:val="26"/>
          <w:szCs w:val="20"/>
          <w:lang w:eastAsia="hu-HU"/>
        </w:rPr>
        <w:t> </w:t>
      </w:r>
      <w:r w:rsidRPr="00804029">
        <w:rPr>
          <w:rFonts w:ascii="Times New Roman" w:eastAsia="Times New Roman" w:hAnsi="Times New Roman" w:cs="Times New Roman"/>
          <w:sz w:val="26"/>
          <w:szCs w:val="20"/>
          <w:lang w:eastAsia="hu-HU"/>
        </w:rPr>
        <w:t>milliárd forintot tett ki, amely 12,4 milliárd forinttal magasabb az egy évvel korábbi bevételnél. Az üzemanyagok utáni bevételek növekedését a 2025. január 1-</w:t>
      </w:r>
      <w:r w:rsidR="00767A63">
        <w:rPr>
          <w:rFonts w:ascii="Times New Roman" w:eastAsia="Times New Roman" w:hAnsi="Times New Roman" w:cs="Times New Roman"/>
          <w:sz w:val="26"/>
          <w:szCs w:val="20"/>
          <w:lang w:eastAsia="hu-HU"/>
        </w:rPr>
        <w:t>jé</w:t>
      </w:r>
      <w:r w:rsidRPr="00804029">
        <w:rPr>
          <w:rFonts w:ascii="Times New Roman" w:eastAsia="Times New Roman" w:hAnsi="Times New Roman" w:cs="Times New Roman"/>
          <w:sz w:val="26"/>
          <w:szCs w:val="20"/>
          <w:lang w:eastAsia="hu-HU"/>
        </w:rPr>
        <w:t>től hatályos magasabb adómértékek magyarázzák. A dohánytermékek utáni bevételek csökkenésének hátterében a</w:t>
      </w:r>
      <w:r w:rsidR="00767A63">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0"/>
          <w:lang w:eastAsia="hu-HU"/>
        </w:rPr>
        <w:t>2025.</w:t>
      </w:r>
      <w:r w:rsidR="00767A63">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0"/>
          <w:lang w:eastAsia="hu-HU"/>
        </w:rPr>
        <w:t>januári adómérték-emelésből fakadó készletezési hatás; valamint az ízesített, hevített dohánytermékekre vonatkozó jogszabályváltozásra adott piaci reakció, a</w:t>
      </w:r>
      <w:r w:rsidR="00767A63">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0"/>
          <w:lang w:eastAsia="hu-HU"/>
        </w:rPr>
        <w:t>2024.</w:t>
      </w:r>
      <w:r w:rsidR="00767A63">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0"/>
          <w:lang w:eastAsia="hu-HU"/>
        </w:rPr>
        <w:t>júliusi készletezés együttes hatása áll. A szeszesitalok és egyéb termékek esetében a bevételek alakulását a 2025. januári adómérték</w:t>
      </w:r>
      <w:r w:rsidR="005854D3">
        <w:rPr>
          <w:rFonts w:ascii="Times New Roman" w:eastAsia="Times New Roman" w:hAnsi="Times New Roman" w:cs="Times New Roman"/>
          <w:sz w:val="26"/>
          <w:szCs w:val="20"/>
          <w:lang w:eastAsia="hu-HU"/>
        </w:rPr>
        <w:t>-</w:t>
      </w:r>
      <w:r w:rsidRPr="00804029">
        <w:rPr>
          <w:rFonts w:ascii="Times New Roman" w:eastAsia="Times New Roman" w:hAnsi="Times New Roman" w:cs="Times New Roman"/>
          <w:sz w:val="26"/>
          <w:szCs w:val="20"/>
          <w:lang w:eastAsia="hu-HU"/>
        </w:rPr>
        <w:t>emelés</w:t>
      </w:r>
      <w:r w:rsidR="005854D3">
        <w:rPr>
          <w:rFonts w:ascii="Times New Roman" w:eastAsia="Times New Roman" w:hAnsi="Times New Roman" w:cs="Times New Roman"/>
          <w:sz w:val="26"/>
          <w:szCs w:val="20"/>
          <w:lang w:eastAsia="hu-HU"/>
        </w:rPr>
        <w:t>,</w:t>
      </w:r>
      <w:r w:rsidRPr="00804029">
        <w:rPr>
          <w:rFonts w:ascii="Times New Roman" w:eastAsia="Times New Roman" w:hAnsi="Times New Roman" w:cs="Times New Roman"/>
          <w:sz w:val="26"/>
          <w:szCs w:val="20"/>
          <w:lang w:eastAsia="hu-HU"/>
        </w:rPr>
        <w:t xml:space="preserve"> valamint a piaci reakciók magyarázzák. Az energiaadó bevételek növekedésének hátterében a 2025. januári jövedéki adómérték-emelés áll.</w:t>
      </w:r>
    </w:p>
    <w:tbl>
      <w:tblPr>
        <w:tblW w:w="8752" w:type="dxa"/>
        <w:jc w:val="center"/>
        <w:tblCellMar>
          <w:left w:w="70" w:type="dxa"/>
          <w:right w:w="70" w:type="dxa"/>
        </w:tblCellMar>
        <w:tblLook w:val="04A0" w:firstRow="1" w:lastRow="0" w:firstColumn="1" w:lastColumn="0" w:noHBand="0" w:noVBand="1"/>
      </w:tblPr>
      <w:tblGrid>
        <w:gridCol w:w="3402"/>
        <w:gridCol w:w="1560"/>
        <w:gridCol w:w="1594"/>
        <w:gridCol w:w="1061"/>
        <w:gridCol w:w="1135"/>
      </w:tblGrid>
      <w:tr w:rsidR="00804029" w:rsidRPr="00804029" w14:paraId="6037E84C" w14:textId="77777777" w:rsidTr="00A54A10">
        <w:trPr>
          <w:trHeight w:val="255"/>
          <w:jc w:val="center"/>
        </w:trPr>
        <w:tc>
          <w:tcPr>
            <w:tcW w:w="8752" w:type="dxa"/>
            <w:gridSpan w:val="5"/>
            <w:tcBorders>
              <w:top w:val="nil"/>
              <w:left w:val="nil"/>
              <w:bottom w:val="single" w:sz="4" w:space="0" w:color="auto"/>
              <w:right w:val="nil"/>
            </w:tcBorders>
            <w:noWrap/>
            <w:vAlign w:val="bottom"/>
            <w:hideMark/>
          </w:tcPr>
          <w:p w14:paraId="30E1C463" w14:textId="77777777" w:rsidR="00804029" w:rsidRPr="00804029" w:rsidRDefault="00804029" w:rsidP="00804029">
            <w:pPr>
              <w:spacing w:before="120" w:after="120" w:line="240" w:lineRule="auto"/>
              <w:jc w:val="center"/>
              <w:rPr>
                <w:rFonts w:ascii="Times New Roman" w:eastAsia="Times New Roman" w:hAnsi="Times New Roman" w:cs="Times New Roman"/>
                <w:b/>
                <w:bCs/>
                <w:sz w:val="26"/>
                <w:szCs w:val="20"/>
                <w:lang w:eastAsia="hu-HU"/>
              </w:rPr>
            </w:pPr>
            <w:r w:rsidRPr="00804029">
              <w:rPr>
                <w:rFonts w:ascii="Times New Roman" w:eastAsia="Times New Roman" w:hAnsi="Times New Roman" w:cs="Times New Roman"/>
                <w:b/>
                <w:bCs/>
                <w:szCs w:val="20"/>
                <w:lang w:eastAsia="hu-HU"/>
              </w:rPr>
              <w:t>Jövedéki adó bevétel alakulása (milliárd forint)</w:t>
            </w:r>
          </w:p>
        </w:tc>
      </w:tr>
      <w:tr w:rsidR="00804029" w:rsidRPr="00804029" w14:paraId="7A7EF6B0" w14:textId="77777777" w:rsidTr="00735480">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BD79FBF"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Megnevezés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C7C28AC" w14:textId="12311140" w:rsidR="005B269A" w:rsidRDefault="00804029" w:rsidP="005B269A">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2024.</w:t>
            </w:r>
            <w:r w:rsidR="005B269A">
              <w:rPr>
                <w:rFonts w:ascii="Times New Roman" w:eastAsia="Times New Roman" w:hAnsi="Times New Roman" w:cs="Times New Roman"/>
                <w:b/>
                <w:bCs/>
                <w:szCs w:val="20"/>
                <w:lang w:eastAsia="hu-HU"/>
              </w:rPr>
              <w:t xml:space="preserve"> </w:t>
            </w:r>
            <w:r w:rsidRPr="00804029">
              <w:rPr>
                <w:rFonts w:ascii="Times New Roman" w:eastAsia="Times New Roman" w:hAnsi="Times New Roman" w:cs="Times New Roman"/>
                <w:b/>
                <w:bCs/>
                <w:szCs w:val="20"/>
                <w:lang w:eastAsia="hu-HU"/>
              </w:rPr>
              <w:t>évi</w:t>
            </w:r>
          </w:p>
          <w:p w14:paraId="11EA6ACB" w14:textId="292F0915" w:rsidR="00804029" w:rsidRPr="00804029" w:rsidRDefault="00804029" w:rsidP="005B269A">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tény</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90FA604" w14:textId="57D83ED2"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2025.</w:t>
            </w:r>
            <w:r w:rsidR="005854D3">
              <w:rPr>
                <w:rFonts w:ascii="Times New Roman" w:eastAsia="Times New Roman" w:hAnsi="Times New Roman" w:cs="Times New Roman"/>
                <w:b/>
                <w:bCs/>
                <w:szCs w:val="20"/>
                <w:lang w:eastAsia="hu-HU"/>
              </w:rPr>
              <w:t xml:space="preserve"> évi</w:t>
            </w:r>
          </w:p>
          <w:p w14:paraId="1860D11B"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előzetes tény</w:t>
            </w:r>
          </w:p>
        </w:tc>
        <w:tc>
          <w:tcPr>
            <w:tcW w:w="21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542B0A1"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Eltérés</w:t>
            </w:r>
          </w:p>
        </w:tc>
      </w:tr>
      <w:tr w:rsidR="00804029" w:rsidRPr="00804029" w14:paraId="4C8D2B81" w14:textId="77777777" w:rsidTr="00735480">
        <w:trPr>
          <w:trHeight w:val="340"/>
          <w:jc w:val="center"/>
        </w:trPr>
        <w:tc>
          <w:tcPr>
            <w:tcW w:w="3402"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CAB4D9" w14:textId="77777777" w:rsidR="00804029" w:rsidRPr="00804029" w:rsidRDefault="00804029" w:rsidP="00804029">
            <w:pPr>
              <w:spacing w:after="0" w:line="240" w:lineRule="auto"/>
              <w:jc w:val="both"/>
              <w:rPr>
                <w:rFonts w:ascii="Times New Roman" w:eastAsia="Times New Roman" w:hAnsi="Times New Roman" w:cs="Times New Roman"/>
                <w:b/>
                <w:bCs/>
                <w:szCs w:val="20"/>
                <w:lang w:eastAsia="hu-HU"/>
              </w:rPr>
            </w:pPr>
          </w:p>
        </w:tc>
        <w:tc>
          <w:tcPr>
            <w:tcW w:w="156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288CCDD"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p>
        </w:tc>
        <w:tc>
          <w:tcPr>
            <w:tcW w:w="159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52800A5"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p>
        </w:tc>
        <w:tc>
          <w:tcPr>
            <w:tcW w:w="1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AAD82EC"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Mrd Ft</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D846E6E"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w:t>
            </w:r>
          </w:p>
        </w:tc>
      </w:tr>
      <w:tr w:rsidR="00804029" w:rsidRPr="00804029" w14:paraId="78C77CB1" w14:textId="77777777" w:rsidTr="00A54A10">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5ECAE0E2" w14:textId="77777777" w:rsidR="00804029" w:rsidRPr="00804029" w:rsidRDefault="00804029" w:rsidP="00804029">
            <w:pPr>
              <w:spacing w:after="0" w:line="240" w:lineRule="auto"/>
              <w:jc w:val="both"/>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Üzemanyag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282222F5"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908,7</w:t>
            </w:r>
          </w:p>
        </w:tc>
        <w:tc>
          <w:tcPr>
            <w:tcW w:w="1594" w:type="dxa"/>
            <w:tcBorders>
              <w:top w:val="single" w:sz="4" w:space="0" w:color="auto"/>
              <w:left w:val="single" w:sz="4" w:space="0" w:color="auto"/>
              <w:bottom w:val="single" w:sz="4" w:space="0" w:color="auto"/>
              <w:right w:val="single" w:sz="4" w:space="0" w:color="auto"/>
            </w:tcBorders>
            <w:noWrap/>
            <w:vAlign w:val="center"/>
          </w:tcPr>
          <w:p w14:paraId="40A3D736"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955,4</w:t>
            </w:r>
          </w:p>
        </w:tc>
        <w:tc>
          <w:tcPr>
            <w:tcW w:w="1061" w:type="dxa"/>
            <w:tcBorders>
              <w:top w:val="single" w:sz="4" w:space="0" w:color="auto"/>
              <w:left w:val="single" w:sz="4" w:space="0" w:color="auto"/>
              <w:bottom w:val="single" w:sz="4" w:space="0" w:color="auto"/>
              <w:right w:val="single" w:sz="4" w:space="0" w:color="auto"/>
            </w:tcBorders>
            <w:noWrap/>
            <w:vAlign w:val="center"/>
          </w:tcPr>
          <w:p w14:paraId="68841406"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46,7</w:t>
            </w:r>
          </w:p>
        </w:tc>
        <w:tc>
          <w:tcPr>
            <w:tcW w:w="1135" w:type="dxa"/>
            <w:tcBorders>
              <w:top w:val="single" w:sz="4" w:space="0" w:color="auto"/>
              <w:left w:val="single" w:sz="4" w:space="0" w:color="auto"/>
              <w:bottom w:val="single" w:sz="4" w:space="0" w:color="auto"/>
              <w:right w:val="single" w:sz="4" w:space="0" w:color="auto"/>
            </w:tcBorders>
            <w:noWrap/>
            <w:vAlign w:val="center"/>
          </w:tcPr>
          <w:p w14:paraId="2E01091E"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105,1</w:t>
            </w:r>
          </w:p>
        </w:tc>
      </w:tr>
      <w:tr w:rsidR="00804029" w:rsidRPr="00804029" w14:paraId="368DD2F5" w14:textId="77777777" w:rsidTr="00A54A10">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1807865E" w14:textId="77777777" w:rsidR="00804029" w:rsidRPr="00804029" w:rsidRDefault="00804029" w:rsidP="00804029">
            <w:pPr>
              <w:spacing w:after="0" w:line="240" w:lineRule="auto"/>
              <w:jc w:val="both"/>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Dohánygyártmány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73BA858F"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553,5</w:t>
            </w:r>
          </w:p>
        </w:tc>
        <w:tc>
          <w:tcPr>
            <w:tcW w:w="1594" w:type="dxa"/>
            <w:tcBorders>
              <w:top w:val="single" w:sz="4" w:space="0" w:color="auto"/>
              <w:left w:val="single" w:sz="4" w:space="0" w:color="auto"/>
              <w:bottom w:val="single" w:sz="4" w:space="0" w:color="auto"/>
              <w:right w:val="single" w:sz="4" w:space="0" w:color="auto"/>
            </w:tcBorders>
            <w:noWrap/>
            <w:vAlign w:val="center"/>
          </w:tcPr>
          <w:p w14:paraId="55A2AEBE" w14:textId="32126D5D"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517,</w:t>
            </w:r>
            <w:r w:rsidR="00767A63">
              <w:rPr>
                <w:rFonts w:ascii="Times New Roman" w:eastAsia="Times New Roman" w:hAnsi="Times New Roman" w:cs="Times New Roman"/>
                <w:color w:val="000000"/>
                <w:lang w:eastAsia="hu-HU"/>
              </w:rPr>
              <w:t>6</w:t>
            </w:r>
          </w:p>
        </w:tc>
        <w:tc>
          <w:tcPr>
            <w:tcW w:w="1061" w:type="dxa"/>
            <w:tcBorders>
              <w:top w:val="single" w:sz="4" w:space="0" w:color="auto"/>
              <w:left w:val="single" w:sz="4" w:space="0" w:color="auto"/>
              <w:bottom w:val="single" w:sz="4" w:space="0" w:color="auto"/>
              <w:right w:val="single" w:sz="4" w:space="0" w:color="auto"/>
            </w:tcBorders>
            <w:noWrap/>
            <w:vAlign w:val="center"/>
          </w:tcPr>
          <w:p w14:paraId="5D168929" w14:textId="1DAFB415"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-3</w:t>
            </w:r>
            <w:r w:rsidR="00767A63">
              <w:rPr>
                <w:rFonts w:ascii="Times New Roman" w:eastAsia="Times New Roman" w:hAnsi="Times New Roman" w:cs="Times New Roman"/>
                <w:color w:val="000000"/>
                <w:lang w:eastAsia="hu-HU"/>
              </w:rPr>
              <w:t>5,9</w:t>
            </w:r>
          </w:p>
        </w:tc>
        <w:tc>
          <w:tcPr>
            <w:tcW w:w="1135" w:type="dxa"/>
            <w:tcBorders>
              <w:top w:val="single" w:sz="4" w:space="0" w:color="auto"/>
              <w:left w:val="single" w:sz="4" w:space="0" w:color="auto"/>
              <w:bottom w:val="single" w:sz="4" w:space="0" w:color="auto"/>
              <w:right w:val="single" w:sz="4" w:space="0" w:color="auto"/>
            </w:tcBorders>
            <w:noWrap/>
            <w:vAlign w:val="center"/>
          </w:tcPr>
          <w:p w14:paraId="4498D771"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93,5</w:t>
            </w:r>
          </w:p>
        </w:tc>
      </w:tr>
      <w:tr w:rsidR="00804029" w:rsidRPr="00804029" w14:paraId="394636CF" w14:textId="77777777" w:rsidTr="00A54A10">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9E2D0B9" w14:textId="77777777" w:rsidR="00804029" w:rsidRPr="00804029" w:rsidRDefault="00804029" w:rsidP="00804029">
            <w:pPr>
              <w:spacing w:after="0" w:line="240" w:lineRule="auto"/>
              <w:jc w:val="both"/>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Egyéb termék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0D6E539A"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133,2</w:t>
            </w:r>
          </w:p>
        </w:tc>
        <w:tc>
          <w:tcPr>
            <w:tcW w:w="1594" w:type="dxa"/>
            <w:tcBorders>
              <w:top w:val="single" w:sz="4" w:space="0" w:color="auto"/>
              <w:left w:val="single" w:sz="4" w:space="0" w:color="auto"/>
              <w:bottom w:val="single" w:sz="4" w:space="0" w:color="auto"/>
              <w:right w:val="single" w:sz="4" w:space="0" w:color="auto"/>
            </w:tcBorders>
            <w:noWrap/>
            <w:vAlign w:val="center"/>
          </w:tcPr>
          <w:p w14:paraId="5C8A014D"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132,9</w:t>
            </w:r>
          </w:p>
        </w:tc>
        <w:tc>
          <w:tcPr>
            <w:tcW w:w="1061" w:type="dxa"/>
            <w:tcBorders>
              <w:top w:val="single" w:sz="4" w:space="0" w:color="auto"/>
              <w:left w:val="single" w:sz="4" w:space="0" w:color="auto"/>
              <w:bottom w:val="single" w:sz="4" w:space="0" w:color="auto"/>
              <w:right w:val="single" w:sz="4" w:space="0" w:color="auto"/>
            </w:tcBorders>
            <w:noWrap/>
            <w:vAlign w:val="center"/>
          </w:tcPr>
          <w:p w14:paraId="3560D651"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-0,3</w:t>
            </w:r>
          </w:p>
        </w:tc>
        <w:tc>
          <w:tcPr>
            <w:tcW w:w="1135" w:type="dxa"/>
            <w:tcBorders>
              <w:top w:val="single" w:sz="4" w:space="0" w:color="auto"/>
              <w:left w:val="single" w:sz="4" w:space="0" w:color="auto"/>
              <w:bottom w:val="single" w:sz="4" w:space="0" w:color="auto"/>
              <w:right w:val="single" w:sz="4" w:space="0" w:color="auto"/>
            </w:tcBorders>
            <w:noWrap/>
            <w:vAlign w:val="center"/>
          </w:tcPr>
          <w:p w14:paraId="5F0AB81E"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99,8</w:t>
            </w:r>
          </w:p>
        </w:tc>
      </w:tr>
      <w:tr w:rsidR="00804029" w:rsidRPr="00804029" w14:paraId="2B092737" w14:textId="77777777" w:rsidTr="00A54A10">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55B169DB" w14:textId="77777777" w:rsidR="00804029" w:rsidRPr="00804029" w:rsidRDefault="00804029" w:rsidP="00804029">
            <w:pPr>
              <w:spacing w:after="0" w:line="240" w:lineRule="auto"/>
              <w:jc w:val="both"/>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Import jövedéki adó és energiaadó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1236DB6A" w14:textId="77777777"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19,8</w:t>
            </w:r>
          </w:p>
        </w:tc>
        <w:tc>
          <w:tcPr>
            <w:tcW w:w="1594" w:type="dxa"/>
            <w:tcBorders>
              <w:top w:val="single" w:sz="4" w:space="0" w:color="auto"/>
              <w:left w:val="single" w:sz="4" w:space="0" w:color="auto"/>
              <w:bottom w:val="single" w:sz="4" w:space="0" w:color="auto"/>
              <w:right w:val="single" w:sz="4" w:space="0" w:color="auto"/>
            </w:tcBorders>
            <w:noWrap/>
            <w:vAlign w:val="center"/>
          </w:tcPr>
          <w:p w14:paraId="5D8C37B7" w14:textId="1FB565E5" w:rsidR="00804029" w:rsidRPr="00804029" w:rsidRDefault="00804029" w:rsidP="00804029">
            <w:pPr>
              <w:spacing w:after="0" w:line="240" w:lineRule="auto"/>
              <w:jc w:val="right"/>
              <w:rPr>
                <w:rFonts w:ascii="Times New Roman" w:eastAsia="Times New Roman" w:hAnsi="Times New Roman" w:cs="Times New Roman"/>
                <w:color w:val="000000"/>
                <w:highlight w:val="yellow"/>
                <w:lang w:eastAsia="hu-HU"/>
              </w:rPr>
            </w:pPr>
            <w:r w:rsidRPr="00804029">
              <w:rPr>
                <w:rFonts w:ascii="Times New Roman" w:eastAsia="Times New Roman" w:hAnsi="Times New Roman" w:cs="Times New Roman"/>
                <w:color w:val="000000"/>
                <w:lang w:eastAsia="hu-HU"/>
              </w:rPr>
              <w:t>21,</w:t>
            </w:r>
            <w:r w:rsidR="00767A63">
              <w:rPr>
                <w:rFonts w:ascii="Times New Roman" w:eastAsia="Times New Roman" w:hAnsi="Times New Roman" w:cs="Times New Roman"/>
                <w:color w:val="000000"/>
                <w:lang w:eastAsia="hu-HU"/>
              </w:rPr>
              <w:t>7</w:t>
            </w:r>
          </w:p>
        </w:tc>
        <w:tc>
          <w:tcPr>
            <w:tcW w:w="1061" w:type="dxa"/>
            <w:tcBorders>
              <w:top w:val="single" w:sz="4" w:space="0" w:color="auto"/>
              <w:left w:val="single" w:sz="4" w:space="0" w:color="auto"/>
              <w:bottom w:val="single" w:sz="4" w:space="0" w:color="auto"/>
              <w:right w:val="single" w:sz="4" w:space="0" w:color="auto"/>
            </w:tcBorders>
            <w:noWrap/>
            <w:vAlign w:val="center"/>
          </w:tcPr>
          <w:p w14:paraId="674248E3" w14:textId="717CD7D4" w:rsidR="00804029" w:rsidRPr="00804029" w:rsidRDefault="00767A63" w:rsidP="00804029">
            <w:pPr>
              <w:spacing w:after="0" w:line="240" w:lineRule="auto"/>
              <w:jc w:val="right"/>
              <w:rPr>
                <w:rFonts w:ascii="Times New Roman" w:eastAsia="Times New Roman" w:hAnsi="Times New Roman" w:cs="Times New Roman"/>
                <w:color w:val="000000"/>
                <w:highlight w:val="yellow"/>
                <w:lang w:eastAsia="hu-HU"/>
              </w:rPr>
            </w:pPr>
            <w:r>
              <w:rPr>
                <w:rFonts w:ascii="Times New Roman" w:eastAsia="Times New Roman" w:hAnsi="Times New Roman" w:cs="Times New Roman"/>
                <w:color w:val="000000"/>
                <w:lang w:eastAsia="hu-HU"/>
              </w:rPr>
              <w:t>1,9</w:t>
            </w:r>
          </w:p>
        </w:tc>
        <w:tc>
          <w:tcPr>
            <w:tcW w:w="1135" w:type="dxa"/>
            <w:tcBorders>
              <w:top w:val="single" w:sz="4" w:space="0" w:color="auto"/>
              <w:left w:val="single" w:sz="4" w:space="0" w:color="auto"/>
              <w:bottom w:val="single" w:sz="4" w:space="0" w:color="auto"/>
              <w:right w:val="single" w:sz="4" w:space="0" w:color="auto"/>
            </w:tcBorders>
            <w:noWrap/>
            <w:vAlign w:val="center"/>
          </w:tcPr>
          <w:p w14:paraId="74F30B65" w14:textId="3A007586" w:rsidR="00804029" w:rsidRPr="00804029" w:rsidRDefault="00767A63" w:rsidP="00804029">
            <w:pPr>
              <w:spacing w:after="0" w:line="240" w:lineRule="auto"/>
              <w:jc w:val="right"/>
              <w:rPr>
                <w:rFonts w:ascii="Times New Roman" w:eastAsia="Times New Roman" w:hAnsi="Times New Roman" w:cs="Times New Roman"/>
                <w:color w:val="000000"/>
                <w:highlight w:val="yellow"/>
                <w:lang w:eastAsia="hu-HU"/>
              </w:rPr>
            </w:pPr>
            <w:r>
              <w:rPr>
                <w:rFonts w:ascii="Times New Roman" w:eastAsia="Times New Roman" w:hAnsi="Times New Roman" w:cs="Times New Roman"/>
                <w:color w:val="000000"/>
                <w:lang w:eastAsia="hu-HU"/>
              </w:rPr>
              <w:t>109,6</w:t>
            </w:r>
          </w:p>
        </w:tc>
      </w:tr>
      <w:tr w:rsidR="00804029" w:rsidRPr="00804029" w14:paraId="16C83877" w14:textId="77777777" w:rsidTr="00A54A10">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193236D5" w14:textId="77777777" w:rsidR="00804029" w:rsidRPr="00804029" w:rsidRDefault="00804029" w:rsidP="00804029">
            <w:pPr>
              <w:spacing w:after="0" w:line="240" w:lineRule="auto"/>
              <w:jc w:val="both"/>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Jövedéki adók összesen</w:t>
            </w:r>
          </w:p>
        </w:tc>
        <w:tc>
          <w:tcPr>
            <w:tcW w:w="1560" w:type="dxa"/>
            <w:tcBorders>
              <w:top w:val="single" w:sz="4" w:space="0" w:color="auto"/>
              <w:left w:val="single" w:sz="4" w:space="0" w:color="auto"/>
              <w:bottom w:val="single" w:sz="4" w:space="0" w:color="auto"/>
              <w:right w:val="single" w:sz="4" w:space="0" w:color="auto"/>
            </w:tcBorders>
            <w:noWrap/>
            <w:vAlign w:val="center"/>
          </w:tcPr>
          <w:p w14:paraId="366E58A7" w14:textId="77777777" w:rsidR="00804029" w:rsidRPr="00804029" w:rsidRDefault="00804029" w:rsidP="00804029">
            <w:pPr>
              <w:spacing w:after="0" w:line="240" w:lineRule="auto"/>
              <w:jc w:val="right"/>
              <w:rPr>
                <w:rFonts w:ascii="Times New Roman" w:eastAsia="Times New Roman" w:hAnsi="Times New Roman" w:cs="Times New Roman"/>
                <w:b/>
                <w:bCs/>
                <w:color w:val="000000"/>
                <w:highlight w:val="yellow"/>
                <w:lang w:eastAsia="hu-HU"/>
              </w:rPr>
            </w:pPr>
            <w:r w:rsidRPr="00804029">
              <w:rPr>
                <w:rFonts w:ascii="Times New Roman" w:eastAsia="Times New Roman" w:hAnsi="Times New Roman" w:cs="Times New Roman"/>
                <w:b/>
                <w:bCs/>
                <w:color w:val="000000"/>
                <w:lang w:eastAsia="hu-HU"/>
              </w:rPr>
              <w:t>1 615,2</w:t>
            </w:r>
          </w:p>
        </w:tc>
        <w:tc>
          <w:tcPr>
            <w:tcW w:w="1594" w:type="dxa"/>
            <w:tcBorders>
              <w:top w:val="single" w:sz="4" w:space="0" w:color="auto"/>
              <w:left w:val="single" w:sz="4" w:space="0" w:color="auto"/>
              <w:bottom w:val="single" w:sz="4" w:space="0" w:color="auto"/>
              <w:right w:val="single" w:sz="4" w:space="0" w:color="auto"/>
            </w:tcBorders>
            <w:noWrap/>
            <w:vAlign w:val="center"/>
          </w:tcPr>
          <w:p w14:paraId="424BDF40" w14:textId="77777777" w:rsidR="00804029" w:rsidRPr="00804029" w:rsidRDefault="00804029" w:rsidP="00804029">
            <w:pPr>
              <w:spacing w:after="0" w:line="240" w:lineRule="auto"/>
              <w:jc w:val="right"/>
              <w:rPr>
                <w:rFonts w:ascii="Times New Roman" w:eastAsia="Times New Roman" w:hAnsi="Times New Roman" w:cs="Times New Roman"/>
                <w:b/>
                <w:bCs/>
                <w:color w:val="000000"/>
                <w:highlight w:val="yellow"/>
                <w:lang w:eastAsia="hu-HU"/>
              </w:rPr>
            </w:pPr>
            <w:r w:rsidRPr="00804029">
              <w:rPr>
                <w:rFonts w:ascii="Times New Roman" w:eastAsia="Times New Roman" w:hAnsi="Times New Roman" w:cs="Times New Roman"/>
                <w:b/>
                <w:bCs/>
                <w:color w:val="000000"/>
                <w:lang w:eastAsia="hu-HU"/>
              </w:rPr>
              <w:t>1 627,6</w:t>
            </w:r>
          </w:p>
        </w:tc>
        <w:tc>
          <w:tcPr>
            <w:tcW w:w="1061" w:type="dxa"/>
            <w:tcBorders>
              <w:top w:val="single" w:sz="4" w:space="0" w:color="auto"/>
              <w:left w:val="single" w:sz="4" w:space="0" w:color="auto"/>
              <w:bottom w:val="single" w:sz="4" w:space="0" w:color="auto"/>
              <w:right w:val="single" w:sz="4" w:space="0" w:color="auto"/>
            </w:tcBorders>
            <w:noWrap/>
            <w:vAlign w:val="center"/>
          </w:tcPr>
          <w:p w14:paraId="73C07942" w14:textId="77777777" w:rsidR="00804029" w:rsidRPr="00804029" w:rsidRDefault="00804029" w:rsidP="00804029">
            <w:pPr>
              <w:spacing w:after="0" w:line="240" w:lineRule="auto"/>
              <w:jc w:val="right"/>
              <w:rPr>
                <w:rFonts w:ascii="Times New Roman" w:eastAsia="Times New Roman" w:hAnsi="Times New Roman" w:cs="Times New Roman"/>
                <w:b/>
                <w:bCs/>
                <w:color w:val="000000"/>
                <w:highlight w:val="yellow"/>
                <w:lang w:eastAsia="hu-HU"/>
              </w:rPr>
            </w:pPr>
            <w:r w:rsidRPr="00804029">
              <w:rPr>
                <w:rFonts w:ascii="Times New Roman" w:eastAsia="Times New Roman" w:hAnsi="Times New Roman" w:cs="Times New Roman"/>
                <w:b/>
                <w:bCs/>
                <w:color w:val="000000"/>
                <w:lang w:eastAsia="hu-HU"/>
              </w:rPr>
              <w:t>12,4</w:t>
            </w:r>
          </w:p>
        </w:tc>
        <w:tc>
          <w:tcPr>
            <w:tcW w:w="1135" w:type="dxa"/>
            <w:tcBorders>
              <w:top w:val="single" w:sz="4" w:space="0" w:color="auto"/>
              <w:left w:val="single" w:sz="4" w:space="0" w:color="auto"/>
              <w:bottom w:val="single" w:sz="4" w:space="0" w:color="auto"/>
              <w:right w:val="single" w:sz="4" w:space="0" w:color="auto"/>
            </w:tcBorders>
            <w:noWrap/>
            <w:vAlign w:val="center"/>
          </w:tcPr>
          <w:p w14:paraId="39F8BF1B" w14:textId="77777777" w:rsidR="00804029" w:rsidRPr="00804029" w:rsidRDefault="00804029" w:rsidP="00804029">
            <w:pPr>
              <w:spacing w:after="0" w:line="240" w:lineRule="auto"/>
              <w:jc w:val="right"/>
              <w:rPr>
                <w:rFonts w:ascii="Times New Roman" w:eastAsia="Times New Roman" w:hAnsi="Times New Roman" w:cs="Times New Roman"/>
                <w:b/>
                <w:bCs/>
                <w:color w:val="000000"/>
                <w:highlight w:val="yellow"/>
                <w:lang w:eastAsia="hu-HU"/>
              </w:rPr>
            </w:pPr>
            <w:r w:rsidRPr="00804029">
              <w:rPr>
                <w:rFonts w:ascii="Times New Roman" w:eastAsia="Times New Roman" w:hAnsi="Times New Roman" w:cs="Times New Roman"/>
                <w:b/>
                <w:bCs/>
                <w:color w:val="000000"/>
                <w:lang w:eastAsia="hu-HU"/>
              </w:rPr>
              <w:t>100,8</w:t>
            </w:r>
          </w:p>
        </w:tc>
      </w:tr>
    </w:tbl>
    <w:p w14:paraId="68CAB370" w14:textId="77777777" w:rsidR="002F3D61" w:rsidRDefault="002F3D61" w:rsidP="3C87A00B">
      <w:pPr>
        <w:jc w:val="both"/>
        <w:rPr>
          <w:rFonts w:ascii="Times New Roman" w:eastAsia="Times New Roman" w:hAnsi="Times New Roman" w:cs="Times New Roman"/>
          <w:b/>
          <w:sz w:val="26"/>
          <w:szCs w:val="20"/>
          <w:lang w:eastAsia="hu-HU"/>
        </w:rPr>
      </w:pPr>
    </w:p>
    <w:p w14:paraId="30A3355C" w14:textId="574FAD74" w:rsidR="00804029" w:rsidRPr="00804029" w:rsidRDefault="00E86C99" w:rsidP="00C127DE">
      <w:pPr>
        <w:jc w:val="both"/>
        <w:rPr>
          <w:rFonts w:ascii="Times New Roman" w:eastAsia="Times New Roman" w:hAnsi="Times New Roman" w:cs="Times New Roman"/>
          <w:sz w:val="26"/>
          <w:szCs w:val="20"/>
          <w:lang w:eastAsia="hu-HU"/>
        </w:rPr>
      </w:pPr>
      <w:r>
        <w:rPr>
          <w:rFonts w:ascii="Times New Roman" w:eastAsia="Times New Roman" w:hAnsi="Times New Roman" w:cs="Times New Roman"/>
          <w:b/>
          <w:sz w:val="26"/>
          <w:szCs w:val="20"/>
          <w:lang w:eastAsia="hu-HU"/>
        </w:rPr>
        <w:br w:type="column"/>
      </w:r>
      <w:r w:rsidR="00804029" w:rsidRPr="00804029">
        <w:rPr>
          <w:rFonts w:ascii="Times New Roman" w:eastAsia="Times New Roman" w:hAnsi="Times New Roman" w:cs="Times New Roman"/>
          <w:b/>
          <w:sz w:val="26"/>
          <w:szCs w:val="20"/>
          <w:lang w:eastAsia="hu-HU"/>
        </w:rPr>
        <w:lastRenderedPageBreak/>
        <w:t>Pénzügyi tranzakciós illetékből</w:t>
      </w:r>
      <w:r w:rsidR="00804029" w:rsidRPr="00804029">
        <w:rPr>
          <w:rFonts w:ascii="Times New Roman" w:eastAsia="Times New Roman" w:hAnsi="Times New Roman" w:cs="Times New Roman"/>
          <w:sz w:val="26"/>
          <w:szCs w:val="20"/>
          <w:lang w:eastAsia="hu-HU"/>
        </w:rPr>
        <w:t xml:space="preserve"> 2025</w:t>
      </w:r>
      <w:r w:rsidR="00B728C5">
        <w:rPr>
          <w:rFonts w:ascii="Times New Roman" w:eastAsia="Times New Roman" w:hAnsi="Times New Roman" w:cs="Times New Roman"/>
          <w:sz w:val="26"/>
          <w:szCs w:val="20"/>
          <w:lang w:eastAsia="hu-HU"/>
        </w:rPr>
        <w:t>-</w:t>
      </w:r>
      <w:r w:rsidR="00804029" w:rsidRPr="00804029">
        <w:rPr>
          <w:rFonts w:ascii="Times New Roman" w:eastAsia="Times New Roman" w:hAnsi="Times New Roman" w:cs="Times New Roman"/>
          <w:sz w:val="26"/>
          <w:szCs w:val="20"/>
          <w:lang w:eastAsia="hu-HU"/>
        </w:rPr>
        <w:t>ben 578,9 milliárd forint bevétele keletkezett a</w:t>
      </w:r>
      <w:r w:rsidR="00E80093">
        <w:rPr>
          <w:rFonts w:ascii="Times New Roman" w:eastAsia="Times New Roman" w:hAnsi="Times New Roman" w:cs="Times New Roman"/>
          <w:sz w:val="26"/>
          <w:szCs w:val="20"/>
          <w:lang w:eastAsia="hu-HU"/>
        </w:rPr>
        <w:t> </w:t>
      </w:r>
      <w:r w:rsidR="00804029" w:rsidRPr="00804029">
        <w:rPr>
          <w:rFonts w:ascii="Times New Roman" w:eastAsia="Times New Roman" w:hAnsi="Times New Roman" w:cs="Times New Roman"/>
          <w:sz w:val="26"/>
          <w:szCs w:val="20"/>
          <w:lang w:eastAsia="hu-HU"/>
        </w:rPr>
        <w:t>költségvetésnek, ami 165,1 milliárd forinttal haladta meg az egy évvel korábbi összeget. A</w:t>
      </w:r>
      <w:r w:rsidR="00E80093">
        <w:rPr>
          <w:rFonts w:ascii="Times New Roman" w:eastAsia="Times New Roman" w:hAnsi="Times New Roman" w:cs="Times New Roman"/>
          <w:sz w:val="26"/>
          <w:szCs w:val="20"/>
          <w:lang w:eastAsia="hu-HU"/>
        </w:rPr>
        <w:t> </w:t>
      </w:r>
      <w:r w:rsidR="00804029" w:rsidRPr="00804029">
        <w:rPr>
          <w:rFonts w:ascii="Times New Roman" w:eastAsia="Times New Roman" w:hAnsi="Times New Roman" w:cs="Times New Roman"/>
          <w:sz w:val="26"/>
          <w:szCs w:val="20"/>
          <w:lang w:eastAsia="hu-HU"/>
        </w:rPr>
        <w:t>bevételek növekedésének hátterében a 2024. augusztus 1-</w:t>
      </w:r>
      <w:r w:rsidR="00B728C5">
        <w:rPr>
          <w:rFonts w:ascii="Times New Roman" w:eastAsia="Times New Roman" w:hAnsi="Times New Roman" w:cs="Times New Roman"/>
          <w:sz w:val="26"/>
          <w:szCs w:val="20"/>
          <w:lang w:eastAsia="hu-HU"/>
        </w:rPr>
        <w:t>jé</w:t>
      </w:r>
      <w:r w:rsidR="00804029" w:rsidRPr="00804029">
        <w:rPr>
          <w:rFonts w:ascii="Times New Roman" w:eastAsia="Times New Roman" w:hAnsi="Times New Roman" w:cs="Times New Roman"/>
          <w:sz w:val="26"/>
          <w:szCs w:val="20"/>
          <w:lang w:eastAsia="hu-HU"/>
        </w:rPr>
        <w:t>től hatályos megemelt adómértékek, valamint a 2024. október elsejétől az adó hatálya alá tartozó konverziót tartalmazó műveletek állnak.</w:t>
      </w:r>
    </w:p>
    <w:p w14:paraId="0042DCFF" w14:textId="67B8B603" w:rsidR="00804029" w:rsidRPr="00804029" w:rsidRDefault="00804029" w:rsidP="00C127DE">
      <w:pPr>
        <w:jc w:val="both"/>
        <w:rPr>
          <w:rFonts w:ascii="Times New Roman" w:eastAsia="Times New Roman" w:hAnsi="Times New Roman" w:cs="Times New Roman"/>
          <w:sz w:val="26"/>
          <w:szCs w:val="20"/>
          <w:lang w:eastAsia="hu-HU"/>
        </w:rPr>
      </w:pPr>
      <w:r w:rsidRPr="00804029">
        <w:rPr>
          <w:rFonts w:ascii="Times New Roman" w:eastAsia="Times New Roman" w:hAnsi="Times New Roman" w:cs="Times New Roman"/>
          <w:sz w:val="26"/>
          <w:szCs w:val="20"/>
          <w:lang w:eastAsia="hu-HU"/>
        </w:rPr>
        <w:t xml:space="preserve">A </w:t>
      </w:r>
      <w:r w:rsidRPr="00804029">
        <w:rPr>
          <w:rFonts w:ascii="Times New Roman" w:eastAsia="Times New Roman" w:hAnsi="Times New Roman" w:cs="Times New Roman"/>
          <w:b/>
          <w:sz w:val="26"/>
          <w:szCs w:val="20"/>
          <w:lang w:eastAsia="hu-HU"/>
        </w:rPr>
        <w:t xml:space="preserve">biztosítási adóból </w:t>
      </w:r>
      <w:r w:rsidRPr="00804029">
        <w:rPr>
          <w:rFonts w:ascii="Times New Roman" w:eastAsia="Times New Roman" w:hAnsi="Times New Roman" w:cs="Times New Roman"/>
          <w:sz w:val="26"/>
          <w:szCs w:val="20"/>
          <w:lang w:eastAsia="hu-HU"/>
        </w:rPr>
        <w:t>származó bevétel 2025</w:t>
      </w:r>
      <w:r w:rsidR="00FD426A">
        <w:rPr>
          <w:rFonts w:ascii="Times New Roman" w:eastAsia="Times New Roman" w:hAnsi="Times New Roman" w:cs="Times New Roman"/>
          <w:sz w:val="26"/>
          <w:szCs w:val="20"/>
          <w:lang w:eastAsia="hu-HU"/>
        </w:rPr>
        <w:t>-</w:t>
      </w:r>
      <w:r w:rsidRPr="00804029">
        <w:rPr>
          <w:rFonts w:ascii="Times New Roman" w:eastAsia="Times New Roman" w:hAnsi="Times New Roman" w:cs="Times New Roman"/>
          <w:sz w:val="26"/>
          <w:szCs w:val="20"/>
          <w:lang w:eastAsia="hu-HU"/>
        </w:rPr>
        <w:t>ben 224,2 milliárd forintot tett ki, amely 57,0 milliárd forinttal alacsonyabb az egy évvel korábbi bevételnél. A bevételek előző évhez viszonyított alacsonyabb teljesülését a 2023. évi biztosítási pótadó-kötelezettség 2024. januári és júliusi elszámolásaiból és a 2024. évi pótadóelőleg 2024</w:t>
      </w:r>
      <w:r w:rsidR="00FD426A">
        <w:rPr>
          <w:rFonts w:ascii="Times New Roman" w:eastAsia="Times New Roman" w:hAnsi="Times New Roman" w:cs="Times New Roman"/>
          <w:sz w:val="26"/>
          <w:szCs w:val="20"/>
          <w:lang w:eastAsia="hu-HU"/>
        </w:rPr>
        <w:t>.</w:t>
      </w:r>
      <w:r w:rsidRPr="00804029">
        <w:rPr>
          <w:rFonts w:ascii="Times New Roman" w:eastAsia="Times New Roman" w:hAnsi="Times New Roman" w:cs="Times New Roman"/>
          <w:sz w:val="26"/>
          <w:szCs w:val="20"/>
          <w:lang w:eastAsia="hu-HU"/>
        </w:rPr>
        <w:t xml:space="preserve"> május és</w:t>
      </w:r>
      <w:r w:rsidR="00E80093">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0"/>
          <w:lang w:eastAsia="hu-HU"/>
        </w:rPr>
        <w:t>november havi befizetéseiből fakadó bázisévi többletbevételek, valamint a 2025. évi pótadóelőleg 2025</w:t>
      </w:r>
      <w:r w:rsidR="00FD426A">
        <w:rPr>
          <w:rFonts w:ascii="Times New Roman" w:eastAsia="Times New Roman" w:hAnsi="Times New Roman" w:cs="Times New Roman"/>
          <w:sz w:val="26"/>
          <w:szCs w:val="20"/>
          <w:lang w:eastAsia="hu-HU"/>
        </w:rPr>
        <w:t>.</w:t>
      </w:r>
      <w:r w:rsidRPr="00804029">
        <w:rPr>
          <w:rFonts w:ascii="Times New Roman" w:eastAsia="Times New Roman" w:hAnsi="Times New Roman" w:cs="Times New Roman"/>
          <w:sz w:val="26"/>
          <w:szCs w:val="20"/>
          <w:lang w:eastAsia="hu-HU"/>
        </w:rPr>
        <w:t xml:space="preserve"> decemberi befizetése magyarázza.</w:t>
      </w:r>
    </w:p>
    <w:p w14:paraId="0684CA02" w14:textId="7F4C9C3C" w:rsidR="00C07E8E" w:rsidRPr="00F63F2A" w:rsidRDefault="00804029" w:rsidP="00C127DE">
      <w:pPr>
        <w:jc w:val="both"/>
        <w:rPr>
          <w:rFonts w:ascii="Times New Roman" w:eastAsia="Times New Roman" w:hAnsi="Times New Roman" w:cs="Times New Roman"/>
          <w:color w:val="000000" w:themeColor="text1"/>
          <w:sz w:val="26"/>
          <w:szCs w:val="26"/>
          <w:lang w:eastAsia="hu-HU"/>
        </w:rPr>
      </w:pPr>
      <w:r w:rsidRPr="00804029">
        <w:rPr>
          <w:rFonts w:ascii="Times New Roman" w:eastAsia="Times New Roman" w:hAnsi="Times New Roman" w:cs="Times New Roman"/>
          <w:color w:val="000000"/>
          <w:sz w:val="26"/>
          <w:szCs w:val="20"/>
          <w:lang w:eastAsia="hu-HU"/>
        </w:rPr>
        <w:t xml:space="preserve">A </w:t>
      </w:r>
      <w:r w:rsidRPr="00804029">
        <w:rPr>
          <w:rFonts w:ascii="Times New Roman" w:eastAsia="Times New Roman" w:hAnsi="Times New Roman" w:cs="Times New Roman"/>
          <w:b/>
          <w:bCs/>
          <w:color w:val="000000"/>
          <w:sz w:val="26"/>
          <w:szCs w:val="20"/>
          <w:lang w:eastAsia="hu-HU"/>
        </w:rPr>
        <w:t>személyi jövedelemadó</w:t>
      </w:r>
      <w:r w:rsidRPr="00804029">
        <w:rPr>
          <w:rFonts w:ascii="Times New Roman" w:eastAsia="Times New Roman" w:hAnsi="Times New Roman" w:cs="Times New Roman"/>
          <w:color w:val="000000"/>
          <w:sz w:val="26"/>
          <w:szCs w:val="20"/>
          <w:lang w:eastAsia="hu-HU"/>
        </w:rPr>
        <w:t xml:space="preserve"> bevétele 2025</w:t>
      </w:r>
      <w:r w:rsidR="00FD426A">
        <w:rPr>
          <w:rFonts w:ascii="Times New Roman" w:eastAsia="Times New Roman" w:hAnsi="Times New Roman" w:cs="Times New Roman"/>
          <w:color w:val="000000"/>
          <w:sz w:val="26"/>
          <w:szCs w:val="20"/>
          <w:lang w:eastAsia="hu-HU"/>
        </w:rPr>
        <w:t>-</w:t>
      </w:r>
      <w:r w:rsidRPr="00804029">
        <w:rPr>
          <w:rFonts w:ascii="Times New Roman" w:eastAsia="Times New Roman" w:hAnsi="Times New Roman" w:cs="Times New Roman"/>
          <w:color w:val="000000"/>
          <w:sz w:val="26"/>
          <w:szCs w:val="20"/>
          <w:lang w:eastAsia="hu-HU"/>
        </w:rPr>
        <w:t>ben 4841</w:t>
      </w:r>
      <w:r w:rsidRPr="00804029">
        <w:rPr>
          <w:rFonts w:ascii="Times New Roman" w:eastAsia="Times New Roman" w:hAnsi="Times New Roman" w:cs="Times New Roman"/>
          <w:sz w:val="26"/>
          <w:szCs w:val="20"/>
          <w:lang w:eastAsia="hu-HU"/>
        </w:rPr>
        <w:t>,6 </w:t>
      </w:r>
      <w:r w:rsidRPr="00804029">
        <w:rPr>
          <w:rFonts w:ascii="Times New Roman" w:eastAsia="Times New Roman" w:hAnsi="Times New Roman" w:cs="Times New Roman"/>
          <w:color w:val="000000"/>
          <w:sz w:val="26"/>
          <w:szCs w:val="20"/>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color w:val="000000"/>
          <w:sz w:val="26"/>
          <w:szCs w:val="20"/>
          <w:lang w:eastAsia="hu-HU"/>
        </w:rPr>
        <w:t>forint volt, amely 338,1</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color w:val="000000"/>
          <w:sz w:val="26"/>
          <w:szCs w:val="20"/>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color w:val="000000"/>
          <w:sz w:val="26"/>
          <w:szCs w:val="20"/>
          <w:lang w:eastAsia="hu-HU"/>
        </w:rPr>
        <w:t>forinttal magasabb az egy évvel korábbi összegnél. Ennek oka a bértömeg növekedése.</w:t>
      </w:r>
    </w:p>
    <w:p w14:paraId="4AD2F5D6" w14:textId="3FECE57E" w:rsidR="00085C37" w:rsidRPr="005861AE" w:rsidRDefault="7A1FFE35" w:rsidP="7A1FFE35">
      <w:pPr>
        <w:spacing w:before="240"/>
        <w:jc w:val="center"/>
        <w:rPr>
          <w:rFonts w:ascii="Times New Roman" w:hAnsi="Times New Roman" w:cs="Times New Roman"/>
          <w:b/>
          <w:bCs/>
        </w:rPr>
      </w:pPr>
      <w:r w:rsidRPr="7A1FFE35">
        <w:rPr>
          <w:rFonts w:ascii="Times New Roman" w:hAnsi="Times New Roman" w:cs="Times New Roman"/>
          <w:b/>
          <w:bCs/>
        </w:rPr>
        <w:t>Személyi jövedelemadó bevétel alakulása (milliárd forint)</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9"/>
        <w:gridCol w:w="1645"/>
        <w:gridCol w:w="1701"/>
        <w:gridCol w:w="992"/>
        <w:gridCol w:w="992"/>
      </w:tblGrid>
      <w:tr w:rsidR="00804029" w:rsidRPr="00804029" w14:paraId="4EA25274" w14:textId="77777777" w:rsidTr="00735480">
        <w:trPr>
          <w:trHeight w:val="283"/>
          <w:jc w:val="center"/>
        </w:trPr>
        <w:tc>
          <w:tcPr>
            <w:tcW w:w="1469" w:type="dxa"/>
            <w:vMerge w:val="restart"/>
            <w:shd w:val="clear" w:color="auto" w:fill="BDD6EE" w:themeFill="accent1" w:themeFillTint="66"/>
            <w:noWrap/>
            <w:vAlign w:val="center"/>
            <w:hideMark/>
          </w:tcPr>
          <w:p w14:paraId="23E61EE6" w14:textId="77777777" w:rsidR="00804029" w:rsidRPr="00804029" w:rsidRDefault="00804029" w:rsidP="00804029">
            <w:pPr>
              <w:keepNext/>
              <w:keepLines/>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Megnevezés</w:t>
            </w:r>
          </w:p>
        </w:tc>
        <w:tc>
          <w:tcPr>
            <w:tcW w:w="1645" w:type="dxa"/>
            <w:vMerge w:val="restart"/>
            <w:shd w:val="clear" w:color="auto" w:fill="BDD6EE" w:themeFill="accent1" w:themeFillTint="66"/>
            <w:vAlign w:val="center"/>
            <w:hideMark/>
          </w:tcPr>
          <w:p w14:paraId="413C5ED8" w14:textId="440F61C1" w:rsidR="005B269A"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2024. évi</w:t>
            </w:r>
          </w:p>
          <w:p w14:paraId="4E3C11A1" w14:textId="716816B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tény</w:t>
            </w:r>
          </w:p>
        </w:tc>
        <w:tc>
          <w:tcPr>
            <w:tcW w:w="1701" w:type="dxa"/>
            <w:vMerge w:val="restart"/>
            <w:shd w:val="clear" w:color="auto" w:fill="BDD6EE" w:themeFill="accent1" w:themeFillTint="66"/>
            <w:vAlign w:val="center"/>
            <w:hideMark/>
          </w:tcPr>
          <w:p w14:paraId="717D308A" w14:textId="25CD8831"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2025.</w:t>
            </w:r>
            <w:r w:rsidR="0057753A">
              <w:rPr>
                <w:rFonts w:ascii="Times New Roman" w:eastAsia="Times New Roman" w:hAnsi="Times New Roman" w:cs="Times New Roman"/>
                <w:b/>
                <w:bCs/>
                <w:szCs w:val="20"/>
                <w:lang w:eastAsia="hu-HU"/>
              </w:rPr>
              <w:t xml:space="preserve"> évi</w:t>
            </w:r>
            <w:r w:rsidRPr="00804029">
              <w:rPr>
                <w:rFonts w:ascii="Times New Roman" w:eastAsia="Times New Roman" w:hAnsi="Times New Roman" w:cs="Times New Roman"/>
                <w:b/>
                <w:bCs/>
                <w:szCs w:val="20"/>
                <w:lang w:eastAsia="hu-HU"/>
              </w:rPr>
              <w:br/>
              <w:t>előzetes tény</w:t>
            </w:r>
          </w:p>
        </w:tc>
        <w:tc>
          <w:tcPr>
            <w:tcW w:w="1984" w:type="dxa"/>
            <w:gridSpan w:val="2"/>
            <w:shd w:val="clear" w:color="auto" w:fill="BDD6EE" w:themeFill="accent1" w:themeFillTint="66"/>
            <w:vAlign w:val="center"/>
            <w:hideMark/>
          </w:tcPr>
          <w:p w14:paraId="6ABC2347" w14:textId="77777777" w:rsidR="00804029" w:rsidRPr="00804029" w:rsidRDefault="00804029" w:rsidP="00804029">
            <w:pPr>
              <w:keepNext/>
              <w:keepLines/>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Eltérés</w:t>
            </w:r>
          </w:p>
        </w:tc>
      </w:tr>
      <w:tr w:rsidR="00804029" w:rsidRPr="00804029" w14:paraId="6EDA898A" w14:textId="77777777" w:rsidTr="00735480">
        <w:trPr>
          <w:trHeight w:val="283"/>
          <w:jc w:val="center"/>
        </w:trPr>
        <w:tc>
          <w:tcPr>
            <w:tcW w:w="1469" w:type="dxa"/>
            <w:vMerge/>
            <w:shd w:val="clear" w:color="auto" w:fill="BDD6EE" w:themeFill="accent1" w:themeFillTint="66"/>
            <w:noWrap/>
            <w:vAlign w:val="center"/>
          </w:tcPr>
          <w:p w14:paraId="4442090D" w14:textId="77777777" w:rsidR="00804029" w:rsidRPr="00804029" w:rsidRDefault="00804029" w:rsidP="00804029">
            <w:pPr>
              <w:keepNext/>
              <w:keepLines/>
              <w:spacing w:after="0" w:line="240" w:lineRule="auto"/>
              <w:jc w:val="center"/>
              <w:rPr>
                <w:rFonts w:ascii="Times New Roman" w:eastAsia="Times New Roman" w:hAnsi="Times New Roman" w:cs="Times New Roman"/>
                <w:b/>
                <w:bCs/>
                <w:szCs w:val="20"/>
                <w:lang w:eastAsia="hu-HU"/>
              </w:rPr>
            </w:pPr>
          </w:p>
        </w:tc>
        <w:tc>
          <w:tcPr>
            <w:tcW w:w="1645" w:type="dxa"/>
            <w:vMerge/>
            <w:shd w:val="clear" w:color="auto" w:fill="BDD6EE" w:themeFill="accent1" w:themeFillTint="66"/>
            <w:vAlign w:val="center"/>
          </w:tcPr>
          <w:p w14:paraId="34621A8E"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p>
        </w:tc>
        <w:tc>
          <w:tcPr>
            <w:tcW w:w="1701" w:type="dxa"/>
            <w:vMerge/>
            <w:shd w:val="clear" w:color="auto" w:fill="BDD6EE" w:themeFill="accent1" w:themeFillTint="66"/>
            <w:vAlign w:val="center"/>
          </w:tcPr>
          <w:p w14:paraId="32A18377" w14:textId="77777777" w:rsidR="00804029" w:rsidRPr="00804029" w:rsidRDefault="00804029" w:rsidP="00804029">
            <w:pPr>
              <w:spacing w:after="0" w:line="240" w:lineRule="auto"/>
              <w:jc w:val="center"/>
              <w:rPr>
                <w:rFonts w:ascii="Times New Roman" w:eastAsia="Times New Roman" w:hAnsi="Times New Roman" w:cs="Times New Roman"/>
                <w:b/>
                <w:bCs/>
                <w:szCs w:val="20"/>
                <w:lang w:eastAsia="hu-HU"/>
              </w:rPr>
            </w:pPr>
          </w:p>
        </w:tc>
        <w:tc>
          <w:tcPr>
            <w:tcW w:w="992" w:type="dxa"/>
            <w:shd w:val="clear" w:color="auto" w:fill="BDD6EE" w:themeFill="accent1" w:themeFillTint="66"/>
            <w:vAlign w:val="center"/>
          </w:tcPr>
          <w:p w14:paraId="793D49D0" w14:textId="77777777" w:rsidR="00804029" w:rsidRPr="00804029" w:rsidRDefault="00804029" w:rsidP="00804029">
            <w:pPr>
              <w:keepNext/>
              <w:keepLines/>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Mrd Ft</w:t>
            </w:r>
          </w:p>
        </w:tc>
        <w:tc>
          <w:tcPr>
            <w:tcW w:w="992" w:type="dxa"/>
            <w:shd w:val="clear" w:color="auto" w:fill="BDD6EE" w:themeFill="accent1" w:themeFillTint="66"/>
          </w:tcPr>
          <w:p w14:paraId="3F45ABBF" w14:textId="77777777" w:rsidR="00804029" w:rsidRPr="00804029" w:rsidRDefault="00804029" w:rsidP="00804029">
            <w:pPr>
              <w:keepNext/>
              <w:keepLines/>
              <w:spacing w:after="0" w:line="240" w:lineRule="auto"/>
              <w:jc w:val="center"/>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w:t>
            </w:r>
          </w:p>
        </w:tc>
      </w:tr>
      <w:tr w:rsidR="00804029" w:rsidRPr="00804029" w14:paraId="3A5E7652" w14:textId="77777777" w:rsidTr="00A54A10">
        <w:trPr>
          <w:trHeight w:val="340"/>
          <w:jc w:val="center"/>
        </w:trPr>
        <w:tc>
          <w:tcPr>
            <w:tcW w:w="1469" w:type="dxa"/>
            <w:noWrap/>
            <w:vAlign w:val="center"/>
            <w:hideMark/>
          </w:tcPr>
          <w:p w14:paraId="50DB5417" w14:textId="77777777" w:rsidR="00804029" w:rsidRPr="00804029" w:rsidRDefault="00804029" w:rsidP="00804029">
            <w:pPr>
              <w:keepNext/>
              <w:keepLines/>
              <w:spacing w:after="0" w:line="240" w:lineRule="auto"/>
              <w:jc w:val="both"/>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Befizetés</w:t>
            </w:r>
          </w:p>
        </w:tc>
        <w:tc>
          <w:tcPr>
            <w:tcW w:w="1645" w:type="dxa"/>
            <w:noWrap/>
            <w:vAlign w:val="center"/>
          </w:tcPr>
          <w:p w14:paraId="0935D1FF" w14:textId="77777777" w:rsidR="00804029" w:rsidRPr="00804029" w:rsidRDefault="00804029" w:rsidP="00804029">
            <w:pPr>
              <w:keepNext/>
              <w:keepLines/>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4 745,7</w:t>
            </w:r>
          </w:p>
        </w:tc>
        <w:tc>
          <w:tcPr>
            <w:tcW w:w="1701" w:type="dxa"/>
            <w:noWrap/>
            <w:vAlign w:val="center"/>
          </w:tcPr>
          <w:p w14:paraId="70C5DCBB" w14:textId="77777777" w:rsidR="00804029" w:rsidRPr="00804029" w:rsidRDefault="00804029" w:rsidP="00804029">
            <w:pPr>
              <w:keepNext/>
              <w:keepLines/>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5 103,5</w:t>
            </w:r>
          </w:p>
        </w:tc>
        <w:tc>
          <w:tcPr>
            <w:tcW w:w="992" w:type="dxa"/>
            <w:noWrap/>
            <w:vAlign w:val="center"/>
          </w:tcPr>
          <w:p w14:paraId="71B1DB81" w14:textId="77777777" w:rsidR="00804029" w:rsidRPr="00804029" w:rsidRDefault="00804029" w:rsidP="00804029">
            <w:pPr>
              <w:keepNext/>
              <w:keepLines/>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357,8</w:t>
            </w:r>
          </w:p>
        </w:tc>
        <w:tc>
          <w:tcPr>
            <w:tcW w:w="992" w:type="dxa"/>
            <w:vAlign w:val="center"/>
          </w:tcPr>
          <w:p w14:paraId="4F3EE184" w14:textId="77777777" w:rsidR="00804029" w:rsidRPr="00804029" w:rsidRDefault="00804029" w:rsidP="00804029">
            <w:pPr>
              <w:keepNext/>
              <w:keepLines/>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107,5</w:t>
            </w:r>
          </w:p>
        </w:tc>
      </w:tr>
      <w:tr w:rsidR="00804029" w:rsidRPr="00804029" w14:paraId="06F9EA93" w14:textId="77777777" w:rsidTr="00A54A10">
        <w:trPr>
          <w:trHeight w:val="340"/>
          <w:jc w:val="center"/>
        </w:trPr>
        <w:tc>
          <w:tcPr>
            <w:tcW w:w="1469" w:type="dxa"/>
            <w:noWrap/>
            <w:vAlign w:val="center"/>
            <w:hideMark/>
          </w:tcPr>
          <w:p w14:paraId="54EDFACF" w14:textId="77777777" w:rsidR="00804029" w:rsidRPr="00804029" w:rsidRDefault="00804029" w:rsidP="00804029">
            <w:pPr>
              <w:keepNext/>
              <w:keepLines/>
              <w:spacing w:after="0" w:line="240" w:lineRule="auto"/>
              <w:jc w:val="both"/>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Kiutalás</w:t>
            </w:r>
          </w:p>
        </w:tc>
        <w:tc>
          <w:tcPr>
            <w:tcW w:w="1645" w:type="dxa"/>
            <w:noWrap/>
            <w:vAlign w:val="center"/>
          </w:tcPr>
          <w:p w14:paraId="48BBBAEE" w14:textId="77777777" w:rsidR="00804029" w:rsidRPr="00804029" w:rsidRDefault="00804029" w:rsidP="00804029">
            <w:pPr>
              <w:keepNext/>
              <w:keepLines/>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242,2</w:t>
            </w:r>
          </w:p>
        </w:tc>
        <w:tc>
          <w:tcPr>
            <w:tcW w:w="1701" w:type="dxa"/>
            <w:noWrap/>
            <w:vAlign w:val="center"/>
          </w:tcPr>
          <w:p w14:paraId="64FF0D3B" w14:textId="77777777" w:rsidR="00804029" w:rsidRPr="00804029" w:rsidRDefault="00804029" w:rsidP="00804029">
            <w:pPr>
              <w:keepNext/>
              <w:keepLines/>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261,9</w:t>
            </w:r>
          </w:p>
        </w:tc>
        <w:tc>
          <w:tcPr>
            <w:tcW w:w="992" w:type="dxa"/>
            <w:noWrap/>
            <w:vAlign w:val="center"/>
          </w:tcPr>
          <w:p w14:paraId="27AB894B" w14:textId="77777777" w:rsidR="00804029" w:rsidRPr="00804029" w:rsidRDefault="00804029" w:rsidP="00804029">
            <w:pPr>
              <w:keepNext/>
              <w:keepLines/>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19,7</w:t>
            </w:r>
          </w:p>
        </w:tc>
        <w:tc>
          <w:tcPr>
            <w:tcW w:w="992" w:type="dxa"/>
            <w:vAlign w:val="center"/>
          </w:tcPr>
          <w:p w14:paraId="7ABEDB8F" w14:textId="77777777" w:rsidR="00804029" w:rsidRPr="00804029" w:rsidRDefault="00804029" w:rsidP="00804029">
            <w:pPr>
              <w:keepNext/>
              <w:keepLines/>
              <w:spacing w:after="0" w:line="240" w:lineRule="auto"/>
              <w:jc w:val="right"/>
              <w:rPr>
                <w:rFonts w:ascii="Times New Roman" w:eastAsia="Times New Roman" w:hAnsi="Times New Roman" w:cs="Times New Roman"/>
                <w:szCs w:val="20"/>
                <w:lang w:eastAsia="hu-HU"/>
              </w:rPr>
            </w:pPr>
            <w:r w:rsidRPr="00804029">
              <w:rPr>
                <w:rFonts w:ascii="Times New Roman" w:eastAsia="Times New Roman" w:hAnsi="Times New Roman" w:cs="Times New Roman"/>
                <w:szCs w:val="20"/>
                <w:lang w:eastAsia="hu-HU"/>
              </w:rPr>
              <w:t>108,1</w:t>
            </w:r>
          </w:p>
        </w:tc>
      </w:tr>
      <w:tr w:rsidR="00804029" w:rsidRPr="00804029" w14:paraId="1D7B8DA8" w14:textId="77777777" w:rsidTr="00A54A10">
        <w:trPr>
          <w:trHeight w:val="340"/>
          <w:jc w:val="center"/>
        </w:trPr>
        <w:tc>
          <w:tcPr>
            <w:tcW w:w="1469" w:type="dxa"/>
            <w:noWrap/>
            <w:vAlign w:val="center"/>
            <w:hideMark/>
          </w:tcPr>
          <w:p w14:paraId="3CA8B2FD" w14:textId="77777777" w:rsidR="00804029" w:rsidRPr="00804029" w:rsidRDefault="00804029" w:rsidP="00804029">
            <w:pPr>
              <w:widowControl w:val="0"/>
              <w:spacing w:after="0" w:line="240" w:lineRule="auto"/>
              <w:jc w:val="both"/>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Egyenleg</w:t>
            </w:r>
          </w:p>
        </w:tc>
        <w:tc>
          <w:tcPr>
            <w:tcW w:w="1645" w:type="dxa"/>
            <w:noWrap/>
            <w:vAlign w:val="center"/>
          </w:tcPr>
          <w:p w14:paraId="2EE7667C" w14:textId="77777777" w:rsidR="00804029" w:rsidRPr="00804029" w:rsidRDefault="00804029" w:rsidP="00804029">
            <w:pPr>
              <w:widowControl w:val="0"/>
              <w:spacing w:after="0" w:line="240" w:lineRule="auto"/>
              <w:jc w:val="right"/>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4 503,5</w:t>
            </w:r>
          </w:p>
        </w:tc>
        <w:tc>
          <w:tcPr>
            <w:tcW w:w="1701" w:type="dxa"/>
            <w:noWrap/>
            <w:vAlign w:val="center"/>
          </w:tcPr>
          <w:p w14:paraId="7E535CF7" w14:textId="77777777" w:rsidR="00804029" w:rsidRPr="00804029" w:rsidRDefault="00804029" w:rsidP="00804029">
            <w:pPr>
              <w:widowControl w:val="0"/>
              <w:spacing w:after="0" w:line="240" w:lineRule="auto"/>
              <w:jc w:val="right"/>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4 841,6</w:t>
            </w:r>
          </w:p>
        </w:tc>
        <w:tc>
          <w:tcPr>
            <w:tcW w:w="992" w:type="dxa"/>
            <w:noWrap/>
            <w:vAlign w:val="center"/>
          </w:tcPr>
          <w:p w14:paraId="5F22593A" w14:textId="77777777" w:rsidR="00804029" w:rsidRPr="00804029" w:rsidRDefault="00804029" w:rsidP="00804029">
            <w:pPr>
              <w:widowControl w:val="0"/>
              <w:spacing w:after="0" w:line="240" w:lineRule="auto"/>
              <w:jc w:val="right"/>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338,1</w:t>
            </w:r>
          </w:p>
        </w:tc>
        <w:tc>
          <w:tcPr>
            <w:tcW w:w="992" w:type="dxa"/>
            <w:vAlign w:val="center"/>
          </w:tcPr>
          <w:p w14:paraId="43C5FCAF" w14:textId="77777777" w:rsidR="00804029" w:rsidRPr="00804029" w:rsidRDefault="00804029" w:rsidP="00804029">
            <w:pPr>
              <w:widowControl w:val="0"/>
              <w:spacing w:after="0" w:line="240" w:lineRule="auto"/>
              <w:jc w:val="right"/>
              <w:rPr>
                <w:rFonts w:ascii="Times New Roman" w:eastAsia="Times New Roman" w:hAnsi="Times New Roman" w:cs="Times New Roman"/>
                <w:b/>
                <w:bCs/>
                <w:szCs w:val="20"/>
                <w:lang w:eastAsia="hu-HU"/>
              </w:rPr>
            </w:pPr>
            <w:r w:rsidRPr="00804029">
              <w:rPr>
                <w:rFonts w:ascii="Times New Roman" w:eastAsia="Times New Roman" w:hAnsi="Times New Roman" w:cs="Times New Roman"/>
                <w:b/>
                <w:bCs/>
                <w:szCs w:val="20"/>
                <w:lang w:eastAsia="hu-HU"/>
              </w:rPr>
              <w:t>107,5</w:t>
            </w:r>
          </w:p>
        </w:tc>
      </w:tr>
    </w:tbl>
    <w:p w14:paraId="54234F12" w14:textId="41575367" w:rsidR="123EFD2F" w:rsidRPr="00381A54" w:rsidRDefault="7A1FFE35" w:rsidP="7A1FFE35">
      <w:pPr>
        <w:spacing w:before="240"/>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 </w:t>
      </w:r>
      <w:r w:rsidRPr="7A1FFE35">
        <w:rPr>
          <w:rFonts w:ascii="Times New Roman" w:eastAsia="Times New Roman" w:hAnsi="Times New Roman" w:cs="Times New Roman"/>
          <w:b/>
          <w:bCs/>
          <w:sz w:val="26"/>
          <w:szCs w:val="26"/>
        </w:rPr>
        <w:t>Központi Maradványelszámolási Alapba</w:t>
      </w:r>
      <w:r w:rsidRPr="7A1FFE35">
        <w:rPr>
          <w:rFonts w:ascii="Times New Roman" w:eastAsia="Times New Roman" w:hAnsi="Times New Roman" w:cs="Times New Roman"/>
          <w:sz w:val="26"/>
          <w:szCs w:val="26"/>
        </w:rPr>
        <w:t xml:space="preserve"> </w:t>
      </w:r>
      <w:r w:rsidRPr="7A1FFE35">
        <w:rPr>
          <w:rFonts w:ascii="Times New Roman" w:eastAsia="Times New Roman" w:hAnsi="Times New Roman" w:cs="Times New Roman"/>
          <w:b/>
          <w:bCs/>
          <w:sz w:val="26"/>
          <w:szCs w:val="26"/>
        </w:rPr>
        <w:t>történő befizetések</w:t>
      </w:r>
      <w:r w:rsidRPr="7A1FFE35">
        <w:rPr>
          <w:rFonts w:ascii="Times New Roman" w:eastAsia="Times New Roman" w:hAnsi="Times New Roman" w:cs="Times New Roman"/>
          <w:sz w:val="26"/>
          <w:szCs w:val="26"/>
        </w:rPr>
        <w:t xml:space="preserve"> mérlegsorra a</w:t>
      </w:r>
      <w:r w:rsidR="00FD426A">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2025.</w:t>
      </w:r>
      <w:r w:rsidR="00FD426A">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évben 432,6 milliárd forint maradvány került befizetésre, szemben az előző év azonos időszakában befolyt 169,9 milliárd forintos összeggel.</w:t>
      </w:r>
    </w:p>
    <w:p w14:paraId="25C427CE" w14:textId="679CF852" w:rsidR="029C2633" w:rsidRPr="00381A54" w:rsidRDefault="7A1FFE35" w:rsidP="7A1FFE35">
      <w:pPr>
        <w:jc w:val="both"/>
        <w:rPr>
          <w:rFonts w:ascii="Times New Roman" w:eastAsia="Times New Roman" w:hAnsi="Times New Roman" w:cs="Times New Roman"/>
          <w:b/>
          <w:bCs/>
          <w:sz w:val="26"/>
          <w:szCs w:val="26"/>
        </w:rPr>
      </w:pPr>
      <w:r w:rsidRPr="7A1FFE35">
        <w:rPr>
          <w:rFonts w:ascii="Times New Roman" w:eastAsia="Times New Roman" w:hAnsi="Times New Roman" w:cs="Times New Roman"/>
          <w:sz w:val="26"/>
          <w:szCs w:val="26"/>
        </w:rPr>
        <w:t xml:space="preserve">Az </w:t>
      </w:r>
      <w:r w:rsidRPr="7A1FFE35">
        <w:rPr>
          <w:rFonts w:ascii="Times New Roman" w:eastAsia="Times New Roman" w:hAnsi="Times New Roman" w:cs="Times New Roman"/>
          <w:b/>
          <w:bCs/>
          <w:sz w:val="26"/>
          <w:szCs w:val="26"/>
        </w:rPr>
        <w:t xml:space="preserve">állami vagyonnal kapcsolatos befizetések </w:t>
      </w:r>
      <w:r w:rsidRPr="7A1FFE35">
        <w:rPr>
          <w:rFonts w:ascii="Times New Roman" w:eastAsia="Times New Roman" w:hAnsi="Times New Roman" w:cs="Times New Roman"/>
          <w:sz w:val="26"/>
          <w:szCs w:val="26"/>
        </w:rPr>
        <w:t>2025</w:t>
      </w:r>
      <w:r w:rsidR="00D00FFE">
        <w:rPr>
          <w:rFonts w:ascii="Times New Roman" w:eastAsia="Times New Roman" w:hAnsi="Times New Roman" w:cs="Times New Roman"/>
          <w:sz w:val="26"/>
          <w:szCs w:val="26"/>
        </w:rPr>
        <w:t xml:space="preserve">. évi </w:t>
      </w:r>
      <w:r w:rsidRPr="7A1FFE35">
        <w:rPr>
          <w:rFonts w:ascii="Times New Roman" w:eastAsia="Times New Roman" w:hAnsi="Times New Roman" w:cs="Times New Roman"/>
          <w:sz w:val="26"/>
          <w:szCs w:val="26"/>
        </w:rPr>
        <w:t>összege 924,7 milliárd forint, amelynek meghatározó tétele az osztalékbefizetés volt.</w:t>
      </w:r>
      <w:r w:rsidRPr="7A1FFE35">
        <w:rPr>
          <w:rFonts w:ascii="Times New Roman" w:eastAsia="Times New Roman" w:hAnsi="Times New Roman" w:cs="Times New Roman"/>
          <w:b/>
          <w:bCs/>
          <w:sz w:val="26"/>
          <w:szCs w:val="26"/>
        </w:rPr>
        <w:t xml:space="preserve"> </w:t>
      </w:r>
    </w:p>
    <w:p w14:paraId="0D0F2783" w14:textId="1F348EC9" w:rsidR="009D55B4" w:rsidRPr="00377D59" w:rsidRDefault="00A25365" w:rsidP="009D55B4">
      <w:pPr>
        <w:jc w:val="center"/>
        <w:rPr>
          <w:rFonts w:ascii="Times New Roman" w:eastAsia="Times New Roman" w:hAnsi="Times New Roman" w:cs="Times New Roman"/>
          <w:sz w:val="26"/>
          <w:szCs w:val="26"/>
        </w:rPr>
      </w:pPr>
      <w:r>
        <w:rPr>
          <w:noProof/>
        </w:rPr>
        <w:drawing>
          <wp:inline distT="0" distB="0" distL="0" distR="0" wp14:anchorId="3E56692C" wp14:editId="581BD391">
            <wp:extent cx="5057511" cy="3096678"/>
            <wp:effectExtent l="0" t="0" r="0" b="8890"/>
            <wp:docPr id="988987785"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87785" name="Kép 1" descr="A képen szöveg, képernyőkép, sor, Diagram látható&#10;&#10;Előfordulhat, hogy a mesterséges intelligencia által létrehozott tartalom helytelen."/>
                    <pic:cNvPicPr/>
                  </pic:nvPicPr>
                  <pic:blipFill>
                    <a:blip r:embed="rId16"/>
                    <a:stretch>
                      <a:fillRect/>
                    </a:stretch>
                  </pic:blipFill>
                  <pic:spPr>
                    <a:xfrm>
                      <a:off x="0" y="0"/>
                      <a:ext cx="5075464" cy="3107670"/>
                    </a:xfrm>
                    <a:prstGeom prst="rect">
                      <a:avLst/>
                    </a:prstGeom>
                  </pic:spPr>
                </pic:pic>
              </a:graphicData>
            </a:graphic>
          </wp:inline>
        </w:drawing>
      </w:r>
    </w:p>
    <w:p w14:paraId="23623F4E" w14:textId="1D8D4252" w:rsidR="5B67C7D7" w:rsidRPr="00920F4D" w:rsidRDefault="7A1FFE35" w:rsidP="003F15D4">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lastRenderedPageBreak/>
        <w:t xml:space="preserve">A költségvetés XLV. </w:t>
      </w:r>
      <w:r w:rsidRPr="7A1FFE35">
        <w:rPr>
          <w:rFonts w:ascii="Times New Roman" w:eastAsia="Times New Roman" w:hAnsi="Times New Roman" w:cs="Times New Roman"/>
          <w:b/>
          <w:bCs/>
          <w:sz w:val="26"/>
          <w:szCs w:val="26"/>
        </w:rPr>
        <w:t>Állami beruházások</w:t>
      </w:r>
      <w:r w:rsidRPr="7A1FFE35">
        <w:rPr>
          <w:rFonts w:ascii="Times New Roman" w:eastAsia="Times New Roman" w:hAnsi="Times New Roman" w:cs="Times New Roman"/>
          <w:sz w:val="26"/>
          <w:szCs w:val="26"/>
        </w:rPr>
        <w:t xml:space="preserve"> fejezetének bevételei 2025. december végéig 215,1 milliárd forintot tettek ki.</w:t>
      </w:r>
    </w:p>
    <w:p w14:paraId="4BE4CA6A" w14:textId="7EF78DD2" w:rsidR="39728167" w:rsidRPr="00377D59" w:rsidRDefault="7A1FFE35" w:rsidP="003F15D4">
      <w:pPr>
        <w:jc w:val="both"/>
        <w:rPr>
          <w:rFonts w:ascii="Times New Roman" w:hAnsi="Times New Roman" w:cs="Times New Roman"/>
        </w:rPr>
      </w:pPr>
      <w:r w:rsidRPr="7A1FFE35">
        <w:rPr>
          <w:rFonts w:ascii="Times New Roman" w:eastAsia="Times New Roman" w:hAnsi="Times New Roman" w:cs="Times New Roman"/>
          <w:sz w:val="26"/>
          <w:szCs w:val="26"/>
        </w:rPr>
        <w:t xml:space="preserve">Az uniós bevételek főszabály szerint a XLII. A költségvetés közvetlen bevételei és kiadásai fejezetbe érkeznek, ezek kimutatására szolgálnak az </w:t>
      </w:r>
      <w:r w:rsidRPr="7A1FFE35">
        <w:rPr>
          <w:rFonts w:ascii="Times New Roman" w:eastAsia="Times New Roman" w:hAnsi="Times New Roman" w:cs="Times New Roman"/>
          <w:b/>
          <w:bCs/>
          <w:sz w:val="26"/>
          <w:szCs w:val="26"/>
        </w:rPr>
        <w:t>Uniós programok bevételei</w:t>
      </w:r>
      <w:r w:rsidRPr="7A1FFE35">
        <w:rPr>
          <w:rFonts w:ascii="Times New Roman" w:eastAsia="Times New Roman" w:hAnsi="Times New Roman" w:cs="Times New Roman"/>
          <w:sz w:val="26"/>
          <w:szCs w:val="26"/>
        </w:rPr>
        <w:t xml:space="preserve">, valamint az </w:t>
      </w:r>
      <w:r w:rsidRPr="7A1FFE35">
        <w:rPr>
          <w:rFonts w:ascii="Times New Roman" w:eastAsia="Times New Roman" w:hAnsi="Times New Roman" w:cs="Times New Roman"/>
          <w:b/>
          <w:bCs/>
          <w:sz w:val="26"/>
          <w:szCs w:val="26"/>
        </w:rPr>
        <w:t>Egyéb uniós bevételek</w:t>
      </w:r>
      <w:r w:rsidRPr="7A1FFE35">
        <w:rPr>
          <w:rFonts w:ascii="Times New Roman" w:eastAsia="Times New Roman" w:hAnsi="Times New Roman" w:cs="Times New Roman"/>
          <w:sz w:val="26"/>
          <w:szCs w:val="26"/>
        </w:rPr>
        <w:t xml:space="preserve"> mérlegsorok.</w:t>
      </w:r>
    </w:p>
    <w:p w14:paraId="3C3A66C8" w14:textId="692F6560" w:rsidR="74B9DF17" w:rsidRDefault="7A1FFE35" w:rsidP="003F15D4">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Az </w:t>
      </w:r>
      <w:r w:rsidRPr="7A1FFE35">
        <w:rPr>
          <w:rFonts w:ascii="Times New Roman" w:eastAsia="Times New Roman" w:hAnsi="Times New Roman" w:cs="Times New Roman"/>
          <w:b/>
          <w:bCs/>
          <w:sz w:val="26"/>
          <w:szCs w:val="26"/>
        </w:rPr>
        <w:t>Uniós programok bevételei</w:t>
      </w:r>
      <w:r w:rsidRPr="7A1FFE35">
        <w:rPr>
          <w:rFonts w:ascii="Times New Roman" w:eastAsia="Times New Roman" w:hAnsi="Times New Roman" w:cs="Times New Roman"/>
          <w:sz w:val="26"/>
          <w:szCs w:val="26"/>
        </w:rPr>
        <w:t xml:space="preserve"> mérlegsoron </w:t>
      </w:r>
      <w:r w:rsidR="00D00FFE">
        <w:rPr>
          <w:rFonts w:ascii="Times New Roman" w:eastAsia="Times New Roman" w:hAnsi="Times New Roman" w:cs="Times New Roman"/>
          <w:sz w:val="26"/>
          <w:szCs w:val="26"/>
        </w:rPr>
        <w:t xml:space="preserve">a </w:t>
      </w:r>
      <w:r w:rsidRPr="7A1FFE35">
        <w:rPr>
          <w:rFonts w:ascii="Times New Roman" w:eastAsia="Times New Roman" w:hAnsi="Times New Roman" w:cs="Times New Roman"/>
          <w:sz w:val="26"/>
          <w:szCs w:val="26"/>
        </w:rPr>
        <w:t xml:space="preserve">2025. </w:t>
      </w:r>
      <w:r w:rsidR="00D00FFE">
        <w:rPr>
          <w:rFonts w:ascii="Times New Roman" w:eastAsia="Times New Roman" w:hAnsi="Times New Roman" w:cs="Times New Roman"/>
          <w:sz w:val="26"/>
          <w:szCs w:val="26"/>
        </w:rPr>
        <w:t>évben</w:t>
      </w:r>
      <w:r w:rsidRPr="7A1FFE35">
        <w:rPr>
          <w:rFonts w:ascii="Times New Roman" w:eastAsia="Times New Roman" w:hAnsi="Times New Roman" w:cs="Times New Roman"/>
          <w:sz w:val="26"/>
          <w:szCs w:val="26"/>
        </w:rPr>
        <w:t xml:space="preserve"> 816,5 milliárd forint bevétel keletkezett. Ez az összeg a törvényi előirányzat (2235,9 milliárd forint) 36,5%-át teszi ki. A teljesült bevételből 726,2</w:t>
      </w:r>
      <w:r w:rsidR="009D6E6F">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milliárd</w:t>
      </w:r>
      <w:r w:rsidR="009D6E6F">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 xml:space="preserve">forint </w:t>
      </w:r>
      <w:proofErr w:type="gramStart"/>
      <w:r w:rsidRPr="7A1FFE35">
        <w:rPr>
          <w:rFonts w:ascii="Times New Roman" w:eastAsia="Times New Roman" w:hAnsi="Times New Roman" w:cs="Times New Roman"/>
          <w:sz w:val="26"/>
          <w:szCs w:val="26"/>
        </w:rPr>
        <w:t>az uniós</w:t>
      </w:r>
      <w:r w:rsidR="00996332">
        <w:rPr>
          <w:rFonts w:ascii="Times New Roman" w:eastAsia="Times New Roman" w:hAnsi="Times New Roman" w:cs="Times New Roman"/>
          <w:sz w:val="26"/>
          <w:szCs w:val="26"/>
        </w:rPr>
        <w:t>,</w:t>
      </w:r>
      <w:proofErr w:type="gramEnd"/>
      <w:r w:rsidRPr="7A1FFE35">
        <w:rPr>
          <w:rFonts w:ascii="Times New Roman" w:eastAsia="Times New Roman" w:hAnsi="Times New Roman" w:cs="Times New Roman"/>
          <w:sz w:val="26"/>
          <w:szCs w:val="26"/>
        </w:rPr>
        <w:t xml:space="preserve"> és 90,3</w:t>
      </w:r>
      <w:r w:rsidR="009D6E6F">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milliárd</w:t>
      </w:r>
      <w:r w:rsidR="009D6E6F">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forint az egyéb bevételekhez tartozik.</w:t>
      </w:r>
    </w:p>
    <w:p w14:paraId="040E2327" w14:textId="7106106D" w:rsidR="74B9DF17" w:rsidRPr="00FE12D5" w:rsidRDefault="7A1FFE35" w:rsidP="003F15D4">
      <w:pPr>
        <w:jc w:val="both"/>
        <w:rPr>
          <w:rFonts w:ascii="Times New Roman" w:hAnsi="Times New Roman" w:cs="Times New Roman"/>
        </w:rPr>
      </w:pPr>
      <w:r w:rsidRPr="7A1FFE35">
        <w:rPr>
          <w:rFonts w:ascii="Times New Roman" w:eastAsia="Times New Roman" w:hAnsi="Times New Roman" w:cs="Times New Roman"/>
          <w:sz w:val="26"/>
          <w:szCs w:val="26"/>
        </w:rPr>
        <w:t xml:space="preserve">Az </w:t>
      </w:r>
      <w:r w:rsidRPr="7A1FFE35">
        <w:rPr>
          <w:rFonts w:ascii="Times New Roman" w:eastAsia="Times New Roman" w:hAnsi="Times New Roman" w:cs="Times New Roman"/>
          <w:b/>
          <w:bCs/>
          <w:sz w:val="26"/>
          <w:szCs w:val="26"/>
        </w:rPr>
        <w:t xml:space="preserve">Egyéb uniós bevételek </w:t>
      </w:r>
      <w:r w:rsidRPr="7A1FFE35">
        <w:rPr>
          <w:rFonts w:ascii="Times New Roman" w:eastAsia="Times New Roman" w:hAnsi="Times New Roman" w:cs="Times New Roman"/>
          <w:sz w:val="26"/>
          <w:szCs w:val="26"/>
        </w:rPr>
        <w:t>soron a vámbeszedési költség megtérítése jelenik meg, mely 38,6 milliárd forintot tett ki 2025. december végéig. Ez az összeg a törvényi előirányzat 121,9%-a</w:t>
      </w:r>
      <w:r w:rsidR="00D00FFE">
        <w:rPr>
          <w:rFonts w:ascii="Times New Roman" w:eastAsia="Times New Roman" w:hAnsi="Times New Roman" w:cs="Times New Roman"/>
          <w:sz w:val="26"/>
          <w:szCs w:val="26"/>
        </w:rPr>
        <w:t>,</w:t>
      </w:r>
      <w:r w:rsidRPr="7A1FFE35">
        <w:rPr>
          <w:rFonts w:ascii="Times New Roman" w:eastAsia="Times New Roman" w:hAnsi="Times New Roman" w:cs="Times New Roman"/>
          <w:sz w:val="26"/>
          <w:szCs w:val="26"/>
        </w:rPr>
        <w:t xml:space="preserve"> és 8,3</w:t>
      </w:r>
      <w:r w:rsidR="00D00FFE">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milliárd</w:t>
      </w:r>
      <w:r w:rsidR="00D00FFE">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 xml:space="preserve">forinttal haladja meg a 2024. </w:t>
      </w:r>
      <w:r w:rsidR="00D00FFE">
        <w:rPr>
          <w:rFonts w:ascii="Times New Roman" w:eastAsia="Times New Roman" w:hAnsi="Times New Roman" w:cs="Times New Roman"/>
          <w:sz w:val="26"/>
          <w:szCs w:val="26"/>
        </w:rPr>
        <w:t xml:space="preserve">év </w:t>
      </w:r>
      <w:r w:rsidRPr="7A1FFE35">
        <w:rPr>
          <w:rFonts w:ascii="Times New Roman" w:eastAsia="Times New Roman" w:hAnsi="Times New Roman" w:cs="Times New Roman"/>
          <w:sz w:val="26"/>
          <w:szCs w:val="26"/>
        </w:rPr>
        <w:t>azonos időszakában keletkezett bevételt.</w:t>
      </w:r>
    </w:p>
    <w:p w14:paraId="3F67B533" w14:textId="3FAD41FD" w:rsidR="00804029" w:rsidRPr="00804029" w:rsidRDefault="00804029" w:rsidP="003F15D4">
      <w:pPr>
        <w:jc w:val="both"/>
        <w:rPr>
          <w:rFonts w:ascii="Times New Roman" w:eastAsia="Calibri" w:hAnsi="Times New Roman" w:cs="Times New Roman"/>
          <w:sz w:val="26"/>
          <w:szCs w:val="26"/>
          <w:lang w:eastAsia="hu-HU"/>
        </w:rPr>
      </w:pPr>
      <w:r w:rsidRPr="00804029">
        <w:rPr>
          <w:rFonts w:ascii="Times New Roman" w:eastAsia="Calibri" w:hAnsi="Times New Roman" w:cs="Times New Roman"/>
          <w:sz w:val="26"/>
          <w:szCs w:val="26"/>
          <w:lang w:eastAsia="hu-HU"/>
        </w:rPr>
        <w:t>A befizetett társadalombiztosítási járulék 8,1%-át az állami adóhatóság a foglalkoztatási programokkal kapcsolatos elkülönített állami pénzalapnak utalja át. 2025</w:t>
      </w:r>
      <w:r w:rsidR="00996332">
        <w:rPr>
          <w:rFonts w:ascii="Times New Roman" w:eastAsia="Calibri" w:hAnsi="Times New Roman" w:cs="Times New Roman"/>
          <w:sz w:val="26"/>
          <w:szCs w:val="26"/>
          <w:lang w:eastAsia="hu-HU"/>
        </w:rPr>
        <w:t>-</w:t>
      </w:r>
      <w:r w:rsidRPr="00804029">
        <w:rPr>
          <w:rFonts w:ascii="Times New Roman" w:eastAsia="Calibri" w:hAnsi="Times New Roman" w:cs="Times New Roman"/>
          <w:sz w:val="26"/>
          <w:szCs w:val="26"/>
          <w:lang w:eastAsia="hu-HU"/>
        </w:rPr>
        <w:t>ben a</w:t>
      </w:r>
      <w:r w:rsidR="00996332">
        <w:rPr>
          <w:rFonts w:ascii="Times New Roman" w:eastAsia="Calibri" w:hAnsi="Times New Roman" w:cs="Times New Roman"/>
          <w:sz w:val="26"/>
          <w:szCs w:val="26"/>
          <w:lang w:eastAsia="hu-HU"/>
        </w:rPr>
        <w:t> </w:t>
      </w:r>
      <w:r w:rsidRPr="00804029">
        <w:rPr>
          <w:rFonts w:ascii="Times New Roman" w:eastAsia="Calibri" w:hAnsi="Times New Roman" w:cs="Times New Roman"/>
          <w:b/>
          <w:bCs/>
          <w:sz w:val="26"/>
          <w:szCs w:val="26"/>
          <w:lang w:eastAsia="hu-HU"/>
        </w:rPr>
        <w:t xml:space="preserve">társadalombiztosítási járulék </w:t>
      </w:r>
      <w:r w:rsidRPr="00804029">
        <w:rPr>
          <w:rFonts w:ascii="Times New Roman" w:eastAsia="Times New Roman" w:hAnsi="Times New Roman" w:cs="Times New Roman"/>
          <w:b/>
          <w:bCs/>
          <w:sz w:val="26"/>
          <w:szCs w:val="26"/>
          <w:lang w:eastAsia="hu-HU"/>
        </w:rPr>
        <w:t xml:space="preserve">Nemzeti Foglalkoztatási </w:t>
      </w:r>
      <w:r w:rsidRPr="00804029">
        <w:rPr>
          <w:rFonts w:ascii="Times New Roman" w:eastAsia="Calibri" w:hAnsi="Times New Roman" w:cs="Times New Roman"/>
          <w:b/>
          <w:bCs/>
          <w:sz w:val="26"/>
          <w:szCs w:val="26"/>
          <w:lang w:eastAsia="hu-HU"/>
        </w:rPr>
        <w:t xml:space="preserve">Alapot megillető része </w:t>
      </w:r>
      <w:r w:rsidRPr="00804029">
        <w:rPr>
          <w:rFonts w:ascii="Times New Roman" w:eastAsia="Calibri" w:hAnsi="Times New Roman" w:cs="Times New Roman"/>
          <w:bCs/>
          <w:sz w:val="26"/>
          <w:szCs w:val="26"/>
          <w:lang w:eastAsia="hu-HU"/>
        </w:rPr>
        <w:t>435,9</w:t>
      </w:r>
      <w:r w:rsidRPr="00804029">
        <w:rPr>
          <w:rFonts w:ascii="Times New Roman" w:eastAsia="Calibri" w:hAnsi="Times New Roman" w:cs="Times New Roman"/>
          <w:sz w:val="26"/>
          <w:szCs w:val="26"/>
          <w:lang w:eastAsia="hu-HU"/>
        </w:rPr>
        <w:t> milliárd</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forintban teljesült, amely az előző évben befolyt bevételt 35,2</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forinttal haladta meg. A bevételnövekedés oka a járulékköteles jövedelmek növekedése.</w:t>
      </w:r>
    </w:p>
    <w:p w14:paraId="089F31E2" w14:textId="3DBF1854" w:rsidR="00804029" w:rsidRPr="00804029" w:rsidRDefault="00804029" w:rsidP="003F15D4">
      <w:pPr>
        <w:jc w:val="both"/>
        <w:rPr>
          <w:rFonts w:ascii="Times New Roman" w:eastAsia="Times New Roman" w:hAnsi="Times New Roman" w:cs="Times New Roman"/>
          <w:sz w:val="26"/>
          <w:szCs w:val="26"/>
          <w:lang w:eastAsia="hu-HU"/>
        </w:rPr>
      </w:pPr>
      <w:r w:rsidRPr="00804029">
        <w:rPr>
          <w:rFonts w:ascii="Times New Roman" w:eastAsia="Times New Roman" w:hAnsi="Times New Roman" w:cs="Times New Roman"/>
          <w:sz w:val="26"/>
          <w:szCs w:val="26"/>
          <w:lang w:eastAsia="hu-HU"/>
        </w:rPr>
        <w:t>2025-ben a szociális hozzájárulási adó megfizetett összegének 86,96%-a a</w:t>
      </w:r>
      <w:r w:rsidR="00996332">
        <w:rPr>
          <w:rFonts w:ascii="Times New Roman" w:eastAsia="Times New Roman" w:hAnsi="Times New Roman" w:cs="Times New Roman"/>
          <w:sz w:val="26"/>
          <w:szCs w:val="26"/>
          <w:lang w:eastAsia="hu-HU"/>
        </w:rPr>
        <w:t> </w:t>
      </w:r>
      <w:r w:rsidRPr="00804029">
        <w:rPr>
          <w:rFonts w:ascii="Times New Roman" w:eastAsia="Times New Roman" w:hAnsi="Times New Roman" w:cs="Times New Roman"/>
          <w:sz w:val="26"/>
          <w:szCs w:val="26"/>
          <w:lang w:eastAsia="hu-HU"/>
        </w:rPr>
        <w:t xml:space="preserve">Nyugdíjbiztosítási Alapot illeti meg. A </w:t>
      </w:r>
      <w:r w:rsidRPr="00804029">
        <w:rPr>
          <w:rFonts w:ascii="Times New Roman" w:eastAsia="Times New Roman" w:hAnsi="Times New Roman" w:cs="Times New Roman"/>
          <w:b/>
          <w:bCs/>
          <w:sz w:val="26"/>
          <w:szCs w:val="26"/>
          <w:lang w:eastAsia="hu-HU"/>
        </w:rPr>
        <w:t xml:space="preserve">szociális hozzájárulási adó Nyugdíjbiztosítási Alapot megillető része </w:t>
      </w:r>
      <w:r w:rsidRPr="00804029">
        <w:rPr>
          <w:rFonts w:ascii="Times New Roman" w:eastAsia="Times New Roman" w:hAnsi="Times New Roman" w:cs="Times New Roman"/>
          <w:bCs/>
          <w:sz w:val="26"/>
          <w:szCs w:val="26"/>
          <w:lang w:eastAsia="hu-HU"/>
        </w:rPr>
        <w:t>2025</w:t>
      </w:r>
      <w:r w:rsidR="00996332">
        <w:rPr>
          <w:rFonts w:ascii="Times New Roman" w:eastAsia="Times New Roman" w:hAnsi="Times New Roman" w:cs="Times New Roman"/>
          <w:bCs/>
          <w:sz w:val="26"/>
          <w:szCs w:val="26"/>
          <w:lang w:eastAsia="hu-HU"/>
        </w:rPr>
        <w:t>-</w:t>
      </w:r>
      <w:r w:rsidRPr="00804029">
        <w:rPr>
          <w:rFonts w:ascii="Times New Roman" w:eastAsia="Times New Roman" w:hAnsi="Times New Roman" w:cs="Times New Roman"/>
          <w:bCs/>
          <w:sz w:val="26"/>
          <w:szCs w:val="26"/>
          <w:lang w:eastAsia="hu-HU"/>
        </w:rPr>
        <w:t xml:space="preserve">ben </w:t>
      </w:r>
      <w:r w:rsidRPr="00804029">
        <w:rPr>
          <w:rFonts w:ascii="Times New Roman" w:eastAsia="Times New Roman" w:hAnsi="Times New Roman" w:cs="Times New Roman"/>
          <w:sz w:val="26"/>
          <w:szCs w:val="26"/>
          <w:lang w:eastAsia="hu-HU"/>
        </w:rPr>
        <w:t>2904,1</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6"/>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6"/>
          <w:lang w:eastAsia="hu-HU"/>
        </w:rPr>
        <w:t>forintban teljesült, amely 199,5</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6"/>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6"/>
          <w:lang w:eastAsia="hu-HU"/>
        </w:rPr>
        <w:t>forinttal haladta meg az előző évben befolyt bevételt. A bevétel változása az adóköteles jövedelmek növekedésével és az alapok közötti megoszlási arány változásával magyarázható.</w:t>
      </w:r>
    </w:p>
    <w:p w14:paraId="198C88C5" w14:textId="050EBC56" w:rsidR="00804029" w:rsidRDefault="00804029" w:rsidP="003F15D4">
      <w:pPr>
        <w:jc w:val="both"/>
        <w:rPr>
          <w:rFonts w:ascii="Times New Roman" w:eastAsia="Calibri" w:hAnsi="Times New Roman" w:cs="Times New Roman"/>
          <w:sz w:val="26"/>
          <w:szCs w:val="26"/>
          <w:lang w:eastAsia="hu-HU"/>
        </w:rPr>
      </w:pPr>
      <w:r w:rsidRPr="00804029">
        <w:rPr>
          <w:rFonts w:ascii="Times New Roman" w:eastAsia="Times New Roman" w:hAnsi="Times New Roman" w:cs="Times New Roman"/>
          <w:sz w:val="26"/>
          <w:szCs w:val="26"/>
          <w:lang w:eastAsia="hu-HU"/>
        </w:rPr>
        <w:t xml:space="preserve">A befizetett társadalombiztosítási járulék 54%-át az állami adóhatóság a Nyugdíjbiztosítási Alapnak utalja át. </w:t>
      </w:r>
      <w:r w:rsidR="00E519BA">
        <w:rPr>
          <w:rFonts w:ascii="Times New Roman" w:eastAsia="Times New Roman" w:hAnsi="Times New Roman" w:cs="Times New Roman"/>
          <w:sz w:val="26"/>
          <w:szCs w:val="26"/>
          <w:lang w:eastAsia="hu-HU"/>
        </w:rPr>
        <w:t>2</w:t>
      </w:r>
      <w:r w:rsidRPr="00804029">
        <w:rPr>
          <w:rFonts w:ascii="Times New Roman" w:eastAsia="Times New Roman" w:hAnsi="Times New Roman" w:cs="Times New Roman"/>
          <w:sz w:val="26"/>
          <w:szCs w:val="26"/>
          <w:lang w:eastAsia="hu-HU"/>
        </w:rPr>
        <w:t>025</w:t>
      </w:r>
      <w:r w:rsidR="00E519BA">
        <w:rPr>
          <w:rFonts w:ascii="Times New Roman" w:eastAsia="Times New Roman" w:hAnsi="Times New Roman" w:cs="Times New Roman"/>
          <w:sz w:val="26"/>
          <w:szCs w:val="26"/>
          <w:lang w:eastAsia="hu-HU"/>
        </w:rPr>
        <w:t>-</w:t>
      </w:r>
      <w:r w:rsidRPr="00804029">
        <w:rPr>
          <w:rFonts w:ascii="Times New Roman" w:eastAsia="Times New Roman" w:hAnsi="Times New Roman" w:cs="Times New Roman"/>
          <w:sz w:val="26"/>
          <w:szCs w:val="26"/>
          <w:lang w:eastAsia="hu-HU"/>
        </w:rPr>
        <w:t xml:space="preserve">ben a </w:t>
      </w:r>
      <w:r w:rsidRPr="00804029">
        <w:rPr>
          <w:rFonts w:ascii="Times New Roman" w:eastAsia="Times New Roman" w:hAnsi="Times New Roman" w:cs="Times New Roman"/>
          <w:b/>
          <w:bCs/>
          <w:sz w:val="26"/>
          <w:szCs w:val="26"/>
          <w:lang w:eastAsia="hu-HU"/>
        </w:rPr>
        <w:t>társadalombiztosítási járulék Nyugdíjbiztosítási Alapot megillető része és nyugdíjjárulék</w:t>
      </w:r>
      <w:r w:rsidRPr="00804029">
        <w:rPr>
          <w:rFonts w:ascii="Times New Roman" w:eastAsia="Times New Roman" w:hAnsi="Times New Roman" w:cs="Times New Roman"/>
          <w:sz w:val="26"/>
          <w:szCs w:val="26"/>
          <w:lang w:eastAsia="hu-HU"/>
        </w:rPr>
        <w:t xml:space="preserve"> 2964,8</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6"/>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6"/>
          <w:lang w:eastAsia="hu-HU"/>
        </w:rPr>
        <w:t>forintban teljesült, amely az előző évben befolyt bevételt 235,7</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6"/>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Times New Roman" w:hAnsi="Times New Roman" w:cs="Times New Roman"/>
          <w:sz w:val="26"/>
          <w:szCs w:val="26"/>
          <w:lang w:eastAsia="hu-HU"/>
        </w:rPr>
        <w:t xml:space="preserve">forinttal haladta meg. </w:t>
      </w:r>
      <w:r w:rsidRPr="00804029">
        <w:rPr>
          <w:rFonts w:ascii="Times New Roman" w:eastAsia="Calibri" w:hAnsi="Times New Roman" w:cs="Times New Roman"/>
          <w:sz w:val="26"/>
          <w:szCs w:val="26"/>
          <w:lang w:eastAsia="hu-HU"/>
        </w:rPr>
        <w:t>A bevételnövekedés oka a</w:t>
      </w:r>
      <w:r w:rsidR="00531E11">
        <w:rPr>
          <w:rFonts w:ascii="Times New Roman" w:eastAsia="Calibri" w:hAnsi="Times New Roman" w:cs="Times New Roman"/>
          <w:sz w:val="26"/>
          <w:szCs w:val="26"/>
          <w:lang w:eastAsia="hu-HU"/>
        </w:rPr>
        <w:t> </w:t>
      </w:r>
      <w:r w:rsidRPr="00804029">
        <w:rPr>
          <w:rFonts w:ascii="Times New Roman" w:eastAsia="Calibri" w:hAnsi="Times New Roman" w:cs="Times New Roman"/>
          <w:sz w:val="26"/>
          <w:szCs w:val="26"/>
          <w:lang w:eastAsia="hu-HU"/>
        </w:rPr>
        <w:t>járulékköteles jövedelmek növekedése.</w:t>
      </w:r>
    </w:p>
    <w:p w14:paraId="6512C1A9" w14:textId="4B6FC2AF" w:rsidR="00462EDD" w:rsidRPr="00462EDD" w:rsidRDefault="7A1FFE35" w:rsidP="003F15D4">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 </w:t>
      </w:r>
      <w:r w:rsidRPr="7A1FFE35">
        <w:rPr>
          <w:rFonts w:ascii="Times New Roman" w:eastAsia="Times New Roman" w:hAnsi="Times New Roman" w:cs="Times New Roman"/>
          <w:b/>
          <w:bCs/>
          <w:sz w:val="26"/>
          <w:szCs w:val="26"/>
        </w:rPr>
        <w:t>Nyugdíjbiztosítási Alap</w:t>
      </w:r>
      <w:r w:rsidRPr="7A1FFE35">
        <w:rPr>
          <w:rFonts w:ascii="Times New Roman" w:eastAsia="Times New Roman" w:hAnsi="Times New Roman" w:cs="Times New Roman"/>
          <w:sz w:val="26"/>
          <w:szCs w:val="26"/>
        </w:rPr>
        <w:t xml:space="preserve"> 2025. évi költségvetése az ellátási kiadások támogatására 564,5 milliárd forint központi </w:t>
      </w:r>
      <w:r w:rsidRPr="7A1FFE35">
        <w:rPr>
          <w:rFonts w:ascii="Times New Roman" w:eastAsia="Times New Roman" w:hAnsi="Times New Roman" w:cs="Times New Roman"/>
          <w:b/>
          <w:bCs/>
          <w:sz w:val="26"/>
          <w:szCs w:val="26"/>
        </w:rPr>
        <w:t>költségvetési hozzájárulást</w:t>
      </w:r>
      <w:r w:rsidRPr="7A1FFE35">
        <w:rPr>
          <w:rFonts w:ascii="Times New Roman" w:eastAsia="Times New Roman" w:hAnsi="Times New Roman" w:cs="Times New Roman"/>
          <w:sz w:val="26"/>
          <w:szCs w:val="26"/>
        </w:rPr>
        <w:t xml:space="preserve"> tartalmaz.</w:t>
      </w:r>
    </w:p>
    <w:p w14:paraId="2CBF9A93" w14:textId="431426D7" w:rsidR="19667954" w:rsidRDefault="7A1FFE35" w:rsidP="003F15D4">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 Magyar Államkincstár az ellátási kiadások támogatására a Nyugdíjbiztosítási Alap részére 2025. december végéig 77,4 milliárd forint központi támogatást utalt át </w:t>
      </w:r>
      <w:r w:rsidRPr="7A1FFE35">
        <w:rPr>
          <w:rFonts w:ascii="Times New Roman" w:eastAsia="Times New Roman" w:hAnsi="Times New Roman" w:cs="Times New Roman"/>
          <w:b/>
          <w:bCs/>
          <w:sz w:val="26"/>
          <w:szCs w:val="26"/>
        </w:rPr>
        <w:t>pénzeszköz-átadás</w:t>
      </w:r>
      <w:r w:rsidRPr="7A1FFE35">
        <w:rPr>
          <w:rFonts w:ascii="Times New Roman" w:eastAsia="Times New Roman" w:hAnsi="Times New Roman" w:cs="Times New Roman"/>
          <w:sz w:val="26"/>
          <w:szCs w:val="26"/>
        </w:rPr>
        <w:t xml:space="preserve"> jogcímen, ami 15,5 milliárd forinttal magasabb az előző év azonos időszakában nyújtott támogatás összegénél. A pénzeszköz-átadás a Nyugdíjbiztosítási Alap költségvetési egyensúlyának biztosítását szolgálja.</w:t>
      </w:r>
    </w:p>
    <w:p w14:paraId="6BF2F156" w14:textId="4BC83F57" w:rsidR="00A76FE3" w:rsidRDefault="7A1FFE35" w:rsidP="003F15D4">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lastRenderedPageBreak/>
        <w:t xml:space="preserve">A </w:t>
      </w:r>
      <w:r w:rsidRPr="7A1FFE35">
        <w:rPr>
          <w:rFonts w:ascii="Times New Roman" w:eastAsia="Times New Roman" w:hAnsi="Times New Roman" w:cs="Times New Roman"/>
          <w:b/>
          <w:bCs/>
          <w:sz w:val="26"/>
          <w:szCs w:val="26"/>
        </w:rPr>
        <w:t>13. havi nyugdíj kifizetésének</w:t>
      </w:r>
      <w:r w:rsidRPr="7A1FFE35">
        <w:rPr>
          <w:rFonts w:ascii="Times New Roman" w:eastAsia="Times New Roman" w:hAnsi="Times New Roman" w:cs="Times New Roman"/>
          <w:sz w:val="26"/>
          <w:szCs w:val="26"/>
        </w:rPr>
        <w:t xml:space="preserve"> támogatására február hónapban 487,1 milliárd forint került átutalásra a Nyugdíjbiztosítási Alap részére, ami 38,1 milliárd forinttal haladja meg az előző év azonos időszakában ugyanezen a jogcímen nyújtott támogatás összegét.</w:t>
      </w:r>
    </w:p>
    <w:p w14:paraId="1E5039D7" w14:textId="18069A77" w:rsidR="475F3A1A" w:rsidRDefault="00A25365" w:rsidP="005861AE">
      <w:pPr>
        <w:jc w:val="center"/>
        <w:rPr>
          <w:rFonts w:ascii="Times New Roman" w:eastAsia="Times New Roman" w:hAnsi="Times New Roman" w:cs="Times New Roman"/>
          <w:sz w:val="26"/>
          <w:szCs w:val="26"/>
        </w:rPr>
      </w:pPr>
      <w:r>
        <w:rPr>
          <w:noProof/>
        </w:rPr>
        <w:drawing>
          <wp:inline distT="0" distB="0" distL="0" distR="0" wp14:anchorId="50608F76" wp14:editId="3D9AD00B">
            <wp:extent cx="5940425" cy="2573655"/>
            <wp:effectExtent l="0" t="0" r="3175" b="0"/>
            <wp:docPr id="2105713214" name="Kép 1" descr="A képen szöveg, diagram,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13214" name="Kép 1" descr="A képen szöveg, diagram, képernyőkép, kör látható&#10;&#10;Előfordulhat, hogy a mesterséges intelligencia által létrehozott tartalom helytelen."/>
                    <pic:cNvPicPr/>
                  </pic:nvPicPr>
                  <pic:blipFill>
                    <a:blip r:embed="rId17"/>
                    <a:stretch>
                      <a:fillRect/>
                    </a:stretch>
                  </pic:blipFill>
                  <pic:spPr>
                    <a:xfrm>
                      <a:off x="0" y="0"/>
                      <a:ext cx="5940425" cy="2573655"/>
                    </a:xfrm>
                    <a:prstGeom prst="rect">
                      <a:avLst/>
                    </a:prstGeom>
                  </pic:spPr>
                </pic:pic>
              </a:graphicData>
            </a:graphic>
          </wp:inline>
        </w:drawing>
      </w:r>
    </w:p>
    <w:p w14:paraId="5D0793D1" w14:textId="06F69DE0" w:rsidR="00804029" w:rsidRPr="00804029" w:rsidRDefault="00804029" w:rsidP="003F15D4">
      <w:pPr>
        <w:jc w:val="both"/>
        <w:rPr>
          <w:rFonts w:ascii="Times New Roman" w:eastAsia="Times New Roman" w:hAnsi="Times New Roman" w:cs="Times New Roman"/>
          <w:sz w:val="26"/>
          <w:szCs w:val="26"/>
          <w:lang w:eastAsia="hu-HU"/>
        </w:rPr>
      </w:pPr>
      <w:r w:rsidRPr="00804029">
        <w:rPr>
          <w:rFonts w:ascii="Times New Roman" w:eastAsia="Calibri" w:hAnsi="Times New Roman" w:cs="Times New Roman"/>
          <w:sz w:val="26"/>
          <w:szCs w:val="26"/>
          <w:lang w:eastAsia="hu-HU"/>
        </w:rPr>
        <w:t>2025-ben a szociális hozzájárulási adó megfizetett összegének 13,04%-a az</w:t>
      </w:r>
      <w:r w:rsidR="00531E11">
        <w:rPr>
          <w:rFonts w:ascii="Times New Roman" w:eastAsia="Calibri" w:hAnsi="Times New Roman" w:cs="Times New Roman"/>
          <w:sz w:val="26"/>
          <w:szCs w:val="26"/>
          <w:lang w:eastAsia="hu-HU"/>
        </w:rPr>
        <w:t> </w:t>
      </w:r>
      <w:r w:rsidRPr="00804029">
        <w:rPr>
          <w:rFonts w:ascii="Times New Roman" w:eastAsia="Calibri" w:hAnsi="Times New Roman" w:cs="Times New Roman"/>
          <w:sz w:val="26"/>
          <w:szCs w:val="26"/>
          <w:lang w:eastAsia="hu-HU"/>
        </w:rPr>
        <w:t xml:space="preserve">Egészségbiztosítási Alapot illeti meg. A 2025. évben a </w:t>
      </w:r>
      <w:r w:rsidRPr="00804029">
        <w:rPr>
          <w:rFonts w:ascii="Times New Roman" w:eastAsia="Calibri" w:hAnsi="Times New Roman" w:cs="Times New Roman"/>
          <w:b/>
          <w:bCs/>
          <w:sz w:val="26"/>
          <w:szCs w:val="26"/>
          <w:lang w:eastAsia="hu-HU"/>
        </w:rPr>
        <w:t>szociális hozzájárulási adó Egészségbiztosítási Alapot megillető része</w:t>
      </w:r>
      <w:r w:rsidRPr="00804029">
        <w:rPr>
          <w:rFonts w:ascii="Times New Roman" w:eastAsia="Calibri" w:hAnsi="Times New Roman" w:cs="Times New Roman"/>
          <w:sz w:val="26"/>
          <w:szCs w:val="26"/>
          <w:lang w:eastAsia="hu-HU"/>
        </w:rPr>
        <w:t xml:space="preserve"> 435,5</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forintban teljesült, amely 106,1</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 xml:space="preserve">forinttal </w:t>
      </w:r>
      <w:r w:rsidRPr="00804029">
        <w:rPr>
          <w:rFonts w:ascii="Times New Roman" w:eastAsia="Times New Roman" w:hAnsi="Times New Roman" w:cs="Times New Roman"/>
          <w:sz w:val="26"/>
          <w:szCs w:val="26"/>
          <w:lang w:eastAsia="hu-HU"/>
        </w:rPr>
        <w:t>haladta meg az előző évben befolyt bevételt</w:t>
      </w:r>
      <w:r w:rsidRPr="00804029">
        <w:rPr>
          <w:rFonts w:ascii="Times New Roman" w:eastAsia="Calibri" w:hAnsi="Times New Roman" w:cs="Times New Roman"/>
          <w:sz w:val="26"/>
          <w:szCs w:val="26"/>
          <w:lang w:eastAsia="hu-HU"/>
        </w:rPr>
        <w:t xml:space="preserve">. </w:t>
      </w:r>
      <w:r w:rsidRPr="00804029">
        <w:rPr>
          <w:rFonts w:ascii="Times New Roman" w:eastAsia="Times New Roman" w:hAnsi="Times New Roman" w:cs="Times New Roman"/>
          <w:sz w:val="26"/>
          <w:szCs w:val="26"/>
          <w:lang w:eastAsia="hu-HU"/>
        </w:rPr>
        <w:t>A bevétel változása az adóköteles jövedelmek növekedésével és az alapok közötti megoszlási arány változásának együttes hatásával magyarázható.</w:t>
      </w:r>
    </w:p>
    <w:p w14:paraId="7273BC31" w14:textId="14802206" w:rsidR="00804029" w:rsidRDefault="00804029" w:rsidP="003F15D4">
      <w:pPr>
        <w:jc w:val="both"/>
        <w:rPr>
          <w:rFonts w:ascii="Times New Roman" w:eastAsia="Calibri" w:hAnsi="Times New Roman" w:cs="Times New Roman"/>
          <w:sz w:val="26"/>
          <w:szCs w:val="26"/>
          <w:lang w:eastAsia="hu-HU"/>
        </w:rPr>
      </w:pPr>
      <w:r w:rsidRPr="00804029">
        <w:rPr>
          <w:rFonts w:ascii="Times New Roman" w:eastAsia="Calibri" w:hAnsi="Times New Roman" w:cs="Times New Roman"/>
          <w:sz w:val="26"/>
          <w:szCs w:val="26"/>
          <w:lang w:eastAsia="hu-HU"/>
        </w:rPr>
        <w:t>A befizetett társadalombiztosítási járulék 37,9%-át az állami adóhatóság az</w:t>
      </w:r>
      <w:r w:rsidR="00531E11">
        <w:rPr>
          <w:rFonts w:ascii="Times New Roman" w:eastAsia="Calibri" w:hAnsi="Times New Roman" w:cs="Times New Roman"/>
          <w:sz w:val="26"/>
          <w:szCs w:val="26"/>
          <w:lang w:eastAsia="hu-HU"/>
        </w:rPr>
        <w:t> </w:t>
      </w:r>
      <w:r w:rsidRPr="00804029">
        <w:rPr>
          <w:rFonts w:ascii="Times New Roman" w:eastAsia="Calibri" w:hAnsi="Times New Roman" w:cs="Times New Roman"/>
          <w:sz w:val="26"/>
          <w:szCs w:val="26"/>
          <w:lang w:eastAsia="hu-HU"/>
        </w:rPr>
        <w:t xml:space="preserve">Egészségbiztosítási Alapnak utalja át. A 2025. évben a </w:t>
      </w:r>
      <w:r w:rsidRPr="00804029">
        <w:rPr>
          <w:rFonts w:ascii="Times New Roman" w:eastAsia="Calibri" w:hAnsi="Times New Roman" w:cs="Times New Roman"/>
          <w:b/>
          <w:bCs/>
          <w:sz w:val="26"/>
          <w:szCs w:val="26"/>
          <w:lang w:eastAsia="hu-HU"/>
        </w:rPr>
        <w:t>társadalombiztosítási járulék Egészségbiztosítási Alapot megillető része és egészségbiztosítási járulék</w:t>
      </w:r>
      <w:r w:rsidRPr="00804029">
        <w:rPr>
          <w:rFonts w:ascii="Times New Roman" w:eastAsia="Calibri" w:hAnsi="Times New Roman" w:cs="Times New Roman"/>
          <w:sz w:val="26"/>
          <w:szCs w:val="26"/>
          <w:lang w:eastAsia="hu-HU"/>
        </w:rPr>
        <w:t xml:space="preserve"> 2021,5</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milliárd</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 xml:space="preserve">forintban teljesült, </w:t>
      </w:r>
      <w:r w:rsidRPr="00804029">
        <w:rPr>
          <w:rFonts w:ascii="Times New Roman" w:eastAsia="Times New Roman" w:hAnsi="Times New Roman" w:cs="Times New Roman"/>
          <w:sz w:val="26"/>
          <w:szCs w:val="26"/>
          <w:lang w:eastAsia="hu-HU"/>
        </w:rPr>
        <w:t>amely az előző évben befolyt bevételt</w:t>
      </w:r>
      <w:r w:rsidRPr="00804029">
        <w:rPr>
          <w:rFonts w:ascii="Times New Roman" w:eastAsia="Calibri" w:hAnsi="Times New Roman" w:cs="Times New Roman"/>
          <w:sz w:val="26"/>
          <w:szCs w:val="26"/>
          <w:lang w:eastAsia="hu-HU"/>
        </w:rPr>
        <w:t xml:space="preserve"> 161,0 milliárd</w:t>
      </w:r>
      <w:r w:rsidRPr="00804029">
        <w:rPr>
          <w:rFonts w:ascii="Times New Roman" w:eastAsia="Times New Roman" w:hAnsi="Times New Roman" w:cs="Times New Roman"/>
          <w:sz w:val="26"/>
          <w:szCs w:val="20"/>
          <w:lang w:eastAsia="hu-HU"/>
        </w:rPr>
        <w:t> </w:t>
      </w:r>
      <w:r w:rsidRPr="00804029">
        <w:rPr>
          <w:rFonts w:ascii="Times New Roman" w:eastAsia="Calibri" w:hAnsi="Times New Roman" w:cs="Times New Roman"/>
          <w:sz w:val="26"/>
          <w:szCs w:val="26"/>
          <w:lang w:eastAsia="hu-HU"/>
        </w:rPr>
        <w:t>forinttal haladta meg. A bevételnövekedés oka a járulékköteles jövedelmek növekedése.</w:t>
      </w:r>
    </w:p>
    <w:p w14:paraId="754C440E" w14:textId="6901DA40" w:rsidR="00B325C4" w:rsidRDefault="7A1FFE35" w:rsidP="003F15D4">
      <w:pPr>
        <w:jc w:val="both"/>
        <w:rPr>
          <w:rFonts w:ascii="Times New Roman" w:hAnsi="Times New Roman" w:cs="Times New Roman"/>
          <w:sz w:val="26"/>
          <w:szCs w:val="26"/>
        </w:rPr>
      </w:pPr>
      <w:r w:rsidRPr="7A1FFE35">
        <w:rPr>
          <w:rFonts w:ascii="Times New Roman" w:hAnsi="Times New Roman" w:cs="Times New Roman"/>
          <w:sz w:val="26"/>
          <w:szCs w:val="26"/>
        </w:rPr>
        <w:t xml:space="preserve">Az </w:t>
      </w:r>
      <w:r w:rsidRPr="7A1FFE35">
        <w:rPr>
          <w:rFonts w:ascii="Times New Roman" w:hAnsi="Times New Roman" w:cs="Times New Roman"/>
          <w:b/>
          <w:bCs/>
          <w:sz w:val="26"/>
          <w:szCs w:val="26"/>
        </w:rPr>
        <w:t>Egészségbiztosítási Alap költségvetési hozzájárulásai</w:t>
      </w:r>
      <w:r w:rsidRPr="7A1FFE35">
        <w:rPr>
          <w:rFonts w:ascii="Times New Roman" w:hAnsi="Times New Roman" w:cs="Times New Roman"/>
          <w:sz w:val="26"/>
          <w:szCs w:val="26"/>
        </w:rPr>
        <w:t xml:space="preserve"> 2025</w:t>
      </w:r>
      <w:r w:rsidR="00E519BA">
        <w:rPr>
          <w:rFonts w:ascii="Times New Roman" w:hAnsi="Times New Roman" w:cs="Times New Roman"/>
          <w:sz w:val="26"/>
          <w:szCs w:val="26"/>
        </w:rPr>
        <w:t xml:space="preserve">-ben </w:t>
      </w:r>
      <w:r w:rsidRPr="7A1FFE35">
        <w:rPr>
          <w:rFonts w:ascii="Times New Roman" w:hAnsi="Times New Roman" w:cs="Times New Roman"/>
          <w:sz w:val="26"/>
          <w:szCs w:val="26"/>
        </w:rPr>
        <w:t>összesen 1889,2 milliárd forintot tettek ki, amely 1,8 milliárd forinttal alacsonyabb, mint az előző év azonos időszakában átutalt összeg. 2025. december végéig az Egészségbiztosítási Alap járulék címen átvett pénzeszközként 692,3 milliárd forint támogatást kapott, szemben az előző évben átutalt 652,9 milliárd forint összeggel. Az alap kiadásainak támogatására szolgáló tervezett pénzeszköz-átvétel és az egészségügyi feladatok ellátásával kapcsolatos hozzájárulás együttes összege 2025</w:t>
      </w:r>
      <w:r w:rsidR="001962B3">
        <w:rPr>
          <w:rFonts w:ascii="Times New Roman" w:hAnsi="Times New Roman" w:cs="Times New Roman"/>
          <w:sz w:val="26"/>
          <w:szCs w:val="26"/>
        </w:rPr>
        <w:t>-ben</w:t>
      </w:r>
      <w:r w:rsidRPr="7A1FFE35">
        <w:rPr>
          <w:rFonts w:ascii="Times New Roman" w:hAnsi="Times New Roman" w:cs="Times New Roman"/>
          <w:sz w:val="26"/>
          <w:szCs w:val="26"/>
        </w:rPr>
        <w:t xml:space="preserve"> 1196,9 milliárd forintot tett ki, amely 41,2 milliárd forinttal elmarad az előző évben átutalt összegtől.</w:t>
      </w:r>
    </w:p>
    <w:p w14:paraId="52DBA44B" w14:textId="4F3AC17D" w:rsidR="00AB3A4C" w:rsidRDefault="00B325C4" w:rsidP="00B325C4">
      <w:pPr>
        <w:rPr>
          <w:rFonts w:ascii="Times New Roman" w:hAnsi="Times New Roman" w:cs="Times New Roman"/>
          <w:sz w:val="26"/>
          <w:szCs w:val="26"/>
        </w:rPr>
      </w:pPr>
      <w:r>
        <w:rPr>
          <w:rFonts w:ascii="Times New Roman" w:hAnsi="Times New Roman" w:cs="Times New Roman"/>
          <w:sz w:val="26"/>
          <w:szCs w:val="26"/>
        </w:rPr>
        <w:br w:type="page"/>
      </w:r>
    </w:p>
    <w:p w14:paraId="51F08DF7" w14:textId="6FA8B559" w:rsidR="009E34AE" w:rsidRPr="00377D59" w:rsidRDefault="7A1FFE35" w:rsidP="7A1FFE35">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7A1FFE35">
        <w:rPr>
          <w:rFonts w:ascii="Times New Roman" w:eastAsia="Times New Roman" w:hAnsi="Times New Roman" w:cs="Times New Roman"/>
          <w:b/>
          <w:bCs/>
          <w:smallCaps/>
          <w:sz w:val="28"/>
          <w:szCs w:val="28"/>
          <w:lang w:eastAsia="hu-HU"/>
        </w:rPr>
        <w:lastRenderedPageBreak/>
        <w:t xml:space="preserve">A főbb kiadások </w:t>
      </w:r>
    </w:p>
    <w:p w14:paraId="3D6DD60E" w14:textId="2064817D" w:rsidR="00B325C4" w:rsidRPr="00B325C4" w:rsidRDefault="7A1FFE35" w:rsidP="7A1FFE35">
      <w:pPr>
        <w:jc w:val="both"/>
        <w:rPr>
          <w:rFonts w:ascii="Times New Roman" w:eastAsia="Times New Roman" w:hAnsi="Times New Roman" w:cs="Times New Roman"/>
          <w:b/>
          <w:bCs/>
          <w:sz w:val="26"/>
          <w:szCs w:val="26"/>
          <w:lang w:eastAsia="hu-HU"/>
        </w:rPr>
      </w:pPr>
      <w:r w:rsidRPr="7A1FFE35">
        <w:rPr>
          <w:rFonts w:ascii="Times New Roman" w:eastAsia="Times New Roman" w:hAnsi="Times New Roman" w:cs="Times New Roman"/>
          <w:b/>
          <w:bCs/>
          <w:sz w:val="26"/>
          <w:szCs w:val="26"/>
          <w:lang w:eastAsia="hu-HU"/>
        </w:rPr>
        <w:t xml:space="preserve">A központi alrendszer </w:t>
      </w:r>
      <w:r w:rsidR="00007DB5">
        <w:rPr>
          <w:rFonts w:ascii="Times New Roman" w:eastAsia="Times New Roman" w:hAnsi="Times New Roman" w:cs="Times New Roman"/>
          <w:b/>
          <w:bCs/>
          <w:sz w:val="26"/>
          <w:szCs w:val="26"/>
          <w:lang w:eastAsia="hu-HU"/>
        </w:rPr>
        <w:t>dec</w:t>
      </w:r>
      <w:r w:rsidRPr="7A1FFE35">
        <w:rPr>
          <w:rFonts w:ascii="Times New Roman" w:eastAsia="Times New Roman" w:hAnsi="Times New Roman" w:cs="Times New Roman"/>
          <w:b/>
          <w:bCs/>
          <w:sz w:val="26"/>
          <w:szCs w:val="26"/>
          <w:lang w:eastAsia="hu-HU"/>
        </w:rPr>
        <w:t xml:space="preserve">ember végi </w:t>
      </w:r>
      <w:r w:rsidR="00007DB5">
        <w:rPr>
          <w:rFonts w:ascii="Times New Roman" w:eastAsia="Times New Roman" w:hAnsi="Times New Roman" w:cs="Times New Roman"/>
          <w:b/>
          <w:bCs/>
          <w:sz w:val="26"/>
          <w:szCs w:val="26"/>
          <w:lang w:eastAsia="hu-HU"/>
        </w:rPr>
        <w:t>44 930,4</w:t>
      </w:r>
      <w:r w:rsidRPr="7A1FFE35">
        <w:rPr>
          <w:rFonts w:ascii="Times New Roman" w:eastAsia="Times New Roman" w:hAnsi="Times New Roman" w:cs="Times New Roman"/>
          <w:b/>
          <w:bCs/>
          <w:sz w:val="26"/>
          <w:szCs w:val="26"/>
          <w:lang w:eastAsia="hu-HU"/>
        </w:rPr>
        <w:t xml:space="preserve"> milliárd forint összegű kiadásai 2</w:t>
      </w:r>
      <w:r w:rsidR="00007DB5">
        <w:rPr>
          <w:rFonts w:ascii="Times New Roman" w:eastAsia="Times New Roman" w:hAnsi="Times New Roman" w:cs="Times New Roman"/>
          <w:b/>
          <w:bCs/>
          <w:sz w:val="26"/>
          <w:szCs w:val="26"/>
          <w:lang w:eastAsia="hu-HU"/>
        </w:rPr>
        <w:t> 890,9</w:t>
      </w:r>
      <w:r w:rsidRPr="7A1FFE35">
        <w:rPr>
          <w:rFonts w:ascii="Times New Roman" w:eastAsia="Times New Roman" w:hAnsi="Times New Roman" w:cs="Times New Roman"/>
          <w:b/>
          <w:bCs/>
          <w:sz w:val="26"/>
          <w:szCs w:val="26"/>
          <w:lang w:eastAsia="hu-HU"/>
        </w:rPr>
        <w:t xml:space="preserve"> milliárd forinttal, </w:t>
      </w:r>
      <w:r w:rsidR="00007DB5">
        <w:rPr>
          <w:rFonts w:ascii="Times New Roman" w:eastAsia="Times New Roman" w:hAnsi="Times New Roman" w:cs="Times New Roman"/>
          <w:b/>
          <w:bCs/>
          <w:sz w:val="26"/>
          <w:szCs w:val="26"/>
          <w:lang w:eastAsia="hu-HU"/>
        </w:rPr>
        <w:t>6,9</w:t>
      </w:r>
      <w:r w:rsidRPr="7A1FFE35">
        <w:rPr>
          <w:rFonts w:ascii="Times New Roman" w:eastAsia="Times New Roman" w:hAnsi="Times New Roman" w:cs="Times New Roman"/>
          <w:b/>
          <w:bCs/>
          <w:sz w:val="26"/>
          <w:szCs w:val="26"/>
          <w:lang w:eastAsia="hu-HU"/>
        </w:rPr>
        <w:t xml:space="preserve">%-kal haladták meg az előző év azonos időszaki adatát. </w:t>
      </w:r>
    </w:p>
    <w:p w14:paraId="39B99CD8" w14:textId="37445468" w:rsidR="00B325C4" w:rsidRPr="00B325C4" w:rsidRDefault="7A1FFE35" w:rsidP="7A1FFE35">
      <w:pPr>
        <w:jc w:val="both"/>
        <w:rPr>
          <w:rFonts w:ascii="Times New Roman" w:eastAsia="Times New Roman" w:hAnsi="Times New Roman" w:cs="Times New Roman"/>
          <w:b/>
          <w:bCs/>
          <w:sz w:val="26"/>
          <w:szCs w:val="26"/>
          <w:lang w:eastAsia="hu-HU"/>
        </w:rPr>
      </w:pPr>
      <w:r w:rsidRPr="7A1FFE35">
        <w:rPr>
          <w:rFonts w:ascii="Times New Roman" w:eastAsia="Times New Roman" w:hAnsi="Times New Roman" w:cs="Times New Roman"/>
          <w:b/>
          <w:bCs/>
          <w:sz w:val="26"/>
          <w:szCs w:val="26"/>
          <w:lang w:eastAsia="hu-HU"/>
        </w:rPr>
        <w:t>Magasabban teljesültek az egy évvel korábbihoz képest többek között az állami közlekedési és közüzemi szolgáltatások, a babaváró támogatások, a költségvetési szervek kiadásai, a szakmai fejezeti kezelésű előirányzatok kiadásai, a kamatkiadások</w:t>
      </w:r>
      <w:r w:rsidR="008B2C27">
        <w:rPr>
          <w:rFonts w:ascii="Times New Roman" w:eastAsia="Times New Roman" w:hAnsi="Times New Roman" w:cs="Times New Roman"/>
          <w:b/>
          <w:bCs/>
          <w:sz w:val="26"/>
          <w:szCs w:val="26"/>
          <w:lang w:eastAsia="hu-HU"/>
        </w:rPr>
        <w:t>, az állami vagyonnal kapcsolatos kiadások</w:t>
      </w:r>
      <w:r w:rsidRPr="7A1FFE35">
        <w:rPr>
          <w:rFonts w:ascii="Times New Roman" w:eastAsia="Times New Roman" w:hAnsi="Times New Roman" w:cs="Times New Roman"/>
          <w:b/>
          <w:bCs/>
          <w:sz w:val="26"/>
          <w:szCs w:val="26"/>
          <w:lang w:eastAsia="hu-HU"/>
        </w:rPr>
        <w:t xml:space="preserve"> és a helyi önkormányzatok támogatásai.</w:t>
      </w:r>
    </w:p>
    <w:p w14:paraId="1660E392" w14:textId="1736A27C" w:rsidR="00F46F72" w:rsidRPr="00AA3374" w:rsidRDefault="7A1FFE35" w:rsidP="7A1FFE35">
      <w:pPr>
        <w:jc w:val="both"/>
        <w:rPr>
          <w:rFonts w:ascii="Times New Roman" w:hAnsi="Times New Roman" w:cs="Times New Roman"/>
          <w:b/>
          <w:bCs/>
          <w:sz w:val="26"/>
          <w:szCs w:val="26"/>
        </w:rPr>
      </w:pPr>
      <w:r w:rsidRPr="7A1FFE35">
        <w:rPr>
          <w:rFonts w:ascii="Times New Roman" w:eastAsia="Times New Roman" w:hAnsi="Times New Roman" w:cs="Times New Roman"/>
          <w:b/>
          <w:bCs/>
          <w:sz w:val="26"/>
          <w:szCs w:val="26"/>
          <w:lang w:eastAsia="hu-HU"/>
        </w:rPr>
        <w:t xml:space="preserve">Meghaladták az egy évvel korábbi kifizetést a nyugellátásokra és a gyógyító-megelőző ellátásra fordított összegek is. Nyugellátásokra és nyugdíjszerű ellátásokra </w:t>
      </w:r>
      <w:r w:rsidR="00007DB5">
        <w:rPr>
          <w:rFonts w:ascii="Times New Roman" w:eastAsia="Times New Roman" w:hAnsi="Times New Roman" w:cs="Times New Roman"/>
          <w:b/>
          <w:bCs/>
          <w:sz w:val="26"/>
          <w:szCs w:val="26"/>
          <w:lang w:eastAsia="hu-HU"/>
        </w:rPr>
        <w:t>7300,6</w:t>
      </w:r>
      <w:r w:rsidRPr="7A1FFE35">
        <w:rPr>
          <w:rFonts w:ascii="Times New Roman" w:eastAsia="Times New Roman" w:hAnsi="Times New Roman" w:cs="Times New Roman"/>
          <w:b/>
          <w:bCs/>
          <w:sz w:val="26"/>
          <w:szCs w:val="26"/>
          <w:lang w:eastAsia="hu-HU"/>
        </w:rPr>
        <w:t> milliárd forint, míg a gyógyító-megelőző ellátásra 2916,3 milliárd forint került kifizetésre december végéig</w:t>
      </w:r>
      <w:r w:rsidRPr="7A1FFE35">
        <w:rPr>
          <w:rFonts w:ascii="Times New Roman" w:hAnsi="Times New Roman" w:cs="Times New Roman"/>
          <w:b/>
          <w:bCs/>
          <w:sz w:val="26"/>
          <w:szCs w:val="26"/>
        </w:rPr>
        <w:t>.</w:t>
      </w:r>
    </w:p>
    <w:p w14:paraId="71AFDEF8" w14:textId="1435BF46" w:rsidR="00C35E13" w:rsidRDefault="00A25365" w:rsidP="003415FE">
      <w:pPr>
        <w:pStyle w:val="NormlWeb"/>
        <w:spacing w:after="0" w:afterAutospacing="0"/>
        <w:jc w:val="center"/>
      </w:pPr>
      <w:r>
        <w:rPr>
          <w:noProof/>
        </w:rPr>
        <w:drawing>
          <wp:inline distT="0" distB="0" distL="0" distR="0" wp14:anchorId="6CF78C43" wp14:editId="11783D32">
            <wp:extent cx="5940425" cy="2356834"/>
            <wp:effectExtent l="0" t="0" r="3175" b="5715"/>
            <wp:docPr id="1035131125" name="Kép 1" descr="A képen diagram, szöveg,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31125" name="Kép 1" descr="A képen diagram, szöveg, képernyőkép, kör látható&#10;&#10;Előfordulhat, hogy a mesterséges intelligencia által létrehozott tartalom helytelen."/>
                    <pic:cNvPicPr/>
                  </pic:nvPicPr>
                  <pic:blipFill>
                    <a:blip r:embed="rId18"/>
                    <a:stretch>
                      <a:fillRect/>
                    </a:stretch>
                  </pic:blipFill>
                  <pic:spPr>
                    <a:xfrm>
                      <a:off x="0" y="0"/>
                      <a:ext cx="5946573" cy="2359273"/>
                    </a:xfrm>
                    <a:prstGeom prst="rect">
                      <a:avLst/>
                    </a:prstGeom>
                  </pic:spPr>
                </pic:pic>
              </a:graphicData>
            </a:graphic>
          </wp:inline>
        </w:drawing>
      </w:r>
    </w:p>
    <w:p w14:paraId="53EF96F0" w14:textId="14FF79BE" w:rsidR="00371825" w:rsidRDefault="7A1FFE35" w:rsidP="7A1FFE35">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Az </w:t>
      </w:r>
      <w:r w:rsidRPr="7A1FFE35">
        <w:rPr>
          <w:rFonts w:ascii="Times New Roman" w:eastAsia="Times New Roman" w:hAnsi="Times New Roman" w:cs="Times New Roman"/>
          <w:b/>
          <w:bCs/>
          <w:sz w:val="26"/>
          <w:szCs w:val="26"/>
        </w:rPr>
        <w:t>úthálózat rendelkezésre állási díjak</w:t>
      </w:r>
      <w:r w:rsidRPr="7A1FFE35">
        <w:rPr>
          <w:rFonts w:ascii="Times New Roman" w:eastAsia="Times New Roman" w:hAnsi="Times New Roman" w:cs="Times New Roman"/>
          <w:sz w:val="26"/>
          <w:szCs w:val="26"/>
        </w:rPr>
        <w:t xml:space="preserve"> mérlegsor tartalmazza az M5, M6 autópálya rendelkezésre állási díjak, valamint a gyorsforgalmi úthálózat rendelkezésre állási díj előirányzatok kiadásait, amelynek összege </w:t>
      </w:r>
      <w:r w:rsidR="00007DB5">
        <w:rPr>
          <w:rFonts w:ascii="Times New Roman" w:eastAsia="Times New Roman" w:hAnsi="Times New Roman" w:cs="Times New Roman"/>
          <w:sz w:val="26"/>
          <w:szCs w:val="26"/>
        </w:rPr>
        <w:t xml:space="preserve">a </w:t>
      </w:r>
      <w:r w:rsidRPr="7A1FFE35">
        <w:rPr>
          <w:rFonts w:ascii="Times New Roman" w:eastAsia="Times New Roman" w:hAnsi="Times New Roman" w:cs="Times New Roman"/>
          <w:sz w:val="26"/>
          <w:szCs w:val="26"/>
        </w:rPr>
        <w:t xml:space="preserve">2025. </w:t>
      </w:r>
      <w:r w:rsidR="00007DB5">
        <w:rPr>
          <w:rFonts w:ascii="Times New Roman" w:eastAsia="Times New Roman" w:hAnsi="Times New Roman" w:cs="Times New Roman"/>
          <w:sz w:val="26"/>
          <w:szCs w:val="26"/>
        </w:rPr>
        <w:t>évben</w:t>
      </w:r>
      <w:r w:rsidRPr="7A1FFE35">
        <w:rPr>
          <w:rFonts w:ascii="Times New Roman" w:eastAsia="Times New Roman" w:hAnsi="Times New Roman" w:cs="Times New Roman"/>
          <w:sz w:val="26"/>
          <w:szCs w:val="26"/>
        </w:rPr>
        <w:t xml:space="preserve"> 616,9 milliárd forint volt, ami 220,</w:t>
      </w:r>
      <w:r w:rsidR="00007DB5">
        <w:rPr>
          <w:rFonts w:ascii="Times New Roman" w:eastAsia="Times New Roman" w:hAnsi="Times New Roman" w:cs="Times New Roman"/>
          <w:sz w:val="26"/>
          <w:szCs w:val="26"/>
        </w:rPr>
        <w:t>2</w:t>
      </w:r>
      <w:r w:rsidRPr="7A1FFE35">
        <w:rPr>
          <w:rFonts w:ascii="Times New Roman" w:eastAsia="Times New Roman" w:hAnsi="Times New Roman" w:cs="Times New Roman"/>
          <w:sz w:val="26"/>
          <w:szCs w:val="26"/>
        </w:rPr>
        <w:t> milliárd forinttal magasabban alakult a 2024. év azonos időszakához képest. Az</w:t>
      </w:r>
      <w:r w:rsidR="002E2D79">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eltérést egyrészt a gyorsforgalmi úthálózat rendelkezésre állási díjának szerződésből fakadó változása, másrészt egyedi elemként egyes felújítási munkákból és</w:t>
      </w:r>
      <w:r w:rsidR="002E2D79">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nagykarbantartási munkákból történő kifizetése magyarázz</w:t>
      </w:r>
      <w:r w:rsidR="00007DB5">
        <w:rPr>
          <w:rFonts w:ascii="Times New Roman" w:eastAsia="Times New Roman" w:hAnsi="Times New Roman" w:cs="Times New Roman"/>
          <w:sz w:val="26"/>
          <w:szCs w:val="26"/>
        </w:rPr>
        <w:t>ák.</w:t>
      </w:r>
    </w:p>
    <w:p w14:paraId="182A3A7A" w14:textId="34DA9674" w:rsidR="1EBF714E" w:rsidRPr="003772C6" w:rsidRDefault="7A1FFE35" w:rsidP="7A1FFE35">
      <w:pPr>
        <w:jc w:val="both"/>
        <w:rPr>
          <w:rFonts w:ascii="Times New Roman" w:eastAsia="Times New Roman" w:hAnsi="Times New Roman" w:cs="Times New Roman"/>
          <w:sz w:val="26"/>
          <w:szCs w:val="26"/>
          <w:highlight w:val="yellow"/>
        </w:rPr>
      </w:pPr>
      <w:r w:rsidRPr="7A1FFE35">
        <w:rPr>
          <w:rFonts w:ascii="Times New Roman" w:eastAsia="Times New Roman" w:hAnsi="Times New Roman" w:cs="Times New Roman"/>
          <w:sz w:val="26"/>
          <w:szCs w:val="26"/>
        </w:rPr>
        <w:t xml:space="preserve">A </w:t>
      </w:r>
      <w:r w:rsidRPr="7A1FFE35">
        <w:rPr>
          <w:rFonts w:ascii="Times New Roman" w:eastAsia="Times New Roman" w:hAnsi="Times New Roman" w:cs="Times New Roman"/>
          <w:b/>
          <w:bCs/>
          <w:sz w:val="26"/>
          <w:szCs w:val="26"/>
        </w:rPr>
        <w:t>közösségi közlekedés költségtérítés és támogatás</w:t>
      </w:r>
      <w:r w:rsidRPr="7A1FFE35">
        <w:rPr>
          <w:rFonts w:ascii="Times New Roman" w:eastAsia="Times New Roman" w:hAnsi="Times New Roman" w:cs="Times New Roman"/>
          <w:sz w:val="26"/>
          <w:szCs w:val="26"/>
        </w:rPr>
        <w:t xml:space="preserve"> mérlegsor kiadásai 2025. december végéig 944,6 milliárd forintot tettek ki, amelyből a szociálpolitikai menetdíj támogatás 167,3 milliárd forint. Az összes kiadás 7</w:t>
      </w:r>
      <w:r w:rsidR="00212111">
        <w:rPr>
          <w:rFonts w:ascii="Times New Roman" w:eastAsia="Times New Roman" w:hAnsi="Times New Roman" w:cs="Times New Roman"/>
          <w:sz w:val="26"/>
          <w:szCs w:val="26"/>
        </w:rPr>
        <w:t>4,7</w:t>
      </w:r>
      <w:r w:rsidRPr="7A1FFE35">
        <w:rPr>
          <w:rFonts w:ascii="Times New Roman" w:eastAsia="Times New Roman" w:hAnsi="Times New Roman" w:cs="Times New Roman"/>
          <w:sz w:val="26"/>
          <w:szCs w:val="26"/>
        </w:rPr>
        <w:t> milliárd forinttal több, mint a megelőző év azonos időszaki teljesítése, amit az új típusú autóbuszos szolgáltatásnak a korábbiaktól eltérő finanszírozási rendszere okoz.</w:t>
      </w:r>
    </w:p>
    <w:p w14:paraId="3B52873E" w14:textId="51667354" w:rsidR="008D3E76" w:rsidRDefault="7A1FFE35" w:rsidP="7A1FFE35">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 </w:t>
      </w:r>
      <w:r w:rsidRPr="7A1FFE35">
        <w:rPr>
          <w:rFonts w:ascii="Times New Roman" w:eastAsia="Times New Roman" w:hAnsi="Times New Roman" w:cs="Times New Roman"/>
          <w:b/>
          <w:bCs/>
          <w:sz w:val="26"/>
          <w:szCs w:val="26"/>
        </w:rPr>
        <w:t>közüzemi szolgáltatások támogatása</w:t>
      </w:r>
      <w:r w:rsidRPr="7A1FFE35">
        <w:rPr>
          <w:rFonts w:ascii="Times New Roman" w:eastAsia="Times New Roman" w:hAnsi="Times New Roman" w:cs="Times New Roman"/>
          <w:sz w:val="26"/>
          <w:szCs w:val="26"/>
        </w:rPr>
        <w:t xml:space="preserve"> mérlegsor tartalmazza a lakossági energia rezsivédelmi szolgáltatás, a rezsivédelmi készletezési szolgáltatás és a távhőszolgáltatók kompenzációjával kapcsolatos kiadásokat, valamint a Víziközmű-fejlesztési és Ellentételezési Alap kiadásait is. A közüzemi szolgáltatások támogatására fordított kiadások 2025. december végéig 1090,8 milliárd forintot tettek ki. A mérlegsor jelenlegi </w:t>
      </w:r>
      <w:r w:rsidRPr="7A1FFE35">
        <w:rPr>
          <w:rFonts w:ascii="Times New Roman" w:eastAsia="Times New Roman" w:hAnsi="Times New Roman" w:cs="Times New Roman"/>
          <w:sz w:val="26"/>
          <w:szCs w:val="26"/>
        </w:rPr>
        <w:lastRenderedPageBreak/>
        <w:t>teljesítése 49,6 milliárd forinttal magasabb, mint a 2024. év azonos időszakában a közüzemi szolgáltatások teljesítésére fordított 1041,2 milliárd forint, amely a</w:t>
      </w:r>
      <w:r w:rsidR="00531E11">
        <w:rPr>
          <w:rFonts w:ascii="Times New Roman" w:eastAsia="Times New Roman" w:hAnsi="Times New Roman" w:cs="Times New Roman"/>
          <w:sz w:val="26"/>
          <w:szCs w:val="26"/>
        </w:rPr>
        <w:t> </w:t>
      </w:r>
      <w:r w:rsidRPr="7A1FFE35">
        <w:rPr>
          <w:rFonts w:ascii="Times New Roman" w:eastAsia="Times New Roman" w:hAnsi="Times New Roman" w:cs="Times New Roman"/>
          <w:sz w:val="26"/>
          <w:szCs w:val="26"/>
        </w:rPr>
        <w:t>Víziközmű-fejlesztési és Ellentételezési Alapból a víziközmű-szolgáltatók részére történt megnövekedett kifizetési igényekből adódott.</w:t>
      </w:r>
    </w:p>
    <w:p w14:paraId="79E44A54" w14:textId="348A57FB" w:rsidR="0F03D9E1" w:rsidRDefault="7A1FFE35" w:rsidP="7A1FFE35">
      <w:pPr>
        <w:jc w:val="both"/>
        <w:rPr>
          <w:rFonts w:ascii="Times New Roman" w:eastAsia="Times New Roman" w:hAnsi="Times New Roman" w:cs="Times New Roman"/>
          <w:sz w:val="26"/>
          <w:szCs w:val="26"/>
        </w:rPr>
      </w:pPr>
      <w:r w:rsidRPr="7A1FFE35">
        <w:rPr>
          <w:rFonts w:ascii="Times New Roman" w:eastAsia="Times New Roman" w:hAnsi="Times New Roman" w:cs="Times New Roman"/>
          <w:b/>
          <w:bCs/>
          <w:sz w:val="26"/>
          <w:szCs w:val="26"/>
          <w:lang w:eastAsia="hu-HU"/>
        </w:rPr>
        <w:t xml:space="preserve">Lakástámogatásokra </w:t>
      </w:r>
      <w:r w:rsidRPr="7A1FFE35">
        <w:rPr>
          <w:rFonts w:ascii="Times New Roman" w:eastAsia="Times New Roman" w:hAnsi="Times New Roman" w:cs="Times New Roman"/>
          <w:sz w:val="26"/>
          <w:szCs w:val="26"/>
        </w:rPr>
        <w:t>fordított kiadások összege december végéig 197,1 milliárd forint volt, mely az előző év azonos időszakához viszonyítva 29,9 milliárd forinttal teljesült magasabban.</w:t>
      </w:r>
    </w:p>
    <w:p w14:paraId="33223970" w14:textId="25DDB887" w:rsidR="0F03D9E1" w:rsidRDefault="7A1FFE35" w:rsidP="7A1FFE35">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 </w:t>
      </w:r>
      <w:r w:rsidRPr="7A1FFE35">
        <w:rPr>
          <w:rFonts w:ascii="Times New Roman" w:eastAsia="Times New Roman" w:hAnsi="Times New Roman" w:cs="Times New Roman"/>
          <w:b/>
          <w:bCs/>
          <w:sz w:val="26"/>
          <w:szCs w:val="26"/>
        </w:rPr>
        <w:t>Nemzeti Család- és Szociálpolitikai Alap</w:t>
      </w:r>
      <w:r w:rsidRPr="7A1FFE35">
        <w:rPr>
          <w:rFonts w:ascii="Times New Roman" w:eastAsia="Times New Roman" w:hAnsi="Times New Roman" w:cs="Times New Roman"/>
          <w:sz w:val="26"/>
          <w:szCs w:val="26"/>
        </w:rPr>
        <w:t xml:space="preserve"> a családi támogatásokat, a korhatár alatti ellátásokat, a jövedelempótló és jövedelemkiegészítő szociális támogatásokat, valamint a különféle jogcímen adott térítéseket tartalmazza. A főbb támogatásokat a következő táblázat részletezi:</w:t>
      </w:r>
    </w:p>
    <w:p w14:paraId="46398944" w14:textId="2D482933" w:rsidR="00621840" w:rsidRDefault="7A1FFE35" w:rsidP="7A1FFE35">
      <w:pPr>
        <w:spacing w:after="0"/>
        <w:jc w:val="center"/>
        <w:rPr>
          <w:rFonts w:ascii="Times New Roman" w:hAnsi="Times New Roman" w:cs="Times New Roman"/>
          <w:b/>
          <w:bCs/>
          <w:color w:val="000000" w:themeColor="text1"/>
        </w:rPr>
      </w:pPr>
      <w:r w:rsidRPr="7A1FFE35">
        <w:rPr>
          <w:rFonts w:ascii="Times New Roman" w:hAnsi="Times New Roman" w:cs="Times New Roman"/>
          <w:b/>
          <w:bCs/>
          <w:color w:val="000000" w:themeColor="text1"/>
        </w:rPr>
        <w:t>A Nemzeti Család- és Szociálpolitikai Alap kiadásainak alakulása (milliárd forint)</w:t>
      </w:r>
    </w:p>
    <w:p w14:paraId="2A41ECDF" w14:textId="77777777" w:rsidR="002E70D5" w:rsidRPr="00B32682" w:rsidRDefault="002E70D5" w:rsidP="6D17EF1F">
      <w:pPr>
        <w:spacing w:after="0"/>
        <w:jc w:val="center"/>
        <w:rPr>
          <w:rFonts w:ascii="Times New Roman" w:eastAsia="Times New Roman" w:hAnsi="Times New Roman" w:cs="Times New Roman"/>
        </w:rPr>
      </w:pPr>
    </w:p>
    <w:tbl>
      <w:tblPr>
        <w:tblW w:w="9238" w:type="dxa"/>
        <w:tblInd w:w="-5" w:type="dxa"/>
        <w:tblCellMar>
          <w:left w:w="70" w:type="dxa"/>
          <w:right w:w="70" w:type="dxa"/>
        </w:tblCellMar>
        <w:tblLook w:val="04A0" w:firstRow="1" w:lastRow="0" w:firstColumn="1" w:lastColumn="0" w:noHBand="0" w:noVBand="1"/>
      </w:tblPr>
      <w:tblGrid>
        <w:gridCol w:w="5720"/>
        <w:gridCol w:w="944"/>
        <w:gridCol w:w="991"/>
        <w:gridCol w:w="850"/>
        <w:gridCol w:w="733"/>
      </w:tblGrid>
      <w:tr w:rsidR="002E70D5" w:rsidRPr="002E70D5" w14:paraId="39BECF1A" w14:textId="77777777" w:rsidTr="00212111">
        <w:trPr>
          <w:trHeight w:val="280"/>
        </w:trPr>
        <w:tc>
          <w:tcPr>
            <w:tcW w:w="572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CB091D6" w14:textId="77777777" w:rsidR="002E70D5" w:rsidRPr="002E70D5" w:rsidRDefault="7A1FFE35" w:rsidP="7A1FFE35">
            <w:pPr>
              <w:spacing w:after="0"/>
              <w:jc w:val="center"/>
              <w:rPr>
                <w:rFonts w:ascii="Times New Roman" w:hAnsi="Times New Roman" w:cs="Times New Roman"/>
                <w:b/>
                <w:bCs/>
                <w:color w:val="000000" w:themeColor="text1"/>
              </w:rPr>
            </w:pPr>
            <w:r w:rsidRPr="7A1FFE35">
              <w:rPr>
                <w:rFonts w:ascii="Times New Roman" w:hAnsi="Times New Roman" w:cs="Times New Roman"/>
                <w:b/>
                <w:bCs/>
                <w:color w:val="000000" w:themeColor="text1"/>
              </w:rPr>
              <w:t>Megnevezés</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D792E3" w14:textId="2DEB7D4A" w:rsidR="002E70D5" w:rsidRPr="00212111" w:rsidRDefault="7A1FFE35" w:rsidP="7A1FFE35">
            <w:pPr>
              <w:spacing w:after="0"/>
              <w:jc w:val="center"/>
              <w:rPr>
                <w:rFonts w:ascii="Times New Roman" w:hAnsi="Times New Roman" w:cs="Times New Roman"/>
                <w:b/>
                <w:bCs/>
                <w:color w:val="000000" w:themeColor="text1"/>
              </w:rPr>
            </w:pPr>
            <w:r w:rsidRPr="00212111">
              <w:rPr>
                <w:rFonts w:ascii="Times New Roman" w:hAnsi="Times New Roman" w:cs="Times New Roman"/>
                <w:b/>
                <w:bCs/>
                <w:color w:val="000000" w:themeColor="text1"/>
              </w:rPr>
              <w:t>2024.</w:t>
            </w:r>
            <w:r w:rsidR="00371825" w:rsidRPr="00212111">
              <w:br/>
            </w:r>
            <w:r w:rsidR="00212111" w:rsidRPr="00212111">
              <w:rPr>
                <w:rFonts w:ascii="Times New Roman" w:hAnsi="Times New Roman" w:cs="Times New Roman"/>
                <w:b/>
                <w:bCs/>
                <w:color w:val="000000" w:themeColor="text1"/>
              </w:rPr>
              <w:t>évi tény</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2AE7A1" w14:textId="602AA654" w:rsidR="002E70D5" w:rsidRPr="00212111" w:rsidRDefault="7A1FFE35" w:rsidP="7A1FFE35">
            <w:pPr>
              <w:spacing w:after="0"/>
              <w:jc w:val="center"/>
              <w:rPr>
                <w:rFonts w:ascii="Times New Roman" w:hAnsi="Times New Roman" w:cs="Times New Roman"/>
                <w:b/>
                <w:bCs/>
                <w:color w:val="000000" w:themeColor="text1"/>
              </w:rPr>
            </w:pPr>
            <w:r w:rsidRPr="00212111">
              <w:rPr>
                <w:rFonts w:ascii="Times New Roman" w:hAnsi="Times New Roman" w:cs="Times New Roman"/>
                <w:b/>
                <w:bCs/>
                <w:color w:val="000000" w:themeColor="text1"/>
              </w:rPr>
              <w:t>2025.</w:t>
            </w:r>
            <w:r w:rsidR="00212111" w:rsidRPr="00212111">
              <w:rPr>
                <w:rFonts w:ascii="Times New Roman" w:hAnsi="Times New Roman" w:cs="Times New Roman"/>
                <w:b/>
                <w:bCs/>
                <w:color w:val="000000" w:themeColor="text1"/>
              </w:rPr>
              <w:t xml:space="preserve"> évi előzetes tény</w:t>
            </w:r>
          </w:p>
        </w:tc>
        <w:tc>
          <w:tcPr>
            <w:tcW w:w="1583"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A04EB2C" w14:textId="77777777" w:rsidR="002E70D5" w:rsidRPr="00212111" w:rsidRDefault="7A1FFE35" w:rsidP="7A1FFE35">
            <w:pPr>
              <w:spacing w:after="0"/>
              <w:jc w:val="center"/>
              <w:rPr>
                <w:rFonts w:ascii="Times New Roman" w:hAnsi="Times New Roman" w:cs="Times New Roman"/>
                <w:b/>
                <w:bCs/>
                <w:color w:val="000000" w:themeColor="text1"/>
              </w:rPr>
            </w:pPr>
            <w:r w:rsidRPr="00212111">
              <w:rPr>
                <w:rFonts w:ascii="Times New Roman" w:hAnsi="Times New Roman" w:cs="Times New Roman"/>
                <w:b/>
                <w:bCs/>
                <w:color w:val="000000" w:themeColor="text1"/>
              </w:rPr>
              <w:t>Eltérés</w:t>
            </w:r>
          </w:p>
        </w:tc>
      </w:tr>
      <w:tr w:rsidR="002E70D5" w:rsidRPr="002E70D5" w14:paraId="6BE2994C" w14:textId="77777777" w:rsidTr="00212111">
        <w:trPr>
          <w:trHeight w:val="473"/>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681BE34C" w14:textId="77777777" w:rsidR="002E70D5" w:rsidRPr="002E70D5" w:rsidRDefault="002E70D5" w:rsidP="00554C64">
            <w:pPr>
              <w:spacing w:after="0"/>
              <w:rPr>
                <w:rFonts w:ascii="Times New Roman" w:hAnsi="Times New Roman" w:cs="Times New Roman"/>
                <w:b/>
                <w:bCs/>
                <w:color w:val="000000"/>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14:paraId="10EBC60F" w14:textId="77777777" w:rsidR="002E70D5" w:rsidRPr="00212111" w:rsidRDefault="002E70D5" w:rsidP="00554C64">
            <w:pPr>
              <w:spacing w:after="0"/>
              <w:rPr>
                <w:rFonts w:ascii="Times New Roman" w:hAnsi="Times New Roman" w:cs="Times New Roman"/>
                <w:b/>
                <w:bCs/>
                <w:color w:val="00000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019F30F" w14:textId="77777777" w:rsidR="002E70D5" w:rsidRPr="00212111" w:rsidRDefault="002E70D5" w:rsidP="00554C64">
            <w:pPr>
              <w:spacing w:after="0"/>
              <w:rPr>
                <w:rFonts w:ascii="Times New Roman" w:hAnsi="Times New Roman" w:cs="Times New Roman"/>
                <w:b/>
                <w:bCs/>
                <w:color w:val="000000"/>
              </w:rPr>
            </w:pP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E8E5679" w14:textId="77777777" w:rsidR="002E70D5" w:rsidRPr="00212111" w:rsidRDefault="7A1FFE35" w:rsidP="7A1FFE35">
            <w:pPr>
              <w:spacing w:after="0"/>
              <w:jc w:val="center"/>
              <w:rPr>
                <w:rFonts w:ascii="Times New Roman" w:hAnsi="Times New Roman" w:cs="Times New Roman"/>
                <w:b/>
                <w:bCs/>
                <w:color w:val="000000" w:themeColor="text1"/>
              </w:rPr>
            </w:pPr>
            <w:r w:rsidRPr="00212111">
              <w:rPr>
                <w:rFonts w:ascii="Times New Roman" w:hAnsi="Times New Roman" w:cs="Times New Roman"/>
                <w:b/>
                <w:bCs/>
                <w:color w:val="000000" w:themeColor="text1"/>
              </w:rPr>
              <w:t>Mrd Ft</w:t>
            </w:r>
          </w:p>
        </w:tc>
        <w:tc>
          <w:tcPr>
            <w:tcW w:w="73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598397E" w14:textId="77777777" w:rsidR="002E70D5" w:rsidRPr="00212111" w:rsidRDefault="7A1FFE35" w:rsidP="7A1FFE35">
            <w:pPr>
              <w:spacing w:after="0"/>
              <w:jc w:val="center"/>
              <w:rPr>
                <w:rFonts w:ascii="Times New Roman" w:hAnsi="Times New Roman" w:cs="Times New Roman"/>
                <w:b/>
                <w:bCs/>
                <w:color w:val="000000" w:themeColor="text1"/>
              </w:rPr>
            </w:pPr>
            <w:r w:rsidRPr="00212111">
              <w:rPr>
                <w:rFonts w:ascii="Times New Roman" w:hAnsi="Times New Roman" w:cs="Times New Roman"/>
                <w:b/>
                <w:bCs/>
                <w:color w:val="000000" w:themeColor="text1"/>
              </w:rPr>
              <w:t>%</w:t>
            </w:r>
          </w:p>
        </w:tc>
      </w:tr>
      <w:tr w:rsidR="00374988" w:rsidRPr="002E70D5" w14:paraId="79BDD8E7"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6F1FE2A1" w14:textId="77777777" w:rsidR="00374988" w:rsidRPr="002E70D5" w:rsidRDefault="00374988" w:rsidP="00374988">
            <w:pPr>
              <w:spacing w:after="0"/>
              <w:rPr>
                <w:rFonts w:ascii="Times New Roman" w:hAnsi="Times New Roman" w:cs="Times New Roman"/>
                <w:b/>
                <w:bCs/>
                <w:color w:val="000000" w:themeColor="text1"/>
                <w:sz w:val="20"/>
                <w:szCs w:val="20"/>
              </w:rPr>
            </w:pPr>
            <w:r w:rsidRPr="7A1FFE35">
              <w:rPr>
                <w:rFonts w:ascii="Times New Roman" w:hAnsi="Times New Roman" w:cs="Times New Roman"/>
                <w:b/>
                <w:bCs/>
                <w:color w:val="000000" w:themeColor="text1"/>
                <w:sz w:val="20"/>
                <w:szCs w:val="20"/>
              </w:rPr>
              <w:t>Családi támogatások</w:t>
            </w:r>
          </w:p>
        </w:tc>
        <w:tc>
          <w:tcPr>
            <w:tcW w:w="944" w:type="dxa"/>
            <w:tcBorders>
              <w:top w:val="single" w:sz="4" w:space="0" w:color="auto"/>
              <w:left w:val="single" w:sz="4" w:space="0" w:color="auto"/>
              <w:bottom w:val="single" w:sz="4" w:space="0" w:color="auto"/>
              <w:right w:val="single" w:sz="4" w:space="0" w:color="auto"/>
            </w:tcBorders>
            <w:noWrap/>
            <w:vAlign w:val="bottom"/>
            <w:hideMark/>
          </w:tcPr>
          <w:p w14:paraId="35463B97" w14:textId="0461FA52"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407,4</w:t>
            </w:r>
          </w:p>
        </w:tc>
        <w:tc>
          <w:tcPr>
            <w:tcW w:w="991" w:type="dxa"/>
            <w:tcBorders>
              <w:top w:val="single" w:sz="4" w:space="0" w:color="auto"/>
              <w:left w:val="nil"/>
              <w:bottom w:val="single" w:sz="4" w:space="0" w:color="auto"/>
              <w:right w:val="single" w:sz="4" w:space="0" w:color="auto"/>
            </w:tcBorders>
            <w:noWrap/>
            <w:vAlign w:val="bottom"/>
            <w:hideMark/>
          </w:tcPr>
          <w:p w14:paraId="6268E87E" w14:textId="768B661D"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388,7</w:t>
            </w:r>
          </w:p>
        </w:tc>
        <w:tc>
          <w:tcPr>
            <w:tcW w:w="850" w:type="dxa"/>
            <w:tcBorders>
              <w:top w:val="single" w:sz="4" w:space="0" w:color="auto"/>
              <w:left w:val="nil"/>
              <w:bottom w:val="single" w:sz="4" w:space="0" w:color="auto"/>
              <w:right w:val="single" w:sz="4" w:space="0" w:color="auto"/>
            </w:tcBorders>
            <w:noWrap/>
            <w:vAlign w:val="bottom"/>
            <w:hideMark/>
          </w:tcPr>
          <w:p w14:paraId="6DAC2567" w14:textId="17535FEF"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-18,7</w:t>
            </w:r>
          </w:p>
        </w:tc>
        <w:tc>
          <w:tcPr>
            <w:tcW w:w="733" w:type="dxa"/>
            <w:tcBorders>
              <w:top w:val="single" w:sz="4" w:space="0" w:color="auto"/>
              <w:left w:val="nil"/>
              <w:bottom w:val="single" w:sz="4" w:space="0" w:color="auto"/>
              <w:right w:val="single" w:sz="4" w:space="0" w:color="auto"/>
            </w:tcBorders>
            <w:noWrap/>
            <w:vAlign w:val="bottom"/>
            <w:hideMark/>
          </w:tcPr>
          <w:p w14:paraId="0023D563" w14:textId="6DCF07CE"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95,4</w:t>
            </w:r>
          </w:p>
        </w:tc>
      </w:tr>
      <w:tr w:rsidR="00374988" w:rsidRPr="002E70D5" w14:paraId="5AF1064F"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033720FE" w14:textId="77777777" w:rsidR="00374988" w:rsidRPr="002E70D5" w:rsidRDefault="00374988" w:rsidP="00374988">
            <w:pPr>
              <w:spacing w:after="0"/>
              <w:ind w:firstLineChars="100" w:firstLine="2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Ebből:</w:t>
            </w:r>
          </w:p>
        </w:tc>
        <w:tc>
          <w:tcPr>
            <w:tcW w:w="944" w:type="dxa"/>
            <w:tcBorders>
              <w:top w:val="nil"/>
              <w:left w:val="single" w:sz="4" w:space="0" w:color="auto"/>
              <w:bottom w:val="single" w:sz="4" w:space="0" w:color="auto"/>
              <w:right w:val="single" w:sz="4" w:space="0" w:color="auto"/>
            </w:tcBorders>
            <w:noWrap/>
            <w:vAlign w:val="bottom"/>
            <w:hideMark/>
          </w:tcPr>
          <w:p w14:paraId="74F95091" w14:textId="4590963A"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991" w:type="dxa"/>
            <w:tcBorders>
              <w:top w:val="nil"/>
              <w:left w:val="nil"/>
              <w:bottom w:val="single" w:sz="4" w:space="0" w:color="auto"/>
              <w:right w:val="single" w:sz="4" w:space="0" w:color="auto"/>
            </w:tcBorders>
            <w:noWrap/>
            <w:vAlign w:val="bottom"/>
            <w:hideMark/>
          </w:tcPr>
          <w:p w14:paraId="1B94AF89" w14:textId="6913A339"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noWrap/>
            <w:vAlign w:val="bottom"/>
            <w:hideMark/>
          </w:tcPr>
          <w:p w14:paraId="321ED1B1" w14:textId="3F4F8FB1"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733" w:type="dxa"/>
            <w:tcBorders>
              <w:top w:val="nil"/>
              <w:left w:val="nil"/>
              <w:bottom w:val="single" w:sz="4" w:space="0" w:color="auto"/>
              <w:right w:val="single" w:sz="4" w:space="0" w:color="auto"/>
            </w:tcBorders>
            <w:noWrap/>
            <w:vAlign w:val="bottom"/>
            <w:hideMark/>
          </w:tcPr>
          <w:p w14:paraId="635F529C" w14:textId="7134DA12"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r>
      <w:tr w:rsidR="00374988" w:rsidRPr="002E70D5" w14:paraId="189AA6D7"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6B8BE428"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családi pótlék</w:t>
            </w:r>
          </w:p>
        </w:tc>
        <w:tc>
          <w:tcPr>
            <w:tcW w:w="944" w:type="dxa"/>
            <w:tcBorders>
              <w:top w:val="nil"/>
              <w:left w:val="single" w:sz="4" w:space="0" w:color="auto"/>
              <w:bottom w:val="single" w:sz="4" w:space="0" w:color="auto"/>
              <w:right w:val="single" w:sz="4" w:space="0" w:color="auto"/>
            </w:tcBorders>
            <w:noWrap/>
            <w:vAlign w:val="bottom"/>
            <w:hideMark/>
          </w:tcPr>
          <w:p w14:paraId="70BCBC1A" w14:textId="4EEE5F0C"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305,1</w:t>
            </w:r>
          </w:p>
        </w:tc>
        <w:tc>
          <w:tcPr>
            <w:tcW w:w="991" w:type="dxa"/>
            <w:tcBorders>
              <w:top w:val="nil"/>
              <w:left w:val="nil"/>
              <w:bottom w:val="single" w:sz="4" w:space="0" w:color="auto"/>
              <w:right w:val="single" w:sz="4" w:space="0" w:color="auto"/>
            </w:tcBorders>
            <w:noWrap/>
            <w:vAlign w:val="bottom"/>
            <w:hideMark/>
          </w:tcPr>
          <w:p w14:paraId="13892F1A" w14:textId="72E8F49A"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300,8</w:t>
            </w:r>
          </w:p>
        </w:tc>
        <w:tc>
          <w:tcPr>
            <w:tcW w:w="850" w:type="dxa"/>
            <w:tcBorders>
              <w:top w:val="nil"/>
              <w:left w:val="nil"/>
              <w:bottom w:val="single" w:sz="4" w:space="0" w:color="auto"/>
              <w:right w:val="single" w:sz="4" w:space="0" w:color="auto"/>
            </w:tcBorders>
            <w:noWrap/>
            <w:vAlign w:val="bottom"/>
            <w:hideMark/>
          </w:tcPr>
          <w:p w14:paraId="10E0C374" w14:textId="105FDBF1"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-4,3</w:t>
            </w:r>
          </w:p>
        </w:tc>
        <w:tc>
          <w:tcPr>
            <w:tcW w:w="733" w:type="dxa"/>
            <w:tcBorders>
              <w:top w:val="nil"/>
              <w:left w:val="nil"/>
              <w:bottom w:val="single" w:sz="4" w:space="0" w:color="auto"/>
              <w:right w:val="single" w:sz="4" w:space="0" w:color="auto"/>
            </w:tcBorders>
            <w:noWrap/>
            <w:vAlign w:val="bottom"/>
            <w:hideMark/>
          </w:tcPr>
          <w:p w14:paraId="19B6E5CD" w14:textId="3F7CC152"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98,6</w:t>
            </w:r>
          </w:p>
        </w:tc>
      </w:tr>
      <w:tr w:rsidR="00374988" w:rsidRPr="002E70D5" w14:paraId="5E22A8DD"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7FFF56E0"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anyasági támogatás</w:t>
            </w:r>
          </w:p>
        </w:tc>
        <w:tc>
          <w:tcPr>
            <w:tcW w:w="944" w:type="dxa"/>
            <w:tcBorders>
              <w:top w:val="nil"/>
              <w:left w:val="single" w:sz="4" w:space="0" w:color="auto"/>
              <w:bottom w:val="single" w:sz="4" w:space="0" w:color="auto"/>
              <w:right w:val="single" w:sz="4" w:space="0" w:color="auto"/>
            </w:tcBorders>
            <w:noWrap/>
            <w:vAlign w:val="bottom"/>
            <w:hideMark/>
          </w:tcPr>
          <w:p w14:paraId="01B4C83D" w14:textId="1E6B0EDF"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5,3</w:t>
            </w:r>
          </w:p>
        </w:tc>
        <w:tc>
          <w:tcPr>
            <w:tcW w:w="991" w:type="dxa"/>
            <w:tcBorders>
              <w:top w:val="nil"/>
              <w:left w:val="nil"/>
              <w:bottom w:val="single" w:sz="4" w:space="0" w:color="auto"/>
              <w:right w:val="single" w:sz="4" w:space="0" w:color="auto"/>
            </w:tcBorders>
            <w:noWrap/>
            <w:vAlign w:val="bottom"/>
            <w:hideMark/>
          </w:tcPr>
          <w:p w14:paraId="0F727F31" w14:textId="3586B9BB"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4,9</w:t>
            </w:r>
          </w:p>
        </w:tc>
        <w:tc>
          <w:tcPr>
            <w:tcW w:w="850" w:type="dxa"/>
            <w:tcBorders>
              <w:top w:val="nil"/>
              <w:left w:val="nil"/>
              <w:bottom w:val="single" w:sz="4" w:space="0" w:color="auto"/>
              <w:right w:val="single" w:sz="4" w:space="0" w:color="auto"/>
            </w:tcBorders>
            <w:noWrap/>
            <w:vAlign w:val="bottom"/>
            <w:hideMark/>
          </w:tcPr>
          <w:p w14:paraId="368622AA" w14:textId="0E8B00D4"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-0,4</w:t>
            </w:r>
          </w:p>
        </w:tc>
        <w:tc>
          <w:tcPr>
            <w:tcW w:w="733" w:type="dxa"/>
            <w:tcBorders>
              <w:top w:val="nil"/>
              <w:left w:val="nil"/>
              <w:bottom w:val="single" w:sz="4" w:space="0" w:color="auto"/>
              <w:right w:val="single" w:sz="4" w:space="0" w:color="auto"/>
            </w:tcBorders>
            <w:noWrap/>
            <w:vAlign w:val="bottom"/>
            <w:hideMark/>
          </w:tcPr>
          <w:p w14:paraId="52ECB683" w14:textId="203434B0"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92,5</w:t>
            </w:r>
          </w:p>
        </w:tc>
      </w:tr>
      <w:tr w:rsidR="00374988" w:rsidRPr="002E70D5" w14:paraId="660813D3" w14:textId="77777777" w:rsidTr="00305860">
        <w:trPr>
          <w:trHeight w:val="218"/>
        </w:trPr>
        <w:tc>
          <w:tcPr>
            <w:tcW w:w="5720" w:type="dxa"/>
            <w:tcBorders>
              <w:top w:val="nil"/>
              <w:left w:val="single" w:sz="4" w:space="0" w:color="auto"/>
              <w:bottom w:val="single" w:sz="4" w:space="0" w:color="auto"/>
              <w:right w:val="single" w:sz="4" w:space="0" w:color="auto"/>
            </w:tcBorders>
            <w:vAlign w:val="center"/>
            <w:hideMark/>
          </w:tcPr>
          <w:p w14:paraId="72B507FD"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gyermekgondozást segítő ellátás</w:t>
            </w:r>
          </w:p>
        </w:tc>
        <w:tc>
          <w:tcPr>
            <w:tcW w:w="944" w:type="dxa"/>
            <w:tcBorders>
              <w:top w:val="nil"/>
              <w:left w:val="single" w:sz="4" w:space="0" w:color="auto"/>
              <w:bottom w:val="single" w:sz="4" w:space="0" w:color="auto"/>
              <w:right w:val="single" w:sz="4" w:space="0" w:color="auto"/>
            </w:tcBorders>
            <w:noWrap/>
            <w:vAlign w:val="bottom"/>
            <w:hideMark/>
          </w:tcPr>
          <w:p w14:paraId="26006FB8" w14:textId="64FA29BF"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53,4</w:t>
            </w:r>
          </w:p>
        </w:tc>
        <w:tc>
          <w:tcPr>
            <w:tcW w:w="991" w:type="dxa"/>
            <w:tcBorders>
              <w:top w:val="nil"/>
              <w:left w:val="nil"/>
              <w:bottom w:val="single" w:sz="4" w:space="0" w:color="auto"/>
              <w:right w:val="single" w:sz="4" w:space="0" w:color="auto"/>
            </w:tcBorders>
            <w:noWrap/>
            <w:vAlign w:val="bottom"/>
            <w:hideMark/>
          </w:tcPr>
          <w:p w14:paraId="79CAB497" w14:textId="33890930"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52,7</w:t>
            </w:r>
          </w:p>
        </w:tc>
        <w:tc>
          <w:tcPr>
            <w:tcW w:w="850" w:type="dxa"/>
            <w:tcBorders>
              <w:top w:val="nil"/>
              <w:left w:val="nil"/>
              <w:bottom w:val="single" w:sz="4" w:space="0" w:color="auto"/>
              <w:right w:val="single" w:sz="4" w:space="0" w:color="auto"/>
            </w:tcBorders>
            <w:noWrap/>
            <w:vAlign w:val="bottom"/>
            <w:hideMark/>
          </w:tcPr>
          <w:p w14:paraId="707F0162" w14:textId="42FC93F3"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-0,7</w:t>
            </w:r>
          </w:p>
        </w:tc>
        <w:tc>
          <w:tcPr>
            <w:tcW w:w="733" w:type="dxa"/>
            <w:tcBorders>
              <w:top w:val="nil"/>
              <w:left w:val="nil"/>
              <w:bottom w:val="single" w:sz="4" w:space="0" w:color="auto"/>
              <w:right w:val="single" w:sz="4" w:space="0" w:color="auto"/>
            </w:tcBorders>
            <w:noWrap/>
            <w:vAlign w:val="bottom"/>
            <w:hideMark/>
          </w:tcPr>
          <w:p w14:paraId="5365089B" w14:textId="0A022E48"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98,7</w:t>
            </w:r>
          </w:p>
        </w:tc>
      </w:tr>
      <w:tr w:rsidR="00374988" w:rsidRPr="002E70D5" w14:paraId="54D4B8EA" w14:textId="77777777" w:rsidTr="00305860">
        <w:trPr>
          <w:trHeight w:val="218"/>
        </w:trPr>
        <w:tc>
          <w:tcPr>
            <w:tcW w:w="5720" w:type="dxa"/>
            <w:tcBorders>
              <w:top w:val="nil"/>
              <w:left w:val="single" w:sz="4" w:space="0" w:color="auto"/>
              <w:bottom w:val="single" w:sz="4" w:space="0" w:color="auto"/>
              <w:right w:val="single" w:sz="4" w:space="0" w:color="auto"/>
            </w:tcBorders>
            <w:vAlign w:val="center"/>
            <w:hideMark/>
          </w:tcPr>
          <w:p w14:paraId="5EED669C"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gyermeknevelési támogatás</w:t>
            </w:r>
          </w:p>
        </w:tc>
        <w:tc>
          <w:tcPr>
            <w:tcW w:w="944" w:type="dxa"/>
            <w:tcBorders>
              <w:top w:val="nil"/>
              <w:left w:val="single" w:sz="4" w:space="0" w:color="auto"/>
              <w:bottom w:val="single" w:sz="4" w:space="0" w:color="auto"/>
              <w:right w:val="single" w:sz="4" w:space="0" w:color="auto"/>
            </w:tcBorders>
            <w:noWrap/>
            <w:vAlign w:val="bottom"/>
            <w:hideMark/>
          </w:tcPr>
          <w:p w14:paraId="54864A29" w14:textId="38692537"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9,4</w:t>
            </w:r>
          </w:p>
        </w:tc>
        <w:tc>
          <w:tcPr>
            <w:tcW w:w="991" w:type="dxa"/>
            <w:tcBorders>
              <w:top w:val="nil"/>
              <w:left w:val="nil"/>
              <w:bottom w:val="single" w:sz="4" w:space="0" w:color="auto"/>
              <w:right w:val="single" w:sz="4" w:space="0" w:color="auto"/>
            </w:tcBorders>
            <w:noWrap/>
            <w:vAlign w:val="bottom"/>
            <w:hideMark/>
          </w:tcPr>
          <w:p w14:paraId="3ED7D86B" w14:textId="177B04D8"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8,9</w:t>
            </w:r>
          </w:p>
        </w:tc>
        <w:tc>
          <w:tcPr>
            <w:tcW w:w="850" w:type="dxa"/>
            <w:tcBorders>
              <w:top w:val="nil"/>
              <w:left w:val="nil"/>
              <w:bottom w:val="single" w:sz="4" w:space="0" w:color="auto"/>
              <w:right w:val="single" w:sz="4" w:space="0" w:color="auto"/>
            </w:tcBorders>
            <w:noWrap/>
            <w:vAlign w:val="bottom"/>
            <w:hideMark/>
          </w:tcPr>
          <w:p w14:paraId="79964C52" w14:textId="6C7D3A18"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-0,5</w:t>
            </w:r>
          </w:p>
        </w:tc>
        <w:tc>
          <w:tcPr>
            <w:tcW w:w="733" w:type="dxa"/>
            <w:tcBorders>
              <w:top w:val="nil"/>
              <w:left w:val="nil"/>
              <w:bottom w:val="single" w:sz="4" w:space="0" w:color="auto"/>
              <w:right w:val="single" w:sz="4" w:space="0" w:color="auto"/>
            </w:tcBorders>
            <w:noWrap/>
            <w:vAlign w:val="bottom"/>
            <w:hideMark/>
          </w:tcPr>
          <w:p w14:paraId="15FAE29F" w14:textId="4F1FAF27"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94,7</w:t>
            </w:r>
          </w:p>
        </w:tc>
      </w:tr>
      <w:tr w:rsidR="00374988" w:rsidRPr="002E70D5" w14:paraId="0932D838" w14:textId="77777777" w:rsidTr="00305860">
        <w:trPr>
          <w:trHeight w:val="218"/>
        </w:trPr>
        <w:tc>
          <w:tcPr>
            <w:tcW w:w="5720" w:type="dxa"/>
            <w:tcBorders>
              <w:top w:val="nil"/>
              <w:left w:val="single" w:sz="4" w:space="0" w:color="auto"/>
              <w:bottom w:val="single" w:sz="4" w:space="0" w:color="auto"/>
              <w:right w:val="single" w:sz="4" w:space="0" w:color="auto"/>
            </w:tcBorders>
            <w:vAlign w:val="center"/>
            <w:hideMark/>
          </w:tcPr>
          <w:p w14:paraId="7FC6C9F6"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gyermekek születésével kapcsolatos szabadság megtérítése</w:t>
            </w:r>
          </w:p>
        </w:tc>
        <w:tc>
          <w:tcPr>
            <w:tcW w:w="944" w:type="dxa"/>
            <w:tcBorders>
              <w:top w:val="nil"/>
              <w:left w:val="single" w:sz="4" w:space="0" w:color="auto"/>
              <w:bottom w:val="single" w:sz="4" w:space="0" w:color="auto"/>
              <w:right w:val="single" w:sz="4" w:space="0" w:color="auto"/>
            </w:tcBorders>
            <w:noWrap/>
            <w:vAlign w:val="bottom"/>
            <w:hideMark/>
          </w:tcPr>
          <w:p w14:paraId="083EE439" w14:textId="4DB2FFC0"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4,9</w:t>
            </w:r>
          </w:p>
        </w:tc>
        <w:tc>
          <w:tcPr>
            <w:tcW w:w="991" w:type="dxa"/>
            <w:tcBorders>
              <w:top w:val="nil"/>
              <w:left w:val="nil"/>
              <w:bottom w:val="single" w:sz="4" w:space="0" w:color="auto"/>
              <w:right w:val="single" w:sz="4" w:space="0" w:color="auto"/>
            </w:tcBorders>
            <w:noWrap/>
            <w:vAlign w:val="bottom"/>
            <w:hideMark/>
          </w:tcPr>
          <w:p w14:paraId="6FC609F0" w14:textId="0F9B0D2D"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5,1</w:t>
            </w:r>
          </w:p>
        </w:tc>
        <w:tc>
          <w:tcPr>
            <w:tcW w:w="850" w:type="dxa"/>
            <w:tcBorders>
              <w:top w:val="nil"/>
              <w:left w:val="nil"/>
              <w:bottom w:val="single" w:sz="4" w:space="0" w:color="auto"/>
              <w:right w:val="single" w:sz="4" w:space="0" w:color="auto"/>
            </w:tcBorders>
            <w:noWrap/>
            <w:vAlign w:val="bottom"/>
            <w:hideMark/>
          </w:tcPr>
          <w:p w14:paraId="1B7834F9" w14:textId="435DEF89"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0,2</w:t>
            </w:r>
          </w:p>
        </w:tc>
        <w:tc>
          <w:tcPr>
            <w:tcW w:w="733" w:type="dxa"/>
            <w:tcBorders>
              <w:top w:val="nil"/>
              <w:left w:val="nil"/>
              <w:bottom w:val="single" w:sz="4" w:space="0" w:color="auto"/>
              <w:right w:val="single" w:sz="4" w:space="0" w:color="auto"/>
            </w:tcBorders>
            <w:noWrap/>
            <w:vAlign w:val="bottom"/>
            <w:hideMark/>
          </w:tcPr>
          <w:p w14:paraId="6D9506CD" w14:textId="7A653043"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104,1</w:t>
            </w:r>
          </w:p>
        </w:tc>
      </w:tr>
      <w:tr w:rsidR="00374988" w:rsidRPr="002E70D5" w14:paraId="5C1FD170" w14:textId="77777777" w:rsidTr="00305860">
        <w:trPr>
          <w:trHeight w:val="218"/>
        </w:trPr>
        <w:tc>
          <w:tcPr>
            <w:tcW w:w="5720" w:type="dxa"/>
            <w:tcBorders>
              <w:top w:val="nil"/>
              <w:left w:val="single" w:sz="4" w:space="0" w:color="auto"/>
              <w:bottom w:val="single" w:sz="4" w:space="0" w:color="auto"/>
              <w:right w:val="single" w:sz="4" w:space="0" w:color="auto"/>
            </w:tcBorders>
            <w:vAlign w:val="center"/>
            <w:hideMark/>
          </w:tcPr>
          <w:p w14:paraId="7E9D85A0"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életkezdési támogatás</w:t>
            </w:r>
          </w:p>
        </w:tc>
        <w:tc>
          <w:tcPr>
            <w:tcW w:w="944" w:type="dxa"/>
            <w:tcBorders>
              <w:top w:val="nil"/>
              <w:left w:val="single" w:sz="4" w:space="0" w:color="auto"/>
              <w:bottom w:val="single" w:sz="4" w:space="0" w:color="auto"/>
              <w:right w:val="single" w:sz="4" w:space="0" w:color="auto"/>
            </w:tcBorders>
            <w:noWrap/>
            <w:vAlign w:val="bottom"/>
            <w:hideMark/>
          </w:tcPr>
          <w:p w14:paraId="7C1C4E8C" w14:textId="7B85DC2C"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24,7</w:t>
            </w:r>
          </w:p>
        </w:tc>
        <w:tc>
          <w:tcPr>
            <w:tcW w:w="991" w:type="dxa"/>
            <w:tcBorders>
              <w:top w:val="nil"/>
              <w:left w:val="nil"/>
              <w:bottom w:val="single" w:sz="4" w:space="0" w:color="auto"/>
              <w:right w:val="single" w:sz="4" w:space="0" w:color="auto"/>
            </w:tcBorders>
            <w:noWrap/>
            <w:vAlign w:val="bottom"/>
            <w:hideMark/>
          </w:tcPr>
          <w:p w14:paraId="64FE41C6" w14:textId="4F1C822E"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11,1</w:t>
            </w:r>
          </w:p>
        </w:tc>
        <w:tc>
          <w:tcPr>
            <w:tcW w:w="850" w:type="dxa"/>
            <w:tcBorders>
              <w:top w:val="nil"/>
              <w:left w:val="nil"/>
              <w:bottom w:val="single" w:sz="4" w:space="0" w:color="auto"/>
              <w:right w:val="single" w:sz="4" w:space="0" w:color="auto"/>
            </w:tcBorders>
            <w:noWrap/>
            <w:vAlign w:val="bottom"/>
            <w:hideMark/>
          </w:tcPr>
          <w:p w14:paraId="092E3EF2" w14:textId="05F53560"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-13,6</w:t>
            </w:r>
          </w:p>
        </w:tc>
        <w:tc>
          <w:tcPr>
            <w:tcW w:w="733" w:type="dxa"/>
            <w:tcBorders>
              <w:top w:val="nil"/>
              <w:left w:val="nil"/>
              <w:bottom w:val="single" w:sz="4" w:space="0" w:color="auto"/>
              <w:right w:val="single" w:sz="4" w:space="0" w:color="auto"/>
            </w:tcBorders>
            <w:noWrap/>
            <w:vAlign w:val="bottom"/>
            <w:hideMark/>
          </w:tcPr>
          <w:p w14:paraId="4E31809C" w14:textId="3813DDEE"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44,9</w:t>
            </w:r>
          </w:p>
        </w:tc>
      </w:tr>
      <w:tr w:rsidR="00374988" w:rsidRPr="002E70D5" w14:paraId="5B535E4D"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4BB29DB0" w14:textId="77777777" w:rsidR="00374988" w:rsidRPr="002E70D5" w:rsidRDefault="00374988" w:rsidP="00374988">
            <w:pPr>
              <w:spacing w:after="0"/>
              <w:rPr>
                <w:rFonts w:ascii="Times New Roman" w:hAnsi="Times New Roman" w:cs="Times New Roman"/>
                <w:b/>
                <w:bCs/>
                <w:color w:val="000000" w:themeColor="text1"/>
                <w:sz w:val="20"/>
                <w:szCs w:val="20"/>
              </w:rPr>
            </w:pPr>
            <w:r w:rsidRPr="7A1FFE35">
              <w:rPr>
                <w:rFonts w:ascii="Times New Roman" w:hAnsi="Times New Roman" w:cs="Times New Roman"/>
                <w:b/>
                <w:bCs/>
                <w:color w:val="000000" w:themeColor="text1"/>
                <w:sz w:val="20"/>
                <w:szCs w:val="20"/>
              </w:rPr>
              <w:t>Korhatár alatti ellátások</w:t>
            </w:r>
          </w:p>
        </w:tc>
        <w:tc>
          <w:tcPr>
            <w:tcW w:w="944" w:type="dxa"/>
            <w:tcBorders>
              <w:top w:val="nil"/>
              <w:left w:val="single" w:sz="4" w:space="0" w:color="auto"/>
              <w:bottom w:val="single" w:sz="4" w:space="0" w:color="auto"/>
              <w:right w:val="single" w:sz="4" w:space="0" w:color="auto"/>
            </w:tcBorders>
            <w:noWrap/>
            <w:vAlign w:val="bottom"/>
            <w:hideMark/>
          </w:tcPr>
          <w:p w14:paraId="1E584746" w14:textId="4476701E"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124,3</w:t>
            </w:r>
          </w:p>
        </w:tc>
        <w:tc>
          <w:tcPr>
            <w:tcW w:w="991" w:type="dxa"/>
            <w:tcBorders>
              <w:top w:val="nil"/>
              <w:left w:val="nil"/>
              <w:bottom w:val="single" w:sz="4" w:space="0" w:color="auto"/>
              <w:right w:val="single" w:sz="4" w:space="0" w:color="auto"/>
            </w:tcBorders>
            <w:noWrap/>
            <w:vAlign w:val="bottom"/>
            <w:hideMark/>
          </w:tcPr>
          <w:p w14:paraId="3BB31635" w14:textId="46873D12"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120,7</w:t>
            </w:r>
          </w:p>
        </w:tc>
        <w:tc>
          <w:tcPr>
            <w:tcW w:w="850" w:type="dxa"/>
            <w:tcBorders>
              <w:top w:val="nil"/>
              <w:left w:val="nil"/>
              <w:bottom w:val="single" w:sz="4" w:space="0" w:color="auto"/>
              <w:right w:val="single" w:sz="4" w:space="0" w:color="auto"/>
            </w:tcBorders>
            <w:noWrap/>
            <w:vAlign w:val="bottom"/>
            <w:hideMark/>
          </w:tcPr>
          <w:p w14:paraId="6067B78F" w14:textId="7B8D0737"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-3,6</w:t>
            </w:r>
          </w:p>
        </w:tc>
        <w:tc>
          <w:tcPr>
            <w:tcW w:w="733" w:type="dxa"/>
            <w:tcBorders>
              <w:top w:val="nil"/>
              <w:left w:val="nil"/>
              <w:bottom w:val="single" w:sz="4" w:space="0" w:color="auto"/>
              <w:right w:val="single" w:sz="4" w:space="0" w:color="auto"/>
            </w:tcBorders>
            <w:noWrap/>
            <w:vAlign w:val="bottom"/>
            <w:hideMark/>
          </w:tcPr>
          <w:p w14:paraId="05F9CDA8" w14:textId="70BFAF02"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97,1</w:t>
            </w:r>
          </w:p>
        </w:tc>
      </w:tr>
      <w:tr w:rsidR="00374988" w:rsidRPr="002E70D5" w14:paraId="2D6D4FB3"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285599A0" w14:textId="77777777" w:rsidR="00374988" w:rsidRPr="002E70D5" w:rsidRDefault="00374988" w:rsidP="00374988">
            <w:pPr>
              <w:spacing w:after="0"/>
              <w:rPr>
                <w:rFonts w:ascii="Times New Roman" w:hAnsi="Times New Roman" w:cs="Times New Roman"/>
                <w:b/>
                <w:bCs/>
                <w:color w:val="000000" w:themeColor="text1"/>
                <w:sz w:val="20"/>
                <w:szCs w:val="20"/>
              </w:rPr>
            </w:pPr>
            <w:r w:rsidRPr="7A1FFE35">
              <w:rPr>
                <w:rFonts w:ascii="Times New Roman" w:hAnsi="Times New Roman" w:cs="Times New Roman"/>
                <w:b/>
                <w:bCs/>
                <w:color w:val="000000" w:themeColor="text1"/>
                <w:sz w:val="20"/>
                <w:szCs w:val="20"/>
              </w:rPr>
              <w:t>Jövedelempótló és jövedelemkiegészítő szociális támogatások</w:t>
            </w:r>
          </w:p>
        </w:tc>
        <w:tc>
          <w:tcPr>
            <w:tcW w:w="944" w:type="dxa"/>
            <w:tcBorders>
              <w:top w:val="nil"/>
              <w:left w:val="single" w:sz="4" w:space="0" w:color="auto"/>
              <w:bottom w:val="single" w:sz="4" w:space="0" w:color="auto"/>
              <w:right w:val="single" w:sz="4" w:space="0" w:color="auto"/>
            </w:tcBorders>
            <w:noWrap/>
            <w:vAlign w:val="bottom"/>
            <w:hideMark/>
          </w:tcPr>
          <w:p w14:paraId="76F346F2" w14:textId="04BE36AD"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225,3</w:t>
            </w:r>
          </w:p>
        </w:tc>
        <w:tc>
          <w:tcPr>
            <w:tcW w:w="991" w:type="dxa"/>
            <w:tcBorders>
              <w:top w:val="nil"/>
              <w:left w:val="nil"/>
              <w:bottom w:val="single" w:sz="4" w:space="0" w:color="auto"/>
              <w:right w:val="single" w:sz="4" w:space="0" w:color="auto"/>
            </w:tcBorders>
            <w:noWrap/>
            <w:vAlign w:val="bottom"/>
            <w:hideMark/>
          </w:tcPr>
          <w:p w14:paraId="6DF5981D" w14:textId="258DA286"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246,2</w:t>
            </w:r>
          </w:p>
        </w:tc>
        <w:tc>
          <w:tcPr>
            <w:tcW w:w="850" w:type="dxa"/>
            <w:tcBorders>
              <w:top w:val="nil"/>
              <w:left w:val="nil"/>
              <w:bottom w:val="single" w:sz="4" w:space="0" w:color="auto"/>
              <w:right w:val="single" w:sz="4" w:space="0" w:color="auto"/>
            </w:tcBorders>
            <w:noWrap/>
            <w:vAlign w:val="bottom"/>
            <w:hideMark/>
          </w:tcPr>
          <w:p w14:paraId="01D98773" w14:textId="41D52389"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20,9</w:t>
            </w:r>
          </w:p>
        </w:tc>
        <w:tc>
          <w:tcPr>
            <w:tcW w:w="733" w:type="dxa"/>
            <w:tcBorders>
              <w:top w:val="nil"/>
              <w:left w:val="nil"/>
              <w:bottom w:val="single" w:sz="4" w:space="0" w:color="auto"/>
              <w:right w:val="single" w:sz="4" w:space="0" w:color="auto"/>
            </w:tcBorders>
            <w:noWrap/>
            <w:vAlign w:val="bottom"/>
            <w:hideMark/>
          </w:tcPr>
          <w:p w14:paraId="112E0472" w14:textId="12195303"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109,3</w:t>
            </w:r>
          </w:p>
        </w:tc>
      </w:tr>
      <w:tr w:rsidR="00374988" w:rsidRPr="002E70D5" w14:paraId="2F68BD6E"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55975F0B" w14:textId="77777777" w:rsidR="00374988" w:rsidRPr="002E70D5" w:rsidRDefault="00374988" w:rsidP="00374988">
            <w:pPr>
              <w:spacing w:after="0"/>
              <w:ind w:firstLineChars="100" w:firstLine="2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Ebből:</w:t>
            </w:r>
          </w:p>
        </w:tc>
        <w:tc>
          <w:tcPr>
            <w:tcW w:w="944" w:type="dxa"/>
            <w:tcBorders>
              <w:top w:val="nil"/>
              <w:left w:val="single" w:sz="4" w:space="0" w:color="auto"/>
              <w:bottom w:val="single" w:sz="4" w:space="0" w:color="auto"/>
              <w:right w:val="single" w:sz="4" w:space="0" w:color="auto"/>
            </w:tcBorders>
            <w:noWrap/>
            <w:vAlign w:val="bottom"/>
            <w:hideMark/>
          </w:tcPr>
          <w:p w14:paraId="2B25FABF" w14:textId="38C79910"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991" w:type="dxa"/>
            <w:tcBorders>
              <w:top w:val="nil"/>
              <w:left w:val="nil"/>
              <w:bottom w:val="single" w:sz="4" w:space="0" w:color="auto"/>
              <w:right w:val="single" w:sz="4" w:space="0" w:color="auto"/>
            </w:tcBorders>
            <w:noWrap/>
            <w:vAlign w:val="bottom"/>
            <w:hideMark/>
          </w:tcPr>
          <w:p w14:paraId="6B112B61" w14:textId="4979AA91"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noWrap/>
            <w:vAlign w:val="bottom"/>
            <w:hideMark/>
          </w:tcPr>
          <w:p w14:paraId="0CBA18B6" w14:textId="7091648E"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733" w:type="dxa"/>
            <w:tcBorders>
              <w:top w:val="nil"/>
              <w:left w:val="nil"/>
              <w:bottom w:val="single" w:sz="4" w:space="0" w:color="auto"/>
              <w:right w:val="single" w:sz="4" w:space="0" w:color="auto"/>
            </w:tcBorders>
            <w:noWrap/>
            <w:vAlign w:val="bottom"/>
            <w:hideMark/>
          </w:tcPr>
          <w:p w14:paraId="5A52A3F4" w14:textId="6097B7FA"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 </w:t>
            </w:r>
          </w:p>
        </w:tc>
      </w:tr>
      <w:tr w:rsidR="00374988" w:rsidRPr="002E70D5" w14:paraId="0E61B6E0" w14:textId="77777777" w:rsidTr="00305860">
        <w:trPr>
          <w:trHeight w:val="218"/>
        </w:trPr>
        <w:tc>
          <w:tcPr>
            <w:tcW w:w="5720" w:type="dxa"/>
            <w:tcBorders>
              <w:top w:val="nil"/>
              <w:left w:val="single" w:sz="4" w:space="0" w:color="auto"/>
              <w:bottom w:val="single" w:sz="4" w:space="0" w:color="auto"/>
              <w:right w:val="single" w:sz="4" w:space="0" w:color="auto"/>
            </w:tcBorders>
            <w:noWrap/>
            <w:vAlign w:val="center"/>
            <w:hideMark/>
          </w:tcPr>
          <w:p w14:paraId="6037ED1E"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Jövedelempótló és jövedelemkiegészítő ellátások</w:t>
            </w:r>
          </w:p>
        </w:tc>
        <w:tc>
          <w:tcPr>
            <w:tcW w:w="944" w:type="dxa"/>
            <w:tcBorders>
              <w:top w:val="nil"/>
              <w:left w:val="single" w:sz="4" w:space="0" w:color="auto"/>
              <w:bottom w:val="single" w:sz="4" w:space="0" w:color="auto"/>
              <w:right w:val="single" w:sz="4" w:space="0" w:color="auto"/>
            </w:tcBorders>
            <w:noWrap/>
            <w:vAlign w:val="bottom"/>
            <w:hideMark/>
          </w:tcPr>
          <w:p w14:paraId="5C906EAA" w14:textId="567E4474"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77,9</w:t>
            </w:r>
          </w:p>
        </w:tc>
        <w:tc>
          <w:tcPr>
            <w:tcW w:w="991" w:type="dxa"/>
            <w:tcBorders>
              <w:top w:val="nil"/>
              <w:left w:val="nil"/>
              <w:bottom w:val="single" w:sz="4" w:space="0" w:color="auto"/>
              <w:right w:val="single" w:sz="4" w:space="0" w:color="auto"/>
            </w:tcBorders>
            <w:noWrap/>
            <w:vAlign w:val="bottom"/>
            <w:hideMark/>
          </w:tcPr>
          <w:p w14:paraId="2BF256A3" w14:textId="51104D4B"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79,3</w:t>
            </w:r>
          </w:p>
        </w:tc>
        <w:tc>
          <w:tcPr>
            <w:tcW w:w="850" w:type="dxa"/>
            <w:tcBorders>
              <w:top w:val="nil"/>
              <w:left w:val="nil"/>
              <w:bottom w:val="single" w:sz="4" w:space="0" w:color="auto"/>
              <w:right w:val="single" w:sz="4" w:space="0" w:color="auto"/>
            </w:tcBorders>
            <w:noWrap/>
            <w:vAlign w:val="bottom"/>
            <w:hideMark/>
          </w:tcPr>
          <w:p w14:paraId="0AF26DC1" w14:textId="2758D3BF"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1,4</w:t>
            </w:r>
          </w:p>
        </w:tc>
        <w:tc>
          <w:tcPr>
            <w:tcW w:w="733" w:type="dxa"/>
            <w:tcBorders>
              <w:top w:val="nil"/>
              <w:left w:val="nil"/>
              <w:bottom w:val="single" w:sz="4" w:space="0" w:color="auto"/>
              <w:right w:val="single" w:sz="4" w:space="0" w:color="auto"/>
            </w:tcBorders>
            <w:noWrap/>
            <w:vAlign w:val="bottom"/>
            <w:hideMark/>
          </w:tcPr>
          <w:p w14:paraId="116943FB" w14:textId="011AE260"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101,8</w:t>
            </w:r>
          </w:p>
        </w:tc>
      </w:tr>
      <w:tr w:rsidR="00374988" w:rsidRPr="002E70D5" w14:paraId="4BD7171B" w14:textId="77777777" w:rsidTr="00305860">
        <w:trPr>
          <w:trHeight w:val="218"/>
        </w:trPr>
        <w:tc>
          <w:tcPr>
            <w:tcW w:w="5720" w:type="dxa"/>
            <w:tcBorders>
              <w:top w:val="nil"/>
              <w:left w:val="single" w:sz="4" w:space="0" w:color="auto"/>
              <w:bottom w:val="single" w:sz="4" w:space="0" w:color="auto"/>
              <w:right w:val="single" w:sz="4" w:space="0" w:color="auto"/>
            </w:tcBorders>
            <w:noWrap/>
            <w:vAlign w:val="center"/>
            <w:hideMark/>
          </w:tcPr>
          <w:p w14:paraId="55B155D0"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Járási szociális feladatok ellátása</w:t>
            </w:r>
          </w:p>
        </w:tc>
        <w:tc>
          <w:tcPr>
            <w:tcW w:w="944" w:type="dxa"/>
            <w:tcBorders>
              <w:top w:val="nil"/>
              <w:left w:val="single" w:sz="4" w:space="0" w:color="auto"/>
              <w:bottom w:val="single" w:sz="4" w:space="0" w:color="auto"/>
              <w:right w:val="single" w:sz="4" w:space="0" w:color="auto"/>
            </w:tcBorders>
            <w:noWrap/>
            <w:vAlign w:val="bottom"/>
            <w:hideMark/>
          </w:tcPr>
          <w:p w14:paraId="0F35ED60" w14:textId="4D3F08F9"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147,4</w:t>
            </w:r>
          </w:p>
        </w:tc>
        <w:tc>
          <w:tcPr>
            <w:tcW w:w="991" w:type="dxa"/>
            <w:tcBorders>
              <w:top w:val="nil"/>
              <w:left w:val="nil"/>
              <w:bottom w:val="single" w:sz="4" w:space="0" w:color="auto"/>
              <w:right w:val="single" w:sz="4" w:space="0" w:color="auto"/>
            </w:tcBorders>
            <w:noWrap/>
            <w:vAlign w:val="bottom"/>
            <w:hideMark/>
          </w:tcPr>
          <w:p w14:paraId="22E02311" w14:textId="168278D1"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166,9</w:t>
            </w:r>
          </w:p>
        </w:tc>
        <w:tc>
          <w:tcPr>
            <w:tcW w:w="850" w:type="dxa"/>
            <w:tcBorders>
              <w:top w:val="nil"/>
              <w:left w:val="nil"/>
              <w:bottom w:val="single" w:sz="4" w:space="0" w:color="auto"/>
              <w:right w:val="single" w:sz="4" w:space="0" w:color="auto"/>
            </w:tcBorders>
            <w:noWrap/>
            <w:vAlign w:val="bottom"/>
            <w:hideMark/>
          </w:tcPr>
          <w:p w14:paraId="0BADF695" w14:textId="0D6CA13A"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19,5</w:t>
            </w:r>
          </w:p>
        </w:tc>
        <w:tc>
          <w:tcPr>
            <w:tcW w:w="733" w:type="dxa"/>
            <w:tcBorders>
              <w:top w:val="nil"/>
              <w:left w:val="nil"/>
              <w:bottom w:val="single" w:sz="4" w:space="0" w:color="auto"/>
              <w:right w:val="single" w:sz="4" w:space="0" w:color="auto"/>
            </w:tcBorders>
            <w:noWrap/>
            <w:vAlign w:val="bottom"/>
            <w:hideMark/>
          </w:tcPr>
          <w:p w14:paraId="2BD95678" w14:textId="7B25C6AF"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113,2</w:t>
            </w:r>
          </w:p>
        </w:tc>
      </w:tr>
      <w:tr w:rsidR="00374988" w:rsidRPr="002E70D5" w14:paraId="5D884F8B"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159E34A9" w14:textId="77777777" w:rsidR="00374988" w:rsidRPr="002E70D5" w:rsidRDefault="00374988" w:rsidP="00374988">
            <w:pPr>
              <w:spacing w:after="0"/>
              <w:rPr>
                <w:rFonts w:ascii="Times New Roman" w:hAnsi="Times New Roman" w:cs="Times New Roman"/>
                <w:b/>
                <w:bCs/>
                <w:color w:val="000000" w:themeColor="text1"/>
                <w:sz w:val="20"/>
                <w:szCs w:val="20"/>
              </w:rPr>
            </w:pPr>
            <w:r w:rsidRPr="7A1FFE35">
              <w:rPr>
                <w:rFonts w:ascii="Times New Roman" w:hAnsi="Times New Roman" w:cs="Times New Roman"/>
                <w:b/>
                <w:bCs/>
                <w:color w:val="000000" w:themeColor="text1"/>
                <w:sz w:val="20"/>
                <w:szCs w:val="20"/>
              </w:rPr>
              <w:t>Különféle jogcímen adott térítések</w:t>
            </w:r>
          </w:p>
        </w:tc>
        <w:tc>
          <w:tcPr>
            <w:tcW w:w="944" w:type="dxa"/>
            <w:tcBorders>
              <w:top w:val="nil"/>
              <w:left w:val="single" w:sz="4" w:space="0" w:color="auto"/>
              <w:bottom w:val="single" w:sz="4" w:space="0" w:color="auto"/>
              <w:right w:val="single" w:sz="4" w:space="0" w:color="auto"/>
            </w:tcBorders>
            <w:noWrap/>
            <w:vAlign w:val="bottom"/>
            <w:hideMark/>
          </w:tcPr>
          <w:p w14:paraId="715706AA" w14:textId="168EE7E0"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23,0</w:t>
            </w:r>
          </w:p>
        </w:tc>
        <w:tc>
          <w:tcPr>
            <w:tcW w:w="991" w:type="dxa"/>
            <w:tcBorders>
              <w:top w:val="nil"/>
              <w:left w:val="nil"/>
              <w:bottom w:val="single" w:sz="4" w:space="0" w:color="auto"/>
              <w:right w:val="single" w:sz="4" w:space="0" w:color="auto"/>
            </w:tcBorders>
            <w:noWrap/>
            <w:vAlign w:val="bottom"/>
            <w:hideMark/>
          </w:tcPr>
          <w:p w14:paraId="32A7AEB4" w14:textId="67A79D51"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21,6</w:t>
            </w:r>
          </w:p>
        </w:tc>
        <w:tc>
          <w:tcPr>
            <w:tcW w:w="850" w:type="dxa"/>
            <w:tcBorders>
              <w:top w:val="nil"/>
              <w:left w:val="nil"/>
              <w:bottom w:val="single" w:sz="4" w:space="0" w:color="auto"/>
              <w:right w:val="single" w:sz="4" w:space="0" w:color="auto"/>
            </w:tcBorders>
            <w:noWrap/>
            <w:vAlign w:val="bottom"/>
            <w:hideMark/>
          </w:tcPr>
          <w:p w14:paraId="65E60E79" w14:textId="6E27E5C5"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-1,4</w:t>
            </w:r>
          </w:p>
        </w:tc>
        <w:tc>
          <w:tcPr>
            <w:tcW w:w="733" w:type="dxa"/>
            <w:tcBorders>
              <w:top w:val="nil"/>
              <w:left w:val="nil"/>
              <w:bottom w:val="single" w:sz="4" w:space="0" w:color="auto"/>
              <w:right w:val="single" w:sz="4" w:space="0" w:color="auto"/>
            </w:tcBorders>
            <w:noWrap/>
            <w:vAlign w:val="bottom"/>
            <w:hideMark/>
          </w:tcPr>
          <w:p w14:paraId="45C6250D" w14:textId="11072BA2"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93,9</w:t>
            </w:r>
          </w:p>
        </w:tc>
      </w:tr>
      <w:tr w:rsidR="00374988" w:rsidRPr="002E70D5" w14:paraId="1F6A3088"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51606FF2" w14:textId="77777777" w:rsidR="00374988" w:rsidRPr="002E70D5" w:rsidRDefault="00374988" w:rsidP="00374988">
            <w:pPr>
              <w:spacing w:after="0"/>
              <w:ind w:firstLineChars="100" w:firstLine="2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 xml:space="preserve">Ebből: </w:t>
            </w:r>
          </w:p>
        </w:tc>
        <w:tc>
          <w:tcPr>
            <w:tcW w:w="944" w:type="dxa"/>
            <w:tcBorders>
              <w:top w:val="nil"/>
              <w:left w:val="single" w:sz="4" w:space="0" w:color="auto"/>
              <w:bottom w:val="single" w:sz="4" w:space="0" w:color="auto"/>
              <w:right w:val="single" w:sz="4" w:space="0" w:color="auto"/>
            </w:tcBorders>
            <w:noWrap/>
            <w:vAlign w:val="bottom"/>
            <w:hideMark/>
          </w:tcPr>
          <w:p w14:paraId="7BB378B1" w14:textId="34AA8A2D"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991" w:type="dxa"/>
            <w:tcBorders>
              <w:top w:val="nil"/>
              <w:left w:val="nil"/>
              <w:bottom w:val="single" w:sz="4" w:space="0" w:color="auto"/>
              <w:right w:val="single" w:sz="4" w:space="0" w:color="auto"/>
            </w:tcBorders>
            <w:noWrap/>
            <w:vAlign w:val="bottom"/>
            <w:hideMark/>
          </w:tcPr>
          <w:p w14:paraId="2F2A2014" w14:textId="12ACE80D"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noWrap/>
            <w:vAlign w:val="bottom"/>
            <w:hideMark/>
          </w:tcPr>
          <w:p w14:paraId="7E1D69D1" w14:textId="05E10305"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c>
          <w:tcPr>
            <w:tcW w:w="733" w:type="dxa"/>
            <w:tcBorders>
              <w:top w:val="nil"/>
              <w:left w:val="nil"/>
              <w:bottom w:val="single" w:sz="4" w:space="0" w:color="auto"/>
              <w:right w:val="single" w:sz="4" w:space="0" w:color="auto"/>
            </w:tcBorders>
            <w:noWrap/>
            <w:vAlign w:val="bottom"/>
            <w:hideMark/>
          </w:tcPr>
          <w:p w14:paraId="49716CDD" w14:textId="6A02F8FE"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 </w:t>
            </w:r>
          </w:p>
        </w:tc>
      </w:tr>
      <w:tr w:rsidR="00374988" w:rsidRPr="002E70D5" w14:paraId="084817F6"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47D48781" w14:textId="77777777" w:rsidR="00374988" w:rsidRPr="002E70D5" w:rsidRDefault="00374988" w:rsidP="00374988">
            <w:pPr>
              <w:spacing w:after="0"/>
              <w:ind w:firstLineChars="400" w:firstLine="800"/>
              <w:rPr>
                <w:rFonts w:ascii="Times New Roman" w:hAnsi="Times New Roman" w:cs="Times New Roman"/>
                <w:i/>
                <w:iCs/>
                <w:color w:val="000000" w:themeColor="text1"/>
                <w:sz w:val="20"/>
                <w:szCs w:val="20"/>
              </w:rPr>
            </w:pPr>
            <w:r w:rsidRPr="7A1FFE35">
              <w:rPr>
                <w:rFonts w:ascii="Times New Roman" w:hAnsi="Times New Roman" w:cs="Times New Roman"/>
                <w:i/>
                <w:iCs/>
                <w:color w:val="000000" w:themeColor="text1"/>
                <w:sz w:val="20"/>
                <w:szCs w:val="20"/>
              </w:rPr>
              <w:t>közgyógyellátás</w:t>
            </w:r>
          </w:p>
        </w:tc>
        <w:tc>
          <w:tcPr>
            <w:tcW w:w="944" w:type="dxa"/>
            <w:tcBorders>
              <w:top w:val="nil"/>
              <w:left w:val="single" w:sz="4" w:space="0" w:color="auto"/>
              <w:bottom w:val="single" w:sz="4" w:space="0" w:color="auto"/>
              <w:right w:val="single" w:sz="4" w:space="0" w:color="auto"/>
            </w:tcBorders>
            <w:noWrap/>
            <w:vAlign w:val="bottom"/>
            <w:hideMark/>
          </w:tcPr>
          <w:p w14:paraId="3F5F3F3F" w14:textId="01627C95"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15,1</w:t>
            </w:r>
          </w:p>
        </w:tc>
        <w:tc>
          <w:tcPr>
            <w:tcW w:w="991" w:type="dxa"/>
            <w:tcBorders>
              <w:top w:val="nil"/>
              <w:left w:val="nil"/>
              <w:bottom w:val="single" w:sz="4" w:space="0" w:color="auto"/>
              <w:right w:val="single" w:sz="4" w:space="0" w:color="auto"/>
            </w:tcBorders>
            <w:noWrap/>
            <w:vAlign w:val="bottom"/>
            <w:hideMark/>
          </w:tcPr>
          <w:p w14:paraId="440A367E" w14:textId="77C46A21"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13,6</w:t>
            </w:r>
          </w:p>
        </w:tc>
        <w:tc>
          <w:tcPr>
            <w:tcW w:w="850" w:type="dxa"/>
            <w:tcBorders>
              <w:top w:val="nil"/>
              <w:left w:val="nil"/>
              <w:bottom w:val="single" w:sz="4" w:space="0" w:color="auto"/>
              <w:right w:val="single" w:sz="4" w:space="0" w:color="auto"/>
            </w:tcBorders>
            <w:noWrap/>
            <w:vAlign w:val="bottom"/>
            <w:hideMark/>
          </w:tcPr>
          <w:p w14:paraId="56D95B1C" w14:textId="39356D9F"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-1,5</w:t>
            </w:r>
          </w:p>
        </w:tc>
        <w:tc>
          <w:tcPr>
            <w:tcW w:w="733" w:type="dxa"/>
            <w:tcBorders>
              <w:top w:val="nil"/>
              <w:left w:val="nil"/>
              <w:bottom w:val="single" w:sz="4" w:space="0" w:color="auto"/>
              <w:right w:val="single" w:sz="4" w:space="0" w:color="auto"/>
            </w:tcBorders>
            <w:noWrap/>
            <w:vAlign w:val="bottom"/>
            <w:hideMark/>
          </w:tcPr>
          <w:p w14:paraId="6B892B1E" w14:textId="1779802A" w:rsidR="00374988" w:rsidRPr="00374988" w:rsidRDefault="00374988" w:rsidP="00374988">
            <w:pPr>
              <w:spacing w:after="0"/>
              <w:jc w:val="right"/>
              <w:rPr>
                <w:rFonts w:ascii="Times New Roman" w:hAnsi="Times New Roman" w:cs="Times New Roman"/>
                <w:sz w:val="20"/>
                <w:szCs w:val="20"/>
              </w:rPr>
            </w:pPr>
            <w:r w:rsidRPr="00374988">
              <w:rPr>
                <w:rFonts w:ascii="Times New Roman" w:hAnsi="Times New Roman" w:cs="Times New Roman"/>
                <w:sz w:val="20"/>
                <w:szCs w:val="20"/>
              </w:rPr>
              <w:t>90,1</w:t>
            </w:r>
          </w:p>
        </w:tc>
      </w:tr>
      <w:tr w:rsidR="00374988" w:rsidRPr="002E70D5" w14:paraId="4A95CF06" w14:textId="77777777" w:rsidTr="00305860">
        <w:trPr>
          <w:trHeight w:val="218"/>
        </w:trPr>
        <w:tc>
          <w:tcPr>
            <w:tcW w:w="5720" w:type="dxa"/>
            <w:tcBorders>
              <w:top w:val="nil"/>
              <w:left w:val="single" w:sz="4" w:space="0" w:color="auto"/>
              <w:bottom w:val="single" w:sz="4" w:space="0" w:color="auto"/>
              <w:right w:val="single" w:sz="4" w:space="0" w:color="auto"/>
            </w:tcBorders>
            <w:noWrap/>
            <w:vAlign w:val="bottom"/>
            <w:hideMark/>
          </w:tcPr>
          <w:p w14:paraId="50CBE7CC" w14:textId="77777777" w:rsidR="00374988" w:rsidRPr="002E70D5" w:rsidRDefault="00374988" w:rsidP="00374988">
            <w:pPr>
              <w:spacing w:after="0"/>
              <w:rPr>
                <w:rFonts w:ascii="Times New Roman" w:hAnsi="Times New Roman" w:cs="Times New Roman"/>
                <w:b/>
                <w:bCs/>
                <w:color w:val="000000" w:themeColor="text1"/>
                <w:sz w:val="20"/>
                <w:szCs w:val="20"/>
              </w:rPr>
            </w:pPr>
            <w:r w:rsidRPr="7A1FFE35">
              <w:rPr>
                <w:rFonts w:ascii="Times New Roman" w:hAnsi="Times New Roman" w:cs="Times New Roman"/>
                <w:b/>
                <w:bCs/>
                <w:color w:val="000000" w:themeColor="text1"/>
                <w:sz w:val="20"/>
                <w:szCs w:val="20"/>
              </w:rPr>
              <w:t>Összesen</w:t>
            </w:r>
          </w:p>
        </w:tc>
        <w:tc>
          <w:tcPr>
            <w:tcW w:w="944" w:type="dxa"/>
            <w:tcBorders>
              <w:top w:val="nil"/>
              <w:left w:val="single" w:sz="4" w:space="0" w:color="auto"/>
              <w:bottom w:val="single" w:sz="4" w:space="0" w:color="auto"/>
              <w:right w:val="single" w:sz="4" w:space="0" w:color="auto"/>
            </w:tcBorders>
            <w:noWrap/>
            <w:vAlign w:val="bottom"/>
            <w:hideMark/>
          </w:tcPr>
          <w:p w14:paraId="39885620" w14:textId="670188F0"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780,0</w:t>
            </w:r>
          </w:p>
        </w:tc>
        <w:tc>
          <w:tcPr>
            <w:tcW w:w="991" w:type="dxa"/>
            <w:tcBorders>
              <w:top w:val="nil"/>
              <w:left w:val="nil"/>
              <w:bottom w:val="single" w:sz="4" w:space="0" w:color="auto"/>
              <w:right w:val="single" w:sz="4" w:space="0" w:color="auto"/>
            </w:tcBorders>
            <w:noWrap/>
            <w:vAlign w:val="bottom"/>
            <w:hideMark/>
          </w:tcPr>
          <w:p w14:paraId="3E5CDB5F" w14:textId="37820FA7"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777,2</w:t>
            </w:r>
          </w:p>
        </w:tc>
        <w:tc>
          <w:tcPr>
            <w:tcW w:w="850" w:type="dxa"/>
            <w:tcBorders>
              <w:top w:val="nil"/>
              <w:left w:val="nil"/>
              <w:bottom w:val="single" w:sz="4" w:space="0" w:color="auto"/>
              <w:right w:val="single" w:sz="4" w:space="0" w:color="auto"/>
            </w:tcBorders>
            <w:noWrap/>
            <w:vAlign w:val="bottom"/>
            <w:hideMark/>
          </w:tcPr>
          <w:p w14:paraId="0B58ABDF" w14:textId="5F25F87F"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-2,8</w:t>
            </w:r>
          </w:p>
        </w:tc>
        <w:tc>
          <w:tcPr>
            <w:tcW w:w="733" w:type="dxa"/>
            <w:tcBorders>
              <w:top w:val="nil"/>
              <w:left w:val="nil"/>
              <w:bottom w:val="single" w:sz="4" w:space="0" w:color="auto"/>
              <w:right w:val="single" w:sz="4" w:space="0" w:color="auto"/>
            </w:tcBorders>
            <w:noWrap/>
            <w:vAlign w:val="bottom"/>
            <w:hideMark/>
          </w:tcPr>
          <w:p w14:paraId="63C6541D" w14:textId="7850C3C1" w:rsidR="00374988" w:rsidRPr="00374988" w:rsidRDefault="00374988" w:rsidP="00374988">
            <w:pPr>
              <w:spacing w:after="0"/>
              <w:jc w:val="right"/>
              <w:rPr>
                <w:rFonts w:ascii="Times New Roman" w:hAnsi="Times New Roman" w:cs="Times New Roman"/>
                <w:b/>
                <w:bCs/>
                <w:sz w:val="20"/>
                <w:szCs w:val="20"/>
              </w:rPr>
            </w:pPr>
            <w:r w:rsidRPr="00374988">
              <w:rPr>
                <w:rFonts w:ascii="Times New Roman" w:hAnsi="Times New Roman" w:cs="Times New Roman"/>
                <w:b/>
                <w:bCs/>
                <w:sz w:val="20"/>
                <w:szCs w:val="20"/>
              </w:rPr>
              <w:t>99,6</w:t>
            </w:r>
          </w:p>
        </w:tc>
      </w:tr>
    </w:tbl>
    <w:p w14:paraId="0E077D56" w14:textId="77777777" w:rsidR="00374988" w:rsidRDefault="00374988" w:rsidP="00374988">
      <w:pPr>
        <w:jc w:val="both"/>
        <w:rPr>
          <w:rFonts w:ascii="Times New Roman" w:eastAsia="Times New Roman" w:hAnsi="Times New Roman" w:cs="Times New Roman"/>
          <w:sz w:val="26"/>
          <w:szCs w:val="20"/>
          <w:lang w:eastAsia="hu-HU"/>
        </w:rPr>
      </w:pPr>
    </w:p>
    <w:p w14:paraId="26020732" w14:textId="3E10B9E8" w:rsidR="00374988" w:rsidRPr="00374988" w:rsidRDefault="00374988" w:rsidP="00374988">
      <w:pPr>
        <w:jc w:val="both"/>
        <w:rPr>
          <w:rFonts w:ascii="Times New Roman" w:eastAsia="Times New Roman" w:hAnsi="Times New Roman" w:cs="Times New Roman"/>
          <w:sz w:val="26"/>
          <w:szCs w:val="20"/>
          <w:lang w:eastAsia="hu-HU"/>
        </w:rPr>
      </w:pPr>
      <w:r w:rsidRPr="00374988">
        <w:rPr>
          <w:rFonts w:ascii="Times New Roman" w:eastAsia="Times New Roman" w:hAnsi="Times New Roman" w:cs="Times New Roman"/>
          <w:sz w:val="26"/>
          <w:szCs w:val="20"/>
          <w:lang w:eastAsia="hu-HU"/>
        </w:rPr>
        <w:t xml:space="preserve">A </w:t>
      </w:r>
      <w:r w:rsidRPr="00374988">
        <w:rPr>
          <w:rFonts w:ascii="Times New Roman" w:eastAsia="Times New Roman" w:hAnsi="Times New Roman" w:cs="Times New Roman"/>
          <w:b/>
          <w:bCs/>
          <w:sz w:val="26"/>
          <w:szCs w:val="20"/>
          <w:lang w:eastAsia="hu-HU"/>
        </w:rPr>
        <w:t>családi támogatásokra</w:t>
      </w:r>
      <w:r w:rsidRPr="00374988">
        <w:rPr>
          <w:rFonts w:ascii="Times New Roman" w:eastAsia="Times New Roman" w:hAnsi="Times New Roman" w:cs="Times New Roman"/>
          <w:sz w:val="26"/>
          <w:szCs w:val="20"/>
          <w:lang w:eastAsia="hu-HU"/>
        </w:rPr>
        <w:t xml:space="preserve"> 2025</w:t>
      </w:r>
      <w:r>
        <w:rPr>
          <w:rFonts w:ascii="Times New Roman" w:eastAsia="Times New Roman" w:hAnsi="Times New Roman" w:cs="Times New Roman"/>
          <w:sz w:val="26"/>
          <w:szCs w:val="20"/>
          <w:lang w:eastAsia="hu-HU"/>
        </w:rPr>
        <w:t>-ben</w:t>
      </w:r>
      <w:r w:rsidRPr="00374988">
        <w:rPr>
          <w:rFonts w:ascii="Times New Roman" w:eastAsia="Times New Roman" w:hAnsi="Times New Roman" w:cs="Times New Roman"/>
          <w:sz w:val="26"/>
          <w:szCs w:val="20"/>
          <w:lang w:eastAsia="hu-HU"/>
        </w:rPr>
        <w:t xml:space="preserve"> összesen 388,7 milliárd forintot fizettek ki, amely 18,7 milliárd forinttal volt alacsonyabb az előző évi teljesítésnél. Az eltérés elsősorban a Családi támogatások </w:t>
      </w:r>
      <w:r>
        <w:rPr>
          <w:rFonts w:ascii="Times New Roman" w:eastAsia="Times New Roman" w:hAnsi="Times New Roman" w:cs="Times New Roman"/>
          <w:sz w:val="26"/>
          <w:szCs w:val="20"/>
          <w:lang w:eastAsia="hu-HU"/>
        </w:rPr>
        <w:t>alcímhez</w:t>
      </w:r>
      <w:r w:rsidRPr="00374988">
        <w:rPr>
          <w:rFonts w:ascii="Times New Roman" w:eastAsia="Times New Roman" w:hAnsi="Times New Roman" w:cs="Times New Roman"/>
          <w:sz w:val="26"/>
          <w:szCs w:val="20"/>
          <w:lang w:eastAsia="hu-HU"/>
        </w:rPr>
        <w:t xml:space="preserve"> tartozó Életkezdési támogatás előirányzat kiadásai csökkenésének következménye, ami 13,6 milliárd forinttal volt alacsonyabb </w:t>
      </w:r>
      <w:r>
        <w:rPr>
          <w:rFonts w:ascii="Times New Roman" w:eastAsia="Times New Roman" w:hAnsi="Times New Roman" w:cs="Times New Roman"/>
          <w:sz w:val="26"/>
          <w:szCs w:val="20"/>
          <w:lang w:eastAsia="hu-HU"/>
        </w:rPr>
        <w:t xml:space="preserve">az </w:t>
      </w:r>
      <w:r w:rsidRPr="00374988">
        <w:rPr>
          <w:rFonts w:ascii="Times New Roman" w:eastAsia="Times New Roman" w:hAnsi="Times New Roman" w:cs="Times New Roman"/>
          <w:sz w:val="26"/>
          <w:szCs w:val="20"/>
          <w:lang w:eastAsia="hu-HU"/>
        </w:rPr>
        <w:t>előző év azonos időszakához képest. Ennek oka, hogy 2025-ben az életkezdési letéti számlákon nyilvántartott követelés összegére tekintettel fizetett kamat mértéke 3,7% volt (a 2024. évi infláció mértékének megfelelően), ami jelentősen alacsonyabb a 2024-ben fizetett kamat mértékénél (17,6%).</w:t>
      </w:r>
    </w:p>
    <w:p w14:paraId="36DAE148" w14:textId="25FB6FC8" w:rsidR="00374988" w:rsidRPr="00374988" w:rsidRDefault="00374988" w:rsidP="00374988">
      <w:pPr>
        <w:jc w:val="both"/>
        <w:rPr>
          <w:rFonts w:ascii="Times New Roman" w:eastAsia="Times New Roman" w:hAnsi="Times New Roman" w:cs="Times New Roman"/>
          <w:sz w:val="26"/>
          <w:szCs w:val="20"/>
          <w:lang w:eastAsia="hu-HU"/>
        </w:rPr>
      </w:pPr>
      <w:r w:rsidRPr="00374988">
        <w:rPr>
          <w:rFonts w:ascii="Times New Roman" w:eastAsia="Times New Roman" w:hAnsi="Times New Roman" w:cs="Times New Roman"/>
          <w:sz w:val="26"/>
          <w:szCs w:val="20"/>
          <w:lang w:eastAsia="hu-HU"/>
        </w:rPr>
        <w:t xml:space="preserve">A </w:t>
      </w:r>
      <w:r w:rsidRPr="00374988">
        <w:rPr>
          <w:rFonts w:ascii="Times New Roman" w:eastAsia="Times New Roman" w:hAnsi="Times New Roman" w:cs="Times New Roman"/>
          <w:b/>
          <w:sz w:val="26"/>
          <w:szCs w:val="20"/>
          <w:lang w:eastAsia="hu-HU"/>
        </w:rPr>
        <w:t>korhatár alatti ellátások</w:t>
      </w:r>
      <w:r w:rsidRPr="00374988">
        <w:rPr>
          <w:rFonts w:ascii="Times New Roman" w:eastAsia="Times New Roman" w:hAnsi="Times New Roman" w:cs="Times New Roman"/>
          <w:sz w:val="26"/>
          <w:szCs w:val="20"/>
          <w:lang w:eastAsia="hu-HU"/>
        </w:rPr>
        <w:t xml:space="preserve"> esetében a kiadás 3,6 milliárd forinttal alacsonyabb volt az előző évhez képest. A csökkenést az okozza, hogy a jogosultak elérik az öregségi nyugdíjkorhatárt, és nyugellátásra válnak jogosulttá, létszámuk folyamatosan csökken. </w:t>
      </w:r>
      <w:r w:rsidRPr="00374988">
        <w:rPr>
          <w:rFonts w:ascii="Times New Roman" w:eastAsia="Times New Roman" w:hAnsi="Times New Roman" w:cs="Times New Roman"/>
          <w:sz w:val="26"/>
          <w:szCs w:val="20"/>
          <w:lang w:eastAsia="hu-HU"/>
        </w:rPr>
        <w:lastRenderedPageBreak/>
        <w:t>Januárban sor került az ellátások 3,2%-os emelésére is, valamint a 13. havi nyugdíjhoz hasonlóan februárban a korhatár előtti ellátásban részesülő személyek is részesültek 13.</w:t>
      </w:r>
      <w:r>
        <w:rPr>
          <w:rFonts w:ascii="Times New Roman" w:eastAsia="Times New Roman" w:hAnsi="Times New Roman" w:cs="Times New Roman"/>
          <w:sz w:val="26"/>
          <w:szCs w:val="20"/>
          <w:lang w:eastAsia="hu-HU"/>
        </w:rPr>
        <w:t> </w:t>
      </w:r>
      <w:r w:rsidRPr="00374988">
        <w:rPr>
          <w:rFonts w:ascii="Times New Roman" w:eastAsia="Times New Roman" w:hAnsi="Times New Roman" w:cs="Times New Roman"/>
          <w:sz w:val="26"/>
          <w:szCs w:val="20"/>
          <w:lang w:eastAsia="hu-HU"/>
        </w:rPr>
        <w:t>havi ellátásban. November hónapban további 1,6 százalékos kiegészítő emelésben részesült ezen ellátotti kör, amely a januárban már végrehajtott emeléssel együtt éves szinten, 2025. január 1-jétől 4,8%-os emelést jelent.</w:t>
      </w:r>
    </w:p>
    <w:p w14:paraId="06015203" w14:textId="4C4CD88F" w:rsidR="00374988" w:rsidRPr="00374988" w:rsidRDefault="00374988" w:rsidP="00374988">
      <w:pPr>
        <w:jc w:val="both"/>
        <w:rPr>
          <w:rFonts w:ascii="Times New Roman" w:eastAsia="Times New Roman" w:hAnsi="Times New Roman" w:cs="Times New Roman"/>
          <w:sz w:val="26"/>
          <w:szCs w:val="20"/>
          <w:lang w:eastAsia="hu-HU"/>
        </w:rPr>
      </w:pPr>
      <w:r w:rsidRPr="00374988">
        <w:rPr>
          <w:rFonts w:ascii="Times New Roman" w:eastAsia="Times New Roman" w:hAnsi="Times New Roman" w:cs="Times New Roman"/>
          <w:sz w:val="26"/>
          <w:szCs w:val="20"/>
          <w:lang w:eastAsia="hu-HU"/>
        </w:rPr>
        <w:t>2025</w:t>
      </w:r>
      <w:r>
        <w:rPr>
          <w:rFonts w:ascii="Times New Roman" w:eastAsia="Times New Roman" w:hAnsi="Times New Roman" w:cs="Times New Roman"/>
          <w:sz w:val="26"/>
          <w:szCs w:val="20"/>
          <w:lang w:eastAsia="hu-HU"/>
        </w:rPr>
        <w:t xml:space="preserve">-ben </w:t>
      </w:r>
      <w:r w:rsidRPr="00374988">
        <w:rPr>
          <w:rFonts w:ascii="Times New Roman" w:eastAsia="Times New Roman" w:hAnsi="Times New Roman" w:cs="Times New Roman"/>
          <w:sz w:val="26"/>
          <w:szCs w:val="20"/>
          <w:lang w:eastAsia="hu-HU"/>
        </w:rPr>
        <w:t xml:space="preserve">a </w:t>
      </w:r>
      <w:r w:rsidRPr="00374988">
        <w:rPr>
          <w:rFonts w:ascii="Times New Roman" w:eastAsia="Times New Roman" w:hAnsi="Times New Roman" w:cs="Times New Roman"/>
          <w:b/>
          <w:bCs/>
          <w:sz w:val="26"/>
          <w:szCs w:val="20"/>
          <w:lang w:eastAsia="hu-HU"/>
        </w:rPr>
        <w:t>jövedelempótló és jövedelemkiegészítő szociális támogatásokra biztosított kiadásokon</w:t>
      </w:r>
      <w:r w:rsidRPr="00374988">
        <w:rPr>
          <w:rFonts w:ascii="Times New Roman" w:eastAsia="Times New Roman" w:hAnsi="Times New Roman" w:cs="Times New Roman"/>
          <w:sz w:val="26"/>
          <w:szCs w:val="20"/>
          <w:lang w:eastAsia="hu-HU"/>
        </w:rPr>
        <w:t xml:space="preserve"> belül a </w:t>
      </w:r>
      <w:r w:rsidRPr="00374988">
        <w:rPr>
          <w:rFonts w:ascii="Times New Roman" w:eastAsia="Times New Roman" w:hAnsi="Times New Roman" w:cs="Times New Roman"/>
          <w:bCs/>
          <w:sz w:val="26"/>
          <w:szCs w:val="20"/>
          <w:lang w:eastAsia="hu-HU"/>
        </w:rPr>
        <w:t>járási szociális feladatok</w:t>
      </w:r>
      <w:r w:rsidRPr="00374988">
        <w:rPr>
          <w:rFonts w:ascii="Times New Roman" w:eastAsia="Times New Roman" w:hAnsi="Times New Roman" w:cs="Times New Roman"/>
          <w:sz w:val="26"/>
          <w:szCs w:val="20"/>
          <w:lang w:eastAsia="hu-HU"/>
        </w:rPr>
        <w:t xml:space="preserve"> ellátására (gyermekek otthongondozási díja, ápolási díj, időskorúak járadéka, foglalkoztatást helyettesítő támogatás, egészségkárosodási és gyermekfelügyeleti támogatás) 166,9 milliárd forintot fordítottak, mely 19,5 milliárd forinttal magasabb az előző évi adatnál. A növekedést elsődlegesen az okozza, hogy 2025. januártól a gyermekek otthongondozási díjának összege a minimálbér emelkedése miatt (266 800 forintról 290 800 forintra) emelkedett, az ápolási díj összege pedig 3,2%-kal nőtt, és folyamatosan emelkedik a gyermekek otthongondozási díjára jogosultak létszáma is.</w:t>
      </w:r>
    </w:p>
    <w:p w14:paraId="7BB4022C" w14:textId="6EBBF42A" w:rsidR="00374988" w:rsidRPr="00374988" w:rsidRDefault="00374988" w:rsidP="00374988">
      <w:pPr>
        <w:jc w:val="both"/>
        <w:rPr>
          <w:rFonts w:ascii="Times New Roman" w:eastAsia="Times New Roman" w:hAnsi="Times New Roman" w:cs="Times New Roman"/>
          <w:sz w:val="26"/>
          <w:szCs w:val="20"/>
          <w:lang w:eastAsia="hu-HU"/>
        </w:rPr>
      </w:pPr>
      <w:r w:rsidRPr="00374988">
        <w:rPr>
          <w:rFonts w:ascii="Times New Roman" w:eastAsia="Times New Roman" w:hAnsi="Times New Roman" w:cs="Times New Roman"/>
          <w:sz w:val="26"/>
          <w:szCs w:val="20"/>
          <w:lang w:eastAsia="hu-HU"/>
        </w:rPr>
        <w:t xml:space="preserve">A </w:t>
      </w:r>
      <w:r w:rsidRPr="00374988">
        <w:rPr>
          <w:rFonts w:ascii="Times New Roman" w:eastAsia="Times New Roman" w:hAnsi="Times New Roman" w:cs="Times New Roman"/>
          <w:bCs/>
          <w:sz w:val="26"/>
          <w:szCs w:val="20"/>
          <w:lang w:eastAsia="hu-HU"/>
        </w:rPr>
        <w:t>Jövedelempótló és jövedelemkiegészítő ellátások</w:t>
      </w:r>
      <w:r w:rsidRPr="00374988">
        <w:rPr>
          <w:rFonts w:ascii="Times New Roman" w:eastAsia="Times New Roman" w:hAnsi="Times New Roman" w:cs="Times New Roman"/>
          <w:sz w:val="26"/>
          <w:szCs w:val="20"/>
          <w:lang w:eastAsia="hu-HU"/>
        </w:rPr>
        <w:t xml:space="preserve"> előirányzat tartalmazza a</w:t>
      </w:r>
      <w:r>
        <w:rPr>
          <w:rFonts w:ascii="Times New Roman" w:eastAsia="Times New Roman" w:hAnsi="Times New Roman" w:cs="Times New Roman"/>
          <w:sz w:val="26"/>
          <w:szCs w:val="20"/>
          <w:lang w:eastAsia="hu-HU"/>
        </w:rPr>
        <w:t> </w:t>
      </w:r>
      <w:r w:rsidRPr="00374988">
        <w:rPr>
          <w:rFonts w:ascii="Times New Roman" w:eastAsia="Times New Roman" w:hAnsi="Times New Roman" w:cs="Times New Roman"/>
          <w:sz w:val="26"/>
          <w:szCs w:val="20"/>
          <w:lang w:eastAsia="hu-HU"/>
        </w:rPr>
        <w:t>fogyatékossági támogatás, a vakok személyi járadéka, az átmeneti bányászjáradék és</w:t>
      </w:r>
      <w:r>
        <w:rPr>
          <w:rFonts w:ascii="Times New Roman" w:eastAsia="Times New Roman" w:hAnsi="Times New Roman" w:cs="Times New Roman"/>
          <w:sz w:val="26"/>
          <w:szCs w:val="20"/>
          <w:lang w:eastAsia="hu-HU"/>
        </w:rPr>
        <w:t> </w:t>
      </w:r>
      <w:r w:rsidRPr="00374988">
        <w:rPr>
          <w:rFonts w:ascii="Times New Roman" w:eastAsia="Times New Roman" w:hAnsi="Times New Roman" w:cs="Times New Roman"/>
          <w:sz w:val="26"/>
          <w:szCs w:val="20"/>
          <w:lang w:eastAsia="hu-HU"/>
        </w:rPr>
        <w:t>számos további, jellemzően kifutó jellegű ellátás (pl. mezőgazdasági járadék, politikai rehabilitációs és más nyugdíj-kiegészítések, házastársi pótlék) forrását. A jövedelempótló és jövedelemkiegészítő ellátásokra 79,3 milliárd forintot fizettek ki, mely az előző évi kifizetésnél 1,</w:t>
      </w:r>
      <w:r w:rsidR="008B2C27">
        <w:rPr>
          <w:rFonts w:ascii="Times New Roman" w:eastAsia="Times New Roman" w:hAnsi="Times New Roman" w:cs="Times New Roman"/>
          <w:sz w:val="26"/>
          <w:szCs w:val="20"/>
          <w:lang w:eastAsia="hu-HU"/>
        </w:rPr>
        <w:t>4</w:t>
      </w:r>
      <w:r w:rsidRPr="00374988">
        <w:rPr>
          <w:rFonts w:ascii="Times New Roman" w:eastAsia="Times New Roman" w:hAnsi="Times New Roman" w:cs="Times New Roman"/>
          <w:sz w:val="26"/>
          <w:szCs w:val="20"/>
          <w:lang w:eastAsia="hu-HU"/>
        </w:rPr>
        <w:t> milliárd forinttal magasabb. A kiadások növekedését egyes ellátások januárban végrehajtott 3,2 %-os emelésének, valamint a 2025. februárjában kifizetett 13.</w:t>
      </w:r>
      <w:r>
        <w:rPr>
          <w:rFonts w:ascii="Times New Roman" w:eastAsia="Times New Roman" w:hAnsi="Times New Roman" w:cs="Times New Roman"/>
          <w:sz w:val="26"/>
          <w:szCs w:val="20"/>
          <w:lang w:eastAsia="hu-HU"/>
        </w:rPr>
        <w:t> </w:t>
      </w:r>
      <w:r w:rsidRPr="00374988">
        <w:rPr>
          <w:rFonts w:ascii="Times New Roman" w:eastAsia="Times New Roman" w:hAnsi="Times New Roman" w:cs="Times New Roman"/>
          <w:sz w:val="26"/>
          <w:szCs w:val="20"/>
          <w:lang w:eastAsia="hu-HU"/>
        </w:rPr>
        <w:t>havi ellátásnak a hatása okozza, amit a jogosultak létszámának csökkenése részben ellensúlyoz. November hónapban további 1,6 százalékos kiegészítő emelésben részesült ezen ellátotti kör, amely a januárban már végrehajtott emeléssel együtt éves szinten, 2025.</w:t>
      </w:r>
      <w:r>
        <w:rPr>
          <w:rFonts w:ascii="Times New Roman" w:eastAsia="Times New Roman" w:hAnsi="Times New Roman" w:cs="Times New Roman"/>
          <w:sz w:val="26"/>
          <w:szCs w:val="20"/>
          <w:lang w:eastAsia="hu-HU"/>
        </w:rPr>
        <w:t> </w:t>
      </w:r>
      <w:r w:rsidRPr="00374988">
        <w:rPr>
          <w:rFonts w:ascii="Times New Roman" w:eastAsia="Times New Roman" w:hAnsi="Times New Roman" w:cs="Times New Roman"/>
          <w:sz w:val="26"/>
          <w:szCs w:val="20"/>
          <w:lang w:eastAsia="hu-HU"/>
        </w:rPr>
        <w:t>január 1-jétől 4,8%-os emelést jelent.</w:t>
      </w:r>
    </w:p>
    <w:p w14:paraId="43C43DF5" w14:textId="77777777" w:rsidR="00374988" w:rsidRPr="00374988" w:rsidRDefault="00374988" w:rsidP="00374988">
      <w:pPr>
        <w:jc w:val="both"/>
        <w:rPr>
          <w:rFonts w:ascii="Times New Roman" w:eastAsia="Times New Roman" w:hAnsi="Times New Roman" w:cs="Times New Roman"/>
          <w:sz w:val="26"/>
          <w:szCs w:val="20"/>
          <w:lang w:eastAsia="hu-HU"/>
        </w:rPr>
      </w:pPr>
      <w:r w:rsidRPr="00374988">
        <w:rPr>
          <w:rFonts w:ascii="Times New Roman" w:eastAsia="Times New Roman" w:hAnsi="Times New Roman" w:cs="Times New Roman"/>
          <w:sz w:val="26"/>
          <w:szCs w:val="20"/>
          <w:lang w:eastAsia="hu-HU"/>
        </w:rPr>
        <w:t xml:space="preserve">A </w:t>
      </w:r>
      <w:r w:rsidRPr="00374988">
        <w:rPr>
          <w:rFonts w:ascii="Times New Roman" w:eastAsia="Times New Roman" w:hAnsi="Times New Roman" w:cs="Times New Roman"/>
          <w:b/>
          <w:sz w:val="26"/>
          <w:szCs w:val="20"/>
          <w:lang w:eastAsia="hu-HU"/>
        </w:rPr>
        <w:t>különféle jogcímen adott térítések</w:t>
      </w:r>
      <w:r w:rsidRPr="00374988">
        <w:rPr>
          <w:rFonts w:ascii="Times New Roman" w:eastAsia="Times New Roman" w:hAnsi="Times New Roman" w:cs="Times New Roman"/>
          <w:sz w:val="26"/>
          <w:szCs w:val="20"/>
          <w:lang w:eastAsia="hu-HU"/>
        </w:rPr>
        <w:t xml:space="preserve"> 2025 december végéig kifizetett összege 1,4 milliárd forinttal alacsonyabb volt, mint az előző év azonos időszakában. A térítéseken belül a legnagyobb összeget, 13,6 milliárd forintot a közgyógyellátásra fizették ki.</w:t>
      </w:r>
    </w:p>
    <w:p w14:paraId="2BBDBEB3" w14:textId="71998C73" w:rsidR="0032261D" w:rsidRPr="005C3ECD" w:rsidRDefault="7A1FFE35" w:rsidP="00374988">
      <w:pPr>
        <w:pStyle w:val="NormlWeb"/>
        <w:spacing w:before="0" w:beforeAutospacing="0" w:after="160" w:afterAutospacing="0" w:line="259" w:lineRule="auto"/>
        <w:jc w:val="both"/>
        <w:rPr>
          <w:sz w:val="26"/>
          <w:szCs w:val="26"/>
        </w:rPr>
      </w:pPr>
      <w:r w:rsidRPr="7A1FFE35">
        <w:rPr>
          <w:sz w:val="26"/>
          <w:szCs w:val="26"/>
        </w:rPr>
        <w:t xml:space="preserve">A </w:t>
      </w:r>
      <w:r w:rsidRPr="7A1FFE35">
        <w:rPr>
          <w:b/>
          <w:bCs/>
          <w:sz w:val="26"/>
          <w:szCs w:val="26"/>
        </w:rPr>
        <w:t>babaváró támogatásokra</w:t>
      </w:r>
      <w:r w:rsidRPr="7A1FFE35">
        <w:rPr>
          <w:sz w:val="26"/>
          <w:szCs w:val="26"/>
        </w:rPr>
        <w:t xml:space="preserve"> fordított kiadások összege </w:t>
      </w:r>
      <w:r w:rsidR="00433316">
        <w:rPr>
          <w:sz w:val="26"/>
          <w:szCs w:val="26"/>
        </w:rPr>
        <w:t>2025-ben</w:t>
      </w:r>
      <w:r w:rsidRPr="7A1FFE35">
        <w:rPr>
          <w:sz w:val="26"/>
          <w:szCs w:val="26"/>
        </w:rPr>
        <w:t xml:space="preserve"> 240,2 milliárd forintot tett ki, amely a törvényi előirányzat 95,5%-ának felel meg, és a 2024. év azonos időszakához viszonyítva 31,</w:t>
      </w:r>
      <w:r w:rsidR="00433316">
        <w:rPr>
          <w:sz w:val="26"/>
          <w:szCs w:val="26"/>
        </w:rPr>
        <w:t>9</w:t>
      </w:r>
      <w:r w:rsidRPr="7A1FFE35">
        <w:rPr>
          <w:sz w:val="26"/>
          <w:szCs w:val="26"/>
        </w:rPr>
        <w:t> milliárd forinttal teljesült magasabban.</w:t>
      </w:r>
    </w:p>
    <w:p w14:paraId="75EFF307" w14:textId="4FC71268" w:rsidR="00B3244C" w:rsidRDefault="7A1FFE35" w:rsidP="00374988">
      <w:pPr>
        <w:pStyle w:val="NormlWeb"/>
        <w:spacing w:before="0" w:beforeAutospacing="0" w:after="160" w:afterAutospacing="0" w:line="259" w:lineRule="auto"/>
        <w:jc w:val="both"/>
        <w:rPr>
          <w:sz w:val="26"/>
          <w:szCs w:val="26"/>
        </w:rPr>
      </w:pPr>
      <w:bookmarkStart w:id="0" w:name="_Hlk202786542"/>
      <w:r w:rsidRPr="7A1FFE35">
        <w:rPr>
          <w:sz w:val="26"/>
          <w:szCs w:val="26"/>
        </w:rPr>
        <w:t xml:space="preserve">A </w:t>
      </w:r>
      <w:r w:rsidRPr="7A1FFE35">
        <w:rPr>
          <w:b/>
          <w:bCs/>
          <w:sz w:val="26"/>
          <w:szCs w:val="26"/>
        </w:rPr>
        <w:t>helyi önkormányzatok</w:t>
      </w:r>
      <w:r w:rsidRPr="7A1FFE35">
        <w:rPr>
          <w:sz w:val="26"/>
          <w:szCs w:val="26"/>
        </w:rPr>
        <w:t xml:space="preserve"> 2025. évi feladataihoz a hatályos költségvetési törvény alapján 1305,7 milliárd forint állami támogatás került megállapításra. A december havi tényadat alapján 2025. évben összesen 1398,8 milliárd forint kifizetés történt, ami az eredeti előirányzat 107,1%-át teszi ki. Az előző év azonos időszakához viszonyított 148,6 milliárd forint (11,9%-os) növekedés főként a tanárok és polgármesterek béremeléséből, valamint a szociális ágazat idei előirányzatának törvényi emeléséből fakad. A jelentősebb tételek alakulását a következő táblázat mutatja:</w:t>
      </w:r>
      <w:r w:rsidR="00371825" w:rsidRPr="7A1FFE35">
        <w:rPr>
          <w:sz w:val="26"/>
          <w:szCs w:val="26"/>
        </w:rPr>
        <w:br w:type="page"/>
      </w:r>
    </w:p>
    <w:p w14:paraId="2723D8B3" w14:textId="34B7D713" w:rsidR="00C24948" w:rsidRPr="00B32682" w:rsidRDefault="7A1FFE35" w:rsidP="7A1FFE35">
      <w:pPr>
        <w:pStyle w:val="NormlWeb"/>
        <w:spacing w:before="0" w:beforeAutospacing="0" w:after="160" w:afterAutospacing="0" w:line="259" w:lineRule="auto"/>
        <w:jc w:val="center"/>
      </w:pPr>
      <w:r w:rsidRPr="7A1FFE35">
        <w:rPr>
          <w:b/>
          <w:bCs/>
        </w:rPr>
        <w:lastRenderedPageBreak/>
        <w:t>A helyi önkormányzatok támogatásának alakulása (milliárd forint)</w:t>
      </w:r>
    </w:p>
    <w:tbl>
      <w:tblPr>
        <w:tblpPr w:leftFromText="141" w:rightFromText="141" w:vertAnchor="text" w:horzAnchor="margin" w:tblpY="20"/>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1134"/>
        <w:gridCol w:w="1134"/>
        <w:gridCol w:w="850"/>
        <w:gridCol w:w="771"/>
      </w:tblGrid>
      <w:tr w:rsidR="00081A16" w:rsidRPr="00377D59" w14:paraId="6741B982" w14:textId="77777777" w:rsidTr="00F8490D">
        <w:trPr>
          <w:trHeight w:val="340"/>
        </w:trPr>
        <w:tc>
          <w:tcPr>
            <w:tcW w:w="5382" w:type="dxa"/>
            <w:vMerge w:val="restart"/>
            <w:shd w:val="clear" w:color="auto" w:fill="BDD6EE" w:themeFill="accent1" w:themeFillTint="66"/>
            <w:noWrap/>
            <w:vAlign w:val="center"/>
            <w:hideMark/>
          </w:tcPr>
          <w:p w14:paraId="07514BAA" w14:textId="77777777" w:rsidR="00081A16" w:rsidRPr="00EB7ACF" w:rsidRDefault="7A1FFE35" w:rsidP="7A1FFE35">
            <w:pPr>
              <w:keepNext/>
              <w:keepLines/>
              <w:spacing w:after="0" w:line="240" w:lineRule="auto"/>
              <w:jc w:val="center"/>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Megnevezés</w:t>
            </w:r>
          </w:p>
        </w:tc>
        <w:tc>
          <w:tcPr>
            <w:tcW w:w="1134" w:type="dxa"/>
            <w:vMerge w:val="restart"/>
            <w:shd w:val="clear" w:color="auto" w:fill="BDD6EE" w:themeFill="accent1" w:themeFillTint="66"/>
            <w:vAlign w:val="center"/>
            <w:hideMark/>
          </w:tcPr>
          <w:p w14:paraId="5DC080D6" w14:textId="31D8AA44" w:rsidR="00081A16" w:rsidRPr="00EB7ACF" w:rsidRDefault="7A1FFE35" w:rsidP="7A1FFE35">
            <w:pPr>
              <w:spacing w:after="0" w:line="240" w:lineRule="auto"/>
              <w:jc w:val="center"/>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 xml:space="preserve">2024. </w:t>
            </w:r>
            <w:r w:rsidR="00371825">
              <w:br/>
            </w:r>
            <w:r w:rsidR="00F8490D">
              <w:rPr>
                <w:rFonts w:ascii="Times New Roman" w:hAnsi="Times New Roman" w:cs="Times New Roman"/>
                <w:b/>
                <w:bCs/>
              </w:rPr>
              <w:t>évi tény</w:t>
            </w:r>
          </w:p>
        </w:tc>
        <w:tc>
          <w:tcPr>
            <w:tcW w:w="1134" w:type="dxa"/>
            <w:vMerge w:val="restart"/>
            <w:shd w:val="clear" w:color="auto" w:fill="BDD6EE" w:themeFill="accent1" w:themeFillTint="66"/>
            <w:vAlign w:val="center"/>
            <w:hideMark/>
          </w:tcPr>
          <w:p w14:paraId="626AC8BC" w14:textId="410889E2" w:rsidR="00081A16" w:rsidRPr="00EB7ACF" w:rsidRDefault="7A1FFE35" w:rsidP="7A1FFE35">
            <w:pPr>
              <w:spacing w:after="0" w:line="240" w:lineRule="auto"/>
              <w:jc w:val="center"/>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 xml:space="preserve">2025. </w:t>
            </w:r>
            <w:r w:rsidR="00F8490D">
              <w:rPr>
                <w:rFonts w:ascii="Times New Roman" w:eastAsia="Times New Roman" w:hAnsi="Times New Roman" w:cs="Times New Roman"/>
                <w:b/>
                <w:bCs/>
                <w:lang w:eastAsia="hu-HU"/>
              </w:rPr>
              <w:t>évi előzetes tény</w:t>
            </w:r>
          </w:p>
        </w:tc>
        <w:tc>
          <w:tcPr>
            <w:tcW w:w="1621" w:type="dxa"/>
            <w:gridSpan w:val="2"/>
            <w:shd w:val="clear" w:color="auto" w:fill="BDD6EE" w:themeFill="accent1" w:themeFillTint="66"/>
            <w:noWrap/>
            <w:vAlign w:val="center"/>
            <w:hideMark/>
          </w:tcPr>
          <w:p w14:paraId="35A3C823" w14:textId="77777777" w:rsidR="00081A16" w:rsidRPr="00EB7ACF" w:rsidRDefault="7A1FFE35" w:rsidP="7A1FFE35">
            <w:pPr>
              <w:keepNext/>
              <w:keepLines/>
              <w:spacing w:after="0" w:line="240" w:lineRule="auto"/>
              <w:jc w:val="center"/>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Eltérés</w:t>
            </w:r>
          </w:p>
        </w:tc>
      </w:tr>
      <w:tr w:rsidR="00C24948" w:rsidRPr="00377D59" w14:paraId="2DD9A798" w14:textId="77777777" w:rsidTr="00F8490D">
        <w:trPr>
          <w:trHeight w:val="340"/>
        </w:trPr>
        <w:tc>
          <w:tcPr>
            <w:tcW w:w="5382" w:type="dxa"/>
            <w:vMerge/>
            <w:shd w:val="clear" w:color="auto" w:fill="BDD6EE" w:themeFill="accent1" w:themeFillTint="66"/>
            <w:vAlign w:val="center"/>
            <w:hideMark/>
          </w:tcPr>
          <w:p w14:paraId="5F76A56A" w14:textId="77777777" w:rsidR="00C24948" w:rsidRPr="00EB7ACF" w:rsidRDefault="00C24948" w:rsidP="00C24948">
            <w:pPr>
              <w:keepNext/>
              <w:keepLines/>
              <w:spacing w:after="0" w:line="240" w:lineRule="auto"/>
              <w:rPr>
                <w:rFonts w:ascii="Times New Roman" w:eastAsia="Times New Roman" w:hAnsi="Times New Roman" w:cs="Times New Roman"/>
                <w:b/>
                <w:bCs/>
                <w:lang w:eastAsia="hu-HU"/>
              </w:rPr>
            </w:pPr>
          </w:p>
        </w:tc>
        <w:tc>
          <w:tcPr>
            <w:tcW w:w="1134" w:type="dxa"/>
            <w:vMerge/>
            <w:shd w:val="clear" w:color="auto" w:fill="BDD6EE" w:themeFill="accent1" w:themeFillTint="66"/>
            <w:vAlign w:val="center"/>
            <w:hideMark/>
          </w:tcPr>
          <w:p w14:paraId="65B4B0A4"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1134" w:type="dxa"/>
            <w:vMerge/>
            <w:shd w:val="clear" w:color="auto" w:fill="BDD6EE" w:themeFill="accent1" w:themeFillTint="66"/>
            <w:vAlign w:val="center"/>
            <w:hideMark/>
          </w:tcPr>
          <w:p w14:paraId="5FE97B50"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850" w:type="dxa"/>
            <w:shd w:val="clear" w:color="auto" w:fill="BDD6EE" w:themeFill="accent1" w:themeFillTint="66"/>
            <w:noWrap/>
            <w:vAlign w:val="center"/>
            <w:hideMark/>
          </w:tcPr>
          <w:p w14:paraId="1B2C8FF2" w14:textId="77777777" w:rsidR="00C24948" w:rsidRPr="00EB7ACF" w:rsidRDefault="7A1FFE35" w:rsidP="7A1FFE35">
            <w:pPr>
              <w:keepNext/>
              <w:keepLines/>
              <w:spacing w:after="0" w:line="240" w:lineRule="auto"/>
              <w:jc w:val="center"/>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Mrd Ft</w:t>
            </w:r>
          </w:p>
        </w:tc>
        <w:tc>
          <w:tcPr>
            <w:tcW w:w="771" w:type="dxa"/>
            <w:shd w:val="clear" w:color="auto" w:fill="BDD6EE" w:themeFill="accent1" w:themeFillTint="66"/>
            <w:noWrap/>
            <w:vAlign w:val="center"/>
            <w:hideMark/>
          </w:tcPr>
          <w:p w14:paraId="179AEF43" w14:textId="77777777" w:rsidR="00C24948" w:rsidRPr="00EB7ACF" w:rsidRDefault="7A1FFE35" w:rsidP="7A1FFE35">
            <w:pPr>
              <w:keepNext/>
              <w:keepLines/>
              <w:spacing w:after="0" w:line="240" w:lineRule="auto"/>
              <w:jc w:val="center"/>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w:t>
            </w:r>
          </w:p>
        </w:tc>
      </w:tr>
      <w:tr w:rsidR="00FD465B" w:rsidRPr="00377D59" w14:paraId="5CF52B9C" w14:textId="77777777" w:rsidTr="00F8490D">
        <w:trPr>
          <w:trHeight w:val="510"/>
        </w:trPr>
        <w:tc>
          <w:tcPr>
            <w:tcW w:w="5382" w:type="dxa"/>
            <w:vAlign w:val="center"/>
            <w:hideMark/>
          </w:tcPr>
          <w:p w14:paraId="11FF4C49" w14:textId="77777777" w:rsidR="00FD465B" w:rsidRPr="00EB7ACF" w:rsidRDefault="7A1FFE35" w:rsidP="7A1FFE35">
            <w:pPr>
              <w:keepNext/>
              <w:keepLines/>
              <w:spacing w:after="0" w:line="240" w:lineRule="auto"/>
              <w:rPr>
                <w:rFonts w:ascii="Times New Roman" w:eastAsia="Times New Roman" w:hAnsi="Times New Roman" w:cs="Times New Roman"/>
                <w:b/>
                <w:bCs/>
                <w:sz w:val="20"/>
                <w:szCs w:val="20"/>
                <w:lang w:eastAsia="hu-HU"/>
              </w:rPr>
            </w:pPr>
            <w:r w:rsidRPr="7A1FFE35">
              <w:rPr>
                <w:rFonts w:ascii="Times New Roman" w:eastAsia="Times New Roman" w:hAnsi="Times New Roman" w:cs="Times New Roman"/>
                <w:b/>
                <w:bCs/>
                <w:sz w:val="20"/>
                <w:szCs w:val="20"/>
                <w:lang w:eastAsia="hu-HU"/>
              </w:rPr>
              <w:t>A helyi önkormányzatok általános működésének és ágazati feladatainak támogatása</w:t>
            </w:r>
          </w:p>
        </w:tc>
        <w:tc>
          <w:tcPr>
            <w:tcW w:w="1134" w:type="dxa"/>
            <w:noWrap/>
            <w:vAlign w:val="center"/>
          </w:tcPr>
          <w:p w14:paraId="0A1E4CBD" w14:textId="2C835796"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1118,5</w:t>
            </w:r>
          </w:p>
        </w:tc>
        <w:tc>
          <w:tcPr>
            <w:tcW w:w="1134" w:type="dxa"/>
            <w:noWrap/>
            <w:vAlign w:val="center"/>
          </w:tcPr>
          <w:p w14:paraId="47729553" w14:textId="45C3E631"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1216,4</w:t>
            </w:r>
          </w:p>
        </w:tc>
        <w:tc>
          <w:tcPr>
            <w:tcW w:w="850" w:type="dxa"/>
            <w:noWrap/>
            <w:vAlign w:val="center"/>
          </w:tcPr>
          <w:p w14:paraId="11D76081" w14:textId="0762B155"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97,9</w:t>
            </w:r>
          </w:p>
        </w:tc>
        <w:tc>
          <w:tcPr>
            <w:tcW w:w="771" w:type="dxa"/>
            <w:noWrap/>
            <w:vAlign w:val="center"/>
          </w:tcPr>
          <w:p w14:paraId="0E9DF60E" w14:textId="7039C0F3"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108,8</w:t>
            </w:r>
          </w:p>
        </w:tc>
      </w:tr>
      <w:tr w:rsidR="00FD465B" w:rsidRPr="00377D59" w14:paraId="66D88640" w14:textId="77777777" w:rsidTr="00F8490D">
        <w:trPr>
          <w:trHeight w:val="340"/>
        </w:trPr>
        <w:tc>
          <w:tcPr>
            <w:tcW w:w="5382" w:type="dxa"/>
            <w:vAlign w:val="center"/>
            <w:hideMark/>
          </w:tcPr>
          <w:p w14:paraId="4496E62C" w14:textId="77777777" w:rsidR="00FD465B" w:rsidRPr="00EB7ACF" w:rsidRDefault="7A1FFE35" w:rsidP="7A1FFE35">
            <w:pPr>
              <w:keepNext/>
              <w:keepLines/>
              <w:spacing w:after="0" w:line="240" w:lineRule="auto"/>
              <w:rPr>
                <w:rFonts w:ascii="Times New Roman" w:eastAsia="Times New Roman" w:hAnsi="Times New Roman" w:cs="Times New Roman"/>
                <w:i/>
                <w:iCs/>
                <w:sz w:val="20"/>
                <w:szCs w:val="20"/>
                <w:lang w:eastAsia="hu-HU"/>
              </w:rPr>
            </w:pPr>
            <w:r w:rsidRPr="7A1FFE35">
              <w:rPr>
                <w:rFonts w:ascii="Times New Roman" w:eastAsia="Times New Roman" w:hAnsi="Times New Roman" w:cs="Times New Roman"/>
                <w:i/>
                <w:iCs/>
                <w:sz w:val="20"/>
                <w:szCs w:val="20"/>
                <w:lang w:eastAsia="hu-HU"/>
              </w:rPr>
              <w:t>A helyi önkormányzatok működésének általános támogatása</w:t>
            </w:r>
          </w:p>
        </w:tc>
        <w:tc>
          <w:tcPr>
            <w:tcW w:w="1134" w:type="dxa"/>
            <w:noWrap/>
            <w:vAlign w:val="center"/>
          </w:tcPr>
          <w:p w14:paraId="6C091267" w14:textId="72AC1785"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312,5</w:t>
            </w:r>
          </w:p>
        </w:tc>
        <w:tc>
          <w:tcPr>
            <w:tcW w:w="1134" w:type="dxa"/>
            <w:noWrap/>
            <w:vAlign w:val="center"/>
          </w:tcPr>
          <w:p w14:paraId="3313F341" w14:textId="4F0F4339"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320,7</w:t>
            </w:r>
          </w:p>
        </w:tc>
        <w:tc>
          <w:tcPr>
            <w:tcW w:w="850" w:type="dxa"/>
            <w:noWrap/>
            <w:vAlign w:val="center"/>
          </w:tcPr>
          <w:p w14:paraId="1F67C594" w14:textId="1792CFEE"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8,2</w:t>
            </w:r>
          </w:p>
        </w:tc>
        <w:tc>
          <w:tcPr>
            <w:tcW w:w="771" w:type="dxa"/>
            <w:noWrap/>
            <w:vAlign w:val="center"/>
          </w:tcPr>
          <w:p w14:paraId="6B1384BF" w14:textId="763F985A"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102,6</w:t>
            </w:r>
          </w:p>
        </w:tc>
      </w:tr>
      <w:tr w:rsidR="00FD465B" w:rsidRPr="00377D59" w14:paraId="644FC967" w14:textId="77777777" w:rsidTr="00F8490D">
        <w:trPr>
          <w:trHeight w:val="510"/>
        </w:trPr>
        <w:tc>
          <w:tcPr>
            <w:tcW w:w="5382" w:type="dxa"/>
            <w:vAlign w:val="center"/>
            <w:hideMark/>
          </w:tcPr>
          <w:p w14:paraId="1BA330A0" w14:textId="77777777" w:rsidR="00FD465B" w:rsidRPr="00EB7ACF" w:rsidRDefault="7A1FFE35" w:rsidP="7A1FFE35">
            <w:pPr>
              <w:keepNext/>
              <w:keepLines/>
              <w:spacing w:after="0" w:line="240" w:lineRule="auto"/>
              <w:rPr>
                <w:rFonts w:ascii="Times New Roman" w:eastAsia="Times New Roman" w:hAnsi="Times New Roman" w:cs="Times New Roman"/>
                <w:i/>
                <w:iCs/>
                <w:sz w:val="20"/>
                <w:szCs w:val="20"/>
                <w:lang w:eastAsia="hu-HU"/>
              </w:rPr>
            </w:pPr>
            <w:r w:rsidRPr="7A1FFE35">
              <w:rPr>
                <w:rFonts w:ascii="Times New Roman" w:eastAsia="Times New Roman" w:hAnsi="Times New Roman" w:cs="Times New Roman"/>
                <w:i/>
                <w:iCs/>
                <w:sz w:val="20"/>
                <w:szCs w:val="20"/>
                <w:lang w:eastAsia="hu-HU"/>
              </w:rPr>
              <w:t>A települési önkormányzatok egyes köznevelési feladatainak támogatása</w:t>
            </w:r>
          </w:p>
        </w:tc>
        <w:tc>
          <w:tcPr>
            <w:tcW w:w="1134" w:type="dxa"/>
            <w:noWrap/>
            <w:vAlign w:val="center"/>
          </w:tcPr>
          <w:p w14:paraId="5E8D28C3" w14:textId="00C4AC0F"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355,2</w:t>
            </w:r>
          </w:p>
        </w:tc>
        <w:tc>
          <w:tcPr>
            <w:tcW w:w="1134" w:type="dxa"/>
            <w:noWrap/>
            <w:vAlign w:val="center"/>
          </w:tcPr>
          <w:p w14:paraId="6861BB58" w14:textId="14097C91"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403,6</w:t>
            </w:r>
          </w:p>
        </w:tc>
        <w:tc>
          <w:tcPr>
            <w:tcW w:w="850" w:type="dxa"/>
            <w:noWrap/>
            <w:vAlign w:val="center"/>
          </w:tcPr>
          <w:p w14:paraId="085D1E80" w14:textId="4AFC743C"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48,4</w:t>
            </w:r>
          </w:p>
        </w:tc>
        <w:tc>
          <w:tcPr>
            <w:tcW w:w="771" w:type="dxa"/>
            <w:noWrap/>
            <w:vAlign w:val="center"/>
          </w:tcPr>
          <w:p w14:paraId="7767CDD1" w14:textId="5203F18F"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113,6</w:t>
            </w:r>
          </w:p>
        </w:tc>
      </w:tr>
      <w:tr w:rsidR="00FD465B" w:rsidRPr="00377D59" w14:paraId="11F06AEB" w14:textId="77777777" w:rsidTr="00F8490D">
        <w:trPr>
          <w:trHeight w:val="510"/>
        </w:trPr>
        <w:tc>
          <w:tcPr>
            <w:tcW w:w="5382" w:type="dxa"/>
            <w:vAlign w:val="center"/>
            <w:hideMark/>
          </w:tcPr>
          <w:p w14:paraId="63EE65A2" w14:textId="77777777" w:rsidR="00FD465B" w:rsidRPr="00EB7ACF" w:rsidRDefault="7A1FFE35" w:rsidP="7A1FFE35">
            <w:pPr>
              <w:keepNext/>
              <w:keepLines/>
              <w:spacing w:after="0" w:line="240" w:lineRule="auto"/>
              <w:rPr>
                <w:rFonts w:ascii="Times New Roman" w:eastAsia="Times New Roman" w:hAnsi="Times New Roman" w:cs="Times New Roman"/>
                <w:i/>
                <w:iCs/>
                <w:sz w:val="20"/>
                <w:szCs w:val="20"/>
                <w:lang w:eastAsia="hu-HU"/>
              </w:rPr>
            </w:pPr>
            <w:r w:rsidRPr="7A1FFE35">
              <w:rPr>
                <w:rFonts w:ascii="Times New Roman" w:eastAsia="Times New Roman" w:hAnsi="Times New Roman" w:cs="Times New Roman"/>
                <w:i/>
                <w:iCs/>
                <w:sz w:val="20"/>
                <w:szCs w:val="20"/>
                <w:lang w:eastAsia="hu-HU"/>
              </w:rPr>
              <w:t>A települési önkormányzatok egyes szociális, gyermekjóléti és gyermekétkeztetési feladatainak támogatása</w:t>
            </w:r>
          </w:p>
        </w:tc>
        <w:tc>
          <w:tcPr>
            <w:tcW w:w="1134" w:type="dxa"/>
            <w:noWrap/>
            <w:vAlign w:val="center"/>
          </w:tcPr>
          <w:p w14:paraId="4BBDE34C" w14:textId="7C56CF51"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428,2</w:t>
            </w:r>
          </w:p>
        </w:tc>
        <w:tc>
          <w:tcPr>
            <w:tcW w:w="1134" w:type="dxa"/>
            <w:noWrap/>
            <w:vAlign w:val="center"/>
          </w:tcPr>
          <w:p w14:paraId="4EC5C695" w14:textId="295C447F"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469,6</w:t>
            </w:r>
          </w:p>
        </w:tc>
        <w:tc>
          <w:tcPr>
            <w:tcW w:w="850" w:type="dxa"/>
            <w:noWrap/>
            <w:vAlign w:val="center"/>
          </w:tcPr>
          <w:p w14:paraId="14601228" w14:textId="53BC8F88"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41,4</w:t>
            </w:r>
          </w:p>
        </w:tc>
        <w:tc>
          <w:tcPr>
            <w:tcW w:w="771" w:type="dxa"/>
            <w:noWrap/>
            <w:vAlign w:val="center"/>
          </w:tcPr>
          <w:p w14:paraId="44A53BB5" w14:textId="03DB349E"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109,7</w:t>
            </w:r>
          </w:p>
        </w:tc>
      </w:tr>
      <w:tr w:rsidR="00FD465B" w:rsidRPr="00377D59" w14:paraId="1FC403F4" w14:textId="77777777" w:rsidTr="00F8490D">
        <w:trPr>
          <w:trHeight w:val="340"/>
        </w:trPr>
        <w:tc>
          <w:tcPr>
            <w:tcW w:w="5382" w:type="dxa"/>
            <w:vAlign w:val="center"/>
            <w:hideMark/>
          </w:tcPr>
          <w:p w14:paraId="4F427CE2" w14:textId="77777777" w:rsidR="00FD465B" w:rsidRPr="00EB7ACF" w:rsidRDefault="7A1FFE35" w:rsidP="7A1FFE35">
            <w:pPr>
              <w:keepNext/>
              <w:keepLines/>
              <w:spacing w:after="0" w:line="240" w:lineRule="auto"/>
              <w:rPr>
                <w:rFonts w:ascii="Times New Roman" w:eastAsia="Times New Roman" w:hAnsi="Times New Roman" w:cs="Times New Roman"/>
                <w:i/>
                <w:iCs/>
                <w:sz w:val="20"/>
                <w:szCs w:val="20"/>
                <w:lang w:eastAsia="hu-HU"/>
              </w:rPr>
            </w:pPr>
            <w:r w:rsidRPr="7A1FFE35">
              <w:rPr>
                <w:rFonts w:ascii="Times New Roman" w:eastAsia="Times New Roman" w:hAnsi="Times New Roman" w:cs="Times New Roman"/>
                <w:i/>
                <w:iCs/>
                <w:sz w:val="20"/>
                <w:szCs w:val="20"/>
                <w:lang w:eastAsia="hu-HU"/>
              </w:rPr>
              <w:t>A települési önkormányzatok kulturális feladatainak támogatása</w:t>
            </w:r>
          </w:p>
        </w:tc>
        <w:tc>
          <w:tcPr>
            <w:tcW w:w="1134" w:type="dxa"/>
            <w:noWrap/>
            <w:vAlign w:val="center"/>
          </w:tcPr>
          <w:p w14:paraId="44BDB6D4" w14:textId="0B7E4D92"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22,6</w:t>
            </w:r>
          </w:p>
        </w:tc>
        <w:tc>
          <w:tcPr>
            <w:tcW w:w="1134" w:type="dxa"/>
            <w:noWrap/>
            <w:vAlign w:val="center"/>
          </w:tcPr>
          <w:p w14:paraId="3D1BBCDB" w14:textId="0772880C"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22,5</w:t>
            </w:r>
          </w:p>
        </w:tc>
        <w:tc>
          <w:tcPr>
            <w:tcW w:w="850" w:type="dxa"/>
            <w:noWrap/>
            <w:vAlign w:val="center"/>
          </w:tcPr>
          <w:p w14:paraId="6C28EF3A" w14:textId="4FD9FC11"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-0,1</w:t>
            </w:r>
          </w:p>
        </w:tc>
        <w:tc>
          <w:tcPr>
            <w:tcW w:w="771" w:type="dxa"/>
            <w:noWrap/>
            <w:vAlign w:val="center"/>
          </w:tcPr>
          <w:p w14:paraId="796E83D2" w14:textId="78A7EB7E" w:rsidR="00FD465B" w:rsidRPr="00F8490D" w:rsidRDefault="7A1FFE35" w:rsidP="7A1FFE35">
            <w:pPr>
              <w:keepNext/>
              <w:keepLines/>
              <w:spacing w:after="0" w:line="240" w:lineRule="auto"/>
              <w:jc w:val="right"/>
              <w:rPr>
                <w:rFonts w:ascii="Times New Roman" w:eastAsia="Times New Roman" w:hAnsi="Times New Roman" w:cs="Times New Roman"/>
                <w:sz w:val="20"/>
                <w:szCs w:val="20"/>
                <w:lang w:eastAsia="hu-HU"/>
              </w:rPr>
            </w:pPr>
            <w:r w:rsidRPr="00F8490D">
              <w:rPr>
                <w:rFonts w:ascii="Times New Roman" w:hAnsi="Times New Roman" w:cs="Times New Roman"/>
                <w:sz w:val="20"/>
                <w:szCs w:val="20"/>
              </w:rPr>
              <w:t>99,6</w:t>
            </w:r>
          </w:p>
        </w:tc>
      </w:tr>
      <w:tr w:rsidR="00FD465B" w:rsidRPr="00377D59" w14:paraId="44EF96BF" w14:textId="77777777" w:rsidTr="00F8490D">
        <w:trPr>
          <w:trHeight w:val="340"/>
        </w:trPr>
        <w:tc>
          <w:tcPr>
            <w:tcW w:w="5382" w:type="dxa"/>
            <w:vAlign w:val="center"/>
            <w:hideMark/>
          </w:tcPr>
          <w:p w14:paraId="3DD87A70" w14:textId="766307B5" w:rsidR="00FD465B" w:rsidRPr="00EB7ACF" w:rsidRDefault="7A1FFE35" w:rsidP="7A1FFE35">
            <w:pPr>
              <w:keepNext/>
              <w:keepLines/>
              <w:spacing w:after="0" w:line="240" w:lineRule="auto"/>
              <w:rPr>
                <w:rFonts w:ascii="Times New Roman" w:eastAsia="Times New Roman" w:hAnsi="Times New Roman" w:cs="Times New Roman"/>
                <w:b/>
                <w:bCs/>
                <w:sz w:val="20"/>
                <w:szCs w:val="20"/>
                <w:lang w:eastAsia="hu-HU"/>
              </w:rPr>
            </w:pPr>
            <w:r w:rsidRPr="7A1FFE35">
              <w:rPr>
                <w:rFonts w:ascii="Times New Roman" w:eastAsia="Times New Roman" w:hAnsi="Times New Roman" w:cs="Times New Roman"/>
                <w:b/>
                <w:bCs/>
                <w:sz w:val="20"/>
                <w:szCs w:val="20"/>
                <w:lang w:eastAsia="hu-HU"/>
              </w:rPr>
              <w:t>Helyi önkormányzatok kiegészítő támogatása</w:t>
            </w:r>
          </w:p>
        </w:tc>
        <w:tc>
          <w:tcPr>
            <w:tcW w:w="1134" w:type="dxa"/>
            <w:noWrap/>
            <w:vAlign w:val="center"/>
          </w:tcPr>
          <w:p w14:paraId="34DDE983" w14:textId="5D024060"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111,3</w:t>
            </w:r>
          </w:p>
        </w:tc>
        <w:tc>
          <w:tcPr>
            <w:tcW w:w="1134" w:type="dxa"/>
            <w:noWrap/>
            <w:vAlign w:val="center"/>
          </w:tcPr>
          <w:p w14:paraId="405423BA" w14:textId="3A6C899A"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170,7</w:t>
            </w:r>
          </w:p>
        </w:tc>
        <w:tc>
          <w:tcPr>
            <w:tcW w:w="850" w:type="dxa"/>
            <w:noWrap/>
            <w:vAlign w:val="center"/>
          </w:tcPr>
          <w:p w14:paraId="76EB67F0" w14:textId="70E7B3E8"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59,4</w:t>
            </w:r>
          </w:p>
        </w:tc>
        <w:tc>
          <w:tcPr>
            <w:tcW w:w="771" w:type="dxa"/>
            <w:noWrap/>
            <w:vAlign w:val="center"/>
          </w:tcPr>
          <w:p w14:paraId="3FFF6C6E" w14:textId="03EDB8C1"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153,4</w:t>
            </w:r>
          </w:p>
        </w:tc>
      </w:tr>
      <w:tr w:rsidR="00FD465B" w:rsidRPr="00377D59" w14:paraId="648C3F54" w14:textId="77777777" w:rsidTr="00F8490D">
        <w:trPr>
          <w:trHeight w:val="340"/>
        </w:trPr>
        <w:tc>
          <w:tcPr>
            <w:tcW w:w="5382" w:type="dxa"/>
            <w:vAlign w:val="center"/>
            <w:hideMark/>
          </w:tcPr>
          <w:p w14:paraId="3676EE9C" w14:textId="4925EF27" w:rsidR="00FD465B" w:rsidRPr="00EB7ACF" w:rsidRDefault="7A1FFE35" w:rsidP="7A1FFE35">
            <w:pPr>
              <w:keepNext/>
              <w:keepLines/>
              <w:spacing w:after="0" w:line="240" w:lineRule="auto"/>
              <w:rPr>
                <w:rFonts w:ascii="Times New Roman" w:eastAsia="Times New Roman" w:hAnsi="Times New Roman" w:cs="Times New Roman"/>
                <w:b/>
                <w:bCs/>
                <w:sz w:val="20"/>
                <w:szCs w:val="20"/>
                <w:lang w:eastAsia="hu-HU"/>
              </w:rPr>
            </w:pPr>
            <w:r w:rsidRPr="7A1FFE35">
              <w:rPr>
                <w:rFonts w:ascii="Times New Roman" w:eastAsia="Times New Roman" w:hAnsi="Times New Roman" w:cs="Times New Roman"/>
                <w:b/>
                <w:bCs/>
                <w:sz w:val="20"/>
                <w:szCs w:val="20"/>
                <w:lang w:eastAsia="hu-HU"/>
              </w:rPr>
              <w:t>Év közben létrejött új jogcímek kiadásai</w:t>
            </w:r>
          </w:p>
        </w:tc>
        <w:tc>
          <w:tcPr>
            <w:tcW w:w="1134" w:type="dxa"/>
            <w:noWrap/>
            <w:vAlign w:val="center"/>
          </w:tcPr>
          <w:p w14:paraId="0BACAC9E" w14:textId="51D58620"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20,4</w:t>
            </w:r>
          </w:p>
        </w:tc>
        <w:tc>
          <w:tcPr>
            <w:tcW w:w="1134" w:type="dxa"/>
            <w:noWrap/>
            <w:vAlign w:val="center"/>
          </w:tcPr>
          <w:p w14:paraId="7A66E9FC" w14:textId="07875471"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11,7</w:t>
            </w:r>
          </w:p>
        </w:tc>
        <w:tc>
          <w:tcPr>
            <w:tcW w:w="850" w:type="dxa"/>
            <w:noWrap/>
            <w:vAlign w:val="center"/>
          </w:tcPr>
          <w:p w14:paraId="592B586A" w14:textId="6DBF2C38"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-8,7</w:t>
            </w:r>
          </w:p>
        </w:tc>
        <w:tc>
          <w:tcPr>
            <w:tcW w:w="771" w:type="dxa"/>
            <w:noWrap/>
            <w:vAlign w:val="center"/>
          </w:tcPr>
          <w:p w14:paraId="6EEBBBB0" w14:textId="5A1050E3"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57,4</w:t>
            </w:r>
          </w:p>
        </w:tc>
      </w:tr>
      <w:tr w:rsidR="00FD465B" w:rsidRPr="00377D59" w14:paraId="60064293" w14:textId="77777777" w:rsidTr="00F8490D">
        <w:trPr>
          <w:trHeight w:val="340"/>
        </w:trPr>
        <w:tc>
          <w:tcPr>
            <w:tcW w:w="5382" w:type="dxa"/>
            <w:noWrap/>
            <w:vAlign w:val="center"/>
            <w:hideMark/>
          </w:tcPr>
          <w:p w14:paraId="73666509" w14:textId="770E1DDA" w:rsidR="00FD465B" w:rsidRPr="00EB7ACF" w:rsidRDefault="7A1FFE35" w:rsidP="7A1FFE35">
            <w:pPr>
              <w:widowControl w:val="0"/>
              <w:spacing w:after="0" w:line="240" w:lineRule="auto"/>
              <w:rPr>
                <w:rFonts w:ascii="Times New Roman" w:eastAsia="Times New Roman" w:hAnsi="Times New Roman" w:cs="Times New Roman"/>
                <w:b/>
                <w:bCs/>
                <w:sz w:val="20"/>
                <w:szCs w:val="20"/>
                <w:lang w:eastAsia="hu-HU"/>
              </w:rPr>
            </w:pPr>
            <w:r w:rsidRPr="7A1FFE35">
              <w:rPr>
                <w:rFonts w:ascii="Times New Roman" w:eastAsia="Times New Roman" w:hAnsi="Times New Roman" w:cs="Times New Roman"/>
                <w:b/>
                <w:bCs/>
                <w:sz w:val="20"/>
                <w:szCs w:val="20"/>
                <w:lang w:eastAsia="hu-HU"/>
              </w:rPr>
              <w:t>Összesen</w:t>
            </w:r>
          </w:p>
        </w:tc>
        <w:tc>
          <w:tcPr>
            <w:tcW w:w="1134" w:type="dxa"/>
            <w:noWrap/>
            <w:vAlign w:val="center"/>
          </w:tcPr>
          <w:p w14:paraId="3A3EFD36" w14:textId="3EFBE7B6"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1250,2</w:t>
            </w:r>
          </w:p>
        </w:tc>
        <w:tc>
          <w:tcPr>
            <w:tcW w:w="1134" w:type="dxa"/>
            <w:noWrap/>
            <w:vAlign w:val="center"/>
          </w:tcPr>
          <w:p w14:paraId="1D84CCAC" w14:textId="60F50363"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1398,8</w:t>
            </w:r>
          </w:p>
        </w:tc>
        <w:tc>
          <w:tcPr>
            <w:tcW w:w="850" w:type="dxa"/>
            <w:noWrap/>
            <w:vAlign w:val="center"/>
          </w:tcPr>
          <w:p w14:paraId="0AACA3FA" w14:textId="328FD7BD"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148,6</w:t>
            </w:r>
          </w:p>
        </w:tc>
        <w:tc>
          <w:tcPr>
            <w:tcW w:w="771" w:type="dxa"/>
            <w:noWrap/>
            <w:vAlign w:val="center"/>
          </w:tcPr>
          <w:p w14:paraId="1C1B57DC" w14:textId="53544147" w:rsidR="00FD465B" w:rsidRPr="00FD465B" w:rsidRDefault="7A1FFE35" w:rsidP="7A1FFE35">
            <w:pPr>
              <w:keepNext/>
              <w:keepLines/>
              <w:spacing w:after="0" w:line="240" w:lineRule="auto"/>
              <w:jc w:val="right"/>
              <w:rPr>
                <w:rFonts w:ascii="Times New Roman" w:eastAsia="Times New Roman" w:hAnsi="Times New Roman" w:cs="Times New Roman"/>
                <w:b/>
                <w:bCs/>
                <w:sz w:val="20"/>
                <w:szCs w:val="20"/>
                <w:lang w:eastAsia="hu-HU"/>
              </w:rPr>
            </w:pPr>
            <w:r w:rsidRPr="7A1FFE35">
              <w:rPr>
                <w:rFonts w:ascii="Times New Roman" w:hAnsi="Times New Roman" w:cs="Times New Roman"/>
                <w:b/>
                <w:bCs/>
                <w:sz w:val="20"/>
                <w:szCs w:val="20"/>
              </w:rPr>
              <w:t>111,9</w:t>
            </w:r>
          </w:p>
        </w:tc>
      </w:tr>
    </w:tbl>
    <w:bookmarkEnd w:id="0"/>
    <w:p w14:paraId="294CBB33" w14:textId="468B007E" w:rsidR="74B9DF17" w:rsidRPr="00CD1AC2" w:rsidRDefault="7A1FFE35" w:rsidP="7A1FFE35">
      <w:pPr>
        <w:spacing w:before="240" w:after="120"/>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Az </w:t>
      </w:r>
      <w:r w:rsidRPr="7A1FFE35">
        <w:rPr>
          <w:rFonts w:ascii="Times New Roman" w:eastAsia="Times New Roman" w:hAnsi="Times New Roman" w:cs="Times New Roman"/>
          <w:b/>
          <w:bCs/>
          <w:sz w:val="26"/>
          <w:szCs w:val="26"/>
        </w:rPr>
        <w:t>Uniós programok kiadásai</w:t>
      </w:r>
      <w:r w:rsidRPr="7A1FFE35">
        <w:rPr>
          <w:rFonts w:ascii="Times New Roman" w:eastAsia="Times New Roman" w:hAnsi="Times New Roman" w:cs="Times New Roman"/>
          <w:i/>
          <w:iCs/>
          <w:sz w:val="26"/>
          <w:szCs w:val="26"/>
        </w:rPr>
        <w:t xml:space="preserve"> </w:t>
      </w:r>
      <w:r w:rsidRPr="7A1FFE35">
        <w:rPr>
          <w:rFonts w:ascii="Times New Roman" w:eastAsia="Times New Roman" w:hAnsi="Times New Roman" w:cs="Times New Roman"/>
          <w:sz w:val="26"/>
          <w:szCs w:val="26"/>
        </w:rPr>
        <w:t xml:space="preserve">mérlegsoron 2025. december végéig 2071,9 milliárd forint összegű kifizetés történt, amely a törvényi előirányzat (3023,8 milliárd forint) 68,5%-os teljesítését jelenti. A felmerült kiadások jelentős részét a 2021-2027-es Széchenyi </w:t>
      </w:r>
      <w:r w:rsidR="00FA5E77">
        <w:rPr>
          <w:rFonts w:ascii="Times New Roman" w:eastAsia="Times New Roman" w:hAnsi="Times New Roman" w:cs="Times New Roman"/>
          <w:sz w:val="26"/>
          <w:szCs w:val="26"/>
        </w:rPr>
        <w:t xml:space="preserve">Terv </w:t>
      </w:r>
      <w:r w:rsidRPr="7A1FFE35">
        <w:rPr>
          <w:rFonts w:ascii="Times New Roman" w:eastAsia="Times New Roman" w:hAnsi="Times New Roman" w:cs="Times New Roman"/>
          <w:sz w:val="26"/>
          <w:szCs w:val="26"/>
        </w:rPr>
        <w:t>Plusz programjai adták.</w:t>
      </w:r>
    </w:p>
    <w:p w14:paraId="6ABC464B" w14:textId="4D5CB4B2" w:rsidR="74B9DF17" w:rsidRPr="00CD1AC2" w:rsidRDefault="7A1FFE35" w:rsidP="7A1FFE35">
      <w:pPr>
        <w:spacing w:before="160"/>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A legnagyobb összegű kifizetéseket ezen időszakban a Széchenyi Terv Plusz operatív programok közül az Emberi Erőforrás Fejlesztési OP Plusz (EFOP Plusz) és a Terület- és Településfejlesztési OP (TOP Plusz) teljesítette. Kiemelkedők továbbá a Vidékfejlesztési Program és a KAP Stratégiai Terv Vidékfejlesztési Intézkedéseinek kifizetése.</w:t>
      </w:r>
    </w:p>
    <w:p w14:paraId="0EE0B389" w14:textId="6FCC5317" w:rsidR="029C2633" w:rsidRPr="00CD1AC2" w:rsidRDefault="7A1FFE35" w:rsidP="7A1FFE35">
      <w:pPr>
        <w:keepLines/>
        <w:spacing w:before="160"/>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Az </w:t>
      </w:r>
      <w:r w:rsidRPr="7A1FFE35">
        <w:rPr>
          <w:rFonts w:ascii="Times New Roman" w:eastAsia="Times New Roman" w:hAnsi="Times New Roman" w:cs="Times New Roman"/>
          <w:b/>
          <w:bCs/>
          <w:sz w:val="26"/>
          <w:szCs w:val="26"/>
        </w:rPr>
        <w:t>állami vagyonnal kapcsolatos kiadások</w:t>
      </w:r>
      <w:r w:rsidRPr="7A1FFE35">
        <w:rPr>
          <w:rFonts w:ascii="Times New Roman" w:eastAsia="Times New Roman" w:hAnsi="Times New Roman" w:cs="Times New Roman"/>
          <w:sz w:val="26"/>
          <w:szCs w:val="26"/>
        </w:rPr>
        <w:t xml:space="preserve"> 2025</w:t>
      </w:r>
      <w:r w:rsidR="007D418C">
        <w:rPr>
          <w:rFonts w:ascii="Times New Roman" w:eastAsia="Times New Roman" w:hAnsi="Times New Roman" w:cs="Times New Roman"/>
          <w:sz w:val="26"/>
          <w:szCs w:val="26"/>
        </w:rPr>
        <w:t>. évi</w:t>
      </w:r>
      <w:r w:rsidRPr="7A1FFE35">
        <w:rPr>
          <w:rFonts w:ascii="Times New Roman" w:eastAsia="Times New Roman" w:hAnsi="Times New Roman" w:cs="Times New Roman"/>
          <w:sz w:val="26"/>
          <w:szCs w:val="26"/>
        </w:rPr>
        <w:t xml:space="preserve"> összege 1034,5 milliárd forint volt, amelynek meghatározó része ingatlanokhoz kapcsolódóan került kifizetésre.</w:t>
      </w:r>
    </w:p>
    <w:p w14:paraId="4D36018A" w14:textId="4909E5A8" w:rsidR="000B49AE" w:rsidRPr="00377D59" w:rsidRDefault="00A25365" w:rsidP="000B49AE">
      <w:pPr>
        <w:spacing w:before="240" w:after="120" w:line="240" w:lineRule="auto"/>
        <w:jc w:val="center"/>
        <w:rPr>
          <w:rFonts w:ascii="Times New Roman" w:eastAsia="Times New Roman" w:hAnsi="Times New Roman" w:cs="Times New Roman"/>
          <w:b/>
          <w:bCs/>
          <w:sz w:val="26"/>
          <w:szCs w:val="26"/>
        </w:rPr>
      </w:pPr>
      <w:r>
        <w:rPr>
          <w:noProof/>
        </w:rPr>
        <w:drawing>
          <wp:inline distT="0" distB="0" distL="0" distR="0" wp14:anchorId="1BBC3E64" wp14:editId="289C8D16">
            <wp:extent cx="5592695" cy="3578010"/>
            <wp:effectExtent l="0" t="0" r="8255" b="3810"/>
            <wp:docPr id="1974328700"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8700" name="Kép 1" descr="A képen szöveg, képernyőkép, sor, Diagram látható&#10;&#10;Előfordulhat, hogy a mesterséges intelligencia által létrehozott tartalom helytelen."/>
                    <pic:cNvPicPr/>
                  </pic:nvPicPr>
                  <pic:blipFill>
                    <a:blip r:embed="rId19"/>
                    <a:stretch>
                      <a:fillRect/>
                    </a:stretch>
                  </pic:blipFill>
                  <pic:spPr>
                    <a:xfrm>
                      <a:off x="0" y="0"/>
                      <a:ext cx="5601570" cy="3583688"/>
                    </a:xfrm>
                    <a:prstGeom prst="rect">
                      <a:avLst/>
                    </a:prstGeom>
                  </pic:spPr>
                </pic:pic>
              </a:graphicData>
            </a:graphic>
          </wp:inline>
        </w:drawing>
      </w:r>
    </w:p>
    <w:p w14:paraId="030326D3" w14:textId="5BA2737A" w:rsidR="5B67C7D7"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lastRenderedPageBreak/>
        <w:t xml:space="preserve">Az </w:t>
      </w:r>
      <w:r w:rsidRPr="00A37FE5">
        <w:rPr>
          <w:rFonts w:ascii="Times New Roman" w:eastAsia="Times New Roman" w:hAnsi="Times New Roman" w:cs="Times New Roman"/>
          <w:b/>
          <w:bCs/>
          <w:sz w:val="26"/>
          <w:szCs w:val="26"/>
        </w:rPr>
        <w:t xml:space="preserve">állami beruházási fejezet kiadásait </w:t>
      </w:r>
      <w:r w:rsidRPr="00A37FE5">
        <w:rPr>
          <w:rFonts w:ascii="Times New Roman" w:eastAsia="Times New Roman" w:hAnsi="Times New Roman" w:cs="Times New Roman"/>
          <w:sz w:val="26"/>
          <w:szCs w:val="26"/>
        </w:rPr>
        <w:t>alapvetően az egyes projektek előrehaladása határozza meg. 2025-ben összesen 528,9 milliárd forint kiadás teljesült, amely magasabb a 2024 azonos időszakában teljesültekhez képest, amelyet az állami közútfejlesztési beruházások előző évihez képest magasabb teljesítménye okoz. A kifizetések nagy része az állami közútfejlesztési beruházásokhoz (335,0 milliárd forint), az európai uniós forrásokból megvalósuló beruházásokhoz (124,9 milliárd forint) és az egyedi magasépítési beruházásokhoz (51,1 milliárd forint) kapcsolódtak.</w:t>
      </w:r>
    </w:p>
    <w:p w14:paraId="598CEA5E" w14:textId="1E9D6026" w:rsidR="00C224F5"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 xml:space="preserve">Az </w:t>
      </w:r>
      <w:r w:rsidRPr="00A37FE5">
        <w:rPr>
          <w:rFonts w:ascii="Times New Roman" w:eastAsia="Times New Roman" w:hAnsi="Times New Roman" w:cs="Times New Roman"/>
          <w:b/>
          <w:bCs/>
          <w:sz w:val="26"/>
          <w:szCs w:val="26"/>
        </w:rPr>
        <w:t>egyéb kiadások</w:t>
      </w:r>
      <w:r w:rsidRPr="00A37FE5">
        <w:rPr>
          <w:rFonts w:ascii="Times New Roman" w:eastAsia="Times New Roman" w:hAnsi="Times New Roman" w:cs="Times New Roman"/>
          <w:sz w:val="26"/>
          <w:szCs w:val="26"/>
        </w:rPr>
        <w:t xml:space="preserve"> 2025. évi teljesítése </w:t>
      </w:r>
      <w:r w:rsidR="00AA22CB">
        <w:rPr>
          <w:rFonts w:ascii="Times New Roman" w:eastAsia="Times New Roman" w:hAnsi="Times New Roman" w:cs="Times New Roman"/>
          <w:sz w:val="26"/>
          <w:szCs w:val="26"/>
        </w:rPr>
        <w:t>697,9</w:t>
      </w:r>
      <w:r w:rsidRPr="00A37FE5">
        <w:rPr>
          <w:rFonts w:ascii="Times New Roman" w:eastAsia="Times New Roman" w:hAnsi="Times New Roman" w:cs="Times New Roman"/>
          <w:sz w:val="26"/>
          <w:szCs w:val="26"/>
        </w:rPr>
        <w:t xml:space="preserve"> milliárd forint lett, ami </w:t>
      </w:r>
      <w:r w:rsidR="00AA22CB">
        <w:rPr>
          <w:rFonts w:ascii="Times New Roman" w:eastAsia="Times New Roman" w:hAnsi="Times New Roman" w:cs="Times New Roman"/>
          <w:sz w:val="26"/>
          <w:szCs w:val="26"/>
        </w:rPr>
        <w:t>54,6</w:t>
      </w:r>
      <w:r w:rsidRPr="00A37FE5">
        <w:rPr>
          <w:rFonts w:ascii="Times New Roman" w:eastAsia="Times New Roman" w:hAnsi="Times New Roman" w:cs="Times New Roman"/>
          <w:sz w:val="26"/>
          <w:szCs w:val="26"/>
        </w:rPr>
        <w:t xml:space="preserve"> milliárd forinttal magasabban alakult az előző év azonos időszakához képest. </w:t>
      </w:r>
    </w:p>
    <w:p w14:paraId="15F013A7" w14:textId="7683C8A2" w:rsidR="74B9DF17"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 xml:space="preserve">A </w:t>
      </w:r>
      <w:r w:rsidRPr="00A37FE5">
        <w:rPr>
          <w:rFonts w:ascii="Times New Roman" w:eastAsia="Times New Roman" w:hAnsi="Times New Roman" w:cs="Times New Roman"/>
          <w:b/>
          <w:bCs/>
          <w:sz w:val="26"/>
          <w:szCs w:val="26"/>
        </w:rPr>
        <w:t>Hozzájárulás az EU költségvetéséhez</w:t>
      </w:r>
      <w:r w:rsidRPr="00A37FE5">
        <w:rPr>
          <w:rFonts w:ascii="Times New Roman" w:eastAsia="Times New Roman" w:hAnsi="Times New Roman" w:cs="Times New Roman"/>
          <w:sz w:val="26"/>
          <w:szCs w:val="26"/>
        </w:rPr>
        <w:t xml:space="preserve"> mérlegsoron 2025. december</w:t>
      </w:r>
      <w:r w:rsidR="00990B2B">
        <w:rPr>
          <w:rFonts w:ascii="Times New Roman" w:eastAsia="Times New Roman" w:hAnsi="Times New Roman" w:cs="Times New Roman"/>
          <w:sz w:val="26"/>
          <w:szCs w:val="26"/>
        </w:rPr>
        <w:t> </w:t>
      </w:r>
      <w:r w:rsidRPr="00A37FE5">
        <w:rPr>
          <w:rFonts w:ascii="Times New Roman" w:eastAsia="Times New Roman" w:hAnsi="Times New Roman" w:cs="Times New Roman"/>
          <w:sz w:val="26"/>
          <w:szCs w:val="26"/>
        </w:rPr>
        <w:t>végéig 714,8</w:t>
      </w:r>
      <w:r w:rsidR="002D4BD2">
        <w:rPr>
          <w:rFonts w:ascii="Times New Roman" w:eastAsia="Times New Roman" w:hAnsi="Times New Roman" w:cs="Times New Roman"/>
          <w:sz w:val="26"/>
          <w:szCs w:val="26"/>
        </w:rPr>
        <w:t> </w:t>
      </w:r>
      <w:r w:rsidRPr="00A37FE5">
        <w:rPr>
          <w:rFonts w:ascii="Times New Roman" w:eastAsia="Times New Roman" w:hAnsi="Times New Roman" w:cs="Times New Roman"/>
          <w:sz w:val="26"/>
          <w:szCs w:val="26"/>
        </w:rPr>
        <w:t>milliárd forint kiadás teljesült, ami a törvényi előirányzat 102,4%-a. E hozzájárulás 98,0 milliárd forinttal haladja meg a 2024. év</w:t>
      </w:r>
      <w:r w:rsidR="00AA3A5B">
        <w:rPr>
          <w:rFonts w:ascii="Times New Roman" w:eastAsia="Times New Roman" w:hAnsi="Times New Roman" w:cs="Times New Roman"/>
          <w:sz w:val="26"/>
          <w:szCs w:val="26"/>
        </w:rPr>
        <w:t xml:space="preserve"> </w:t>
      </w:r>
      <w:r w:rsidRPr="00A37FE5">
        <w:rPr>
          <w:rFonts w:ascii="Times New Roman" w:eastAsia="Times New Roman" w:hAnsi="Times New Roman" w:cs="Times New Roman"/>
          <w:sz w:val="26"/>
          <w:szCs w:val="26"/>
        </w:rPr>
        <w:t>azonos időszakában teljesített kiadásokat.</w:t>
      </w:r>
    </w:p>
    <w:p w14:paraId="0F5A0F03" w14:textId="70A95ED5" w:rsidR="6462B5A6"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 xml:space="preserve">A </w:t>
      </w:r>
      <w:r w:rsidRPr="00A37FE5">
        <w:rPr>
          <w:rFonts w:ascii="Times New Roman" w:eastAsia="Times New Roman" w:hAnsi="Times New Roman" w:cs="Times New Roman"/>
          <w:b/>
          <w:bCs/>
          <w:sz w:val="26"/>
          <w:szCs w:val="26"/>
        </w:rPr>
        <w:t>Nemzeti Kutatási, Fejlesztési és Innovációs Alapból</w:t>
      </w:r>
      <w:r w:rsidRPr="00A37FE5">
        <w:rPr>
          <w:rFonts w:ascii="Times New Roman" w:eastAsia="Times New Roman" w:hAnsi="Times New Roman" w:cs="Times New Roman"/>
          <w:sz w:val="26"/>
          <w:szCs w:val="26"/>
        </w:rPr>
        <w:t xml:space="preserve"> (NKFI Alap) 2025. december végéig 161,8 milliárd forint kiadás teljesült, ami 6,5 milliárd forinttal több kifizetést jelent a 2024. évi azonos időszak teljesítéséhez képest. </w:t>
      </w:r>
    </w:p>
    <w:p w14:paraId="17605E21" w14:textId="04BC963F" w:rsidR="6462B5A6"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 xml:space="preserve">A </w:t>
      </w:r>
      <w:r w:rsidRPr="00A37FE5">
        <w:rPr>
          <w:rFonts w:ascii="Times New Roman" w:eastAsia="Times New Roman" w:hAnsi="Times New Roman" w:cs="Times New Roman"/>
          <w:b/>
          <w:bCs/>
          <w:sz w:val="26"/>
          <w:szCs w:val="26"/>
        </w:rPr>
        <w:t>Nemzeti Foglalkoztatási Alap</w:t>
      </w:r>
      <w:r w:rsidRPr="00A37FE5">
        <w:rPr>
          <w:rFonts w:ascii="Times New Roman" w:eastAsia="Times New Roman" w:hAnsi="Times New Roman" w:cs="Times New Roman"/>
          <w:sz w:val="26"/>
          <w:szCs w:val="26"/>
        </w:rPr>
        <w:t xml:space="preserve"> (NFA) kiadásai esetében a Start-munkaprogramra összesen 134,4 milliárd forint teljesült. Az uniós elő- és társfinanszírozásra 78,3 milliárd forintot fordítottak.</w:t>
      </w:r>
    </w:p>
    <w:p w14:paraId="76B18BB1" w14:textId="647051CF" w:rsidR="123EFD2F"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A</w:t>
      </w:r>
      <w:r w:rsidRPr="00A37FE5">
        <w:rPr>
          <w:rFonts w:ascii="Times New Roman" w:eastAsia="Times New Roman" w:hAnsi="Times New Roman" w:cs="Times New Roman"/>
          <w:b/>
          <w:bCs/>
          <w:sz w:val="26"/>
          <w:szCs w:val="26"/>
        </w:rPr>
        <w:t xml:space="preserve"> Bethlen Gábor Alapból</w:t>
      </w:r>
      <w:r w:rsidRPr="00A37FE5">
        <w:rPr>
          <w:rFonts w:ascii="Times New Roman" w:eastAsia="Times New Roman" w:hAnsi="Times New Roman" w:cs="Times New Roman"/>
          <w:sz w:val="26"/>
          <w:szCs w:val="26"/>
        </w:rPr>
        <w:t xml:space="preserve"> (BGA) </w:t>
      </w:r>
      <w:r w:rsidR="00AF189B">
        <w:rPr>
          <w:rFonts w:ascii="Times New Roman" w:eastAsia="Times New Roman" w:hAnsi="Times New Roman" w:cs="Times New Roman"/>
          <w:sz w:val="26"/>
          <w:szCs w:val="26"/>
        </w:rPr>
        <w:t xml:space="preserve">a </w:t>
      </w:r>
      <w:r w:rsidRPr="00A37FE5">
        <w:rPr>
          <w:rFonts w:ascii="Times New Roman" w:eastAsia="Times New Roman" w:hAnsi="Times New Roman" w:cs="Times New Roman"/>
          <w:sz w:val="26"/>
          <w:szCs w:val="26"/>
        </w:rPr>
        <w:t>2025. évben összesen 95,8 milliárd forint kiadás teljesült. Az alapból nyújtott támogatások a BGA irányítását ellátó Bizottság döntései alapján, ütemezetten kerültek kifizetésre.</w:t>
      </w:r>
    </w:p>
    <w:p w14:paraId="51683CC2" w14:textId="08D4C8AE" w:rsidR="00043E49"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 xml:space="preserve">A </w:t>
      </w:r>
      <w:r w:rsidRPr="00A37FE5">
        <w:rPr>
          <w:rFonts w:ascii="Times New Roman" w:eastAsia="Times New Roman" w:hAnsi="Times New Roman" w:cs="Times New Roman"/>
          <w:b/>
          <w:bCs/>
          <w:sz w:val="26"/>
          <w:szCs w:val="26"/>
        </w:rPr>
        <w:t>Nyugdíjbiztosítási Alap</w:t>
      </w:r>
      <w:r w:rsidRPr="00A37FE5">
        <w:rPr>
          <w:rFonts w:ascii="Times New Roman" w:eastAsia="Times New Roman" w:hAnsi="Times New Roman" w:cs="Times New Roman"/>
          <w:sz w:val="26"/>
          <w:szCs w:val="26"/>
        </w:rPr>
        <w:t xml:space="preserve"> nyugellátási kiadásai </w:t>
      </w:r>
      <w:r w:rsidR="004C31EB">
        <w:rPr>
          <w:rFonts w:ascii="Times New Roman" w:eastAsia="Times New Roman" w:hAnsi="Times New Roman" w:cs="Times New Roman"/>
          <w:sz w:val="26"/>
          <w:szCs w:val="26"/>
        </w:rPr>
        <w:t>2025-ben</w:t>
      </w:r>
      <w:r w:rsidRPr="00A37FE5">
        <w:rPr>
          <w:rFonts w:ascii="Times New Roman" w:eastAsia="Times New Roman" w:hAnsi="Times New Roman" w:cs="Times New Roman"/>
          <w:sz w:val="26"/>
          <w:szCs w:val="26"/>
        </w:rPr>
        <w:t xml:space="preserve"> 6629,3 milliárd forintban teljesültek, ami 421,1 milliárd forinttal haladta meg az előző év azonos időszakának teljesítési adatait. A 6,8%-os kiadásnövekedést a tárgyév január hónapban végrehajtott inflációkövető nyugdíjemelés hatása, illetve a tárgyév novemberi kiegészítő nyugdíjemelés kiadásnövelő hatása, valamint az eltelt időszakban bekövetkezett létszámváltozás és</w:t>
      </w:r>
      <w:r w:rsidR="00DA7965">
        <w:rPr>
          <w:rFonts w:ascii="Times New Roman" w:eastAsia="Times New Roman" w:hAnsi="Times New Roman" w:cs="Times New Roman"/>
          <w:sz w:val="26"/>
          <w:szCs w:val="26"/>
        </w:rPr>
        <w:t> </w:t>
      </w:r>
      <w:r w:rsidRPr="00A37FE5">
        <w:rPr>
          <w:rFonts w:ascii="Times New Roman" w:eastAsia="Times New Roman" w:hAnsi="Times New Roman" w:cs="Times New Roman"/>
          <w:sz w:val="26"/>
          <w:szCs w:val="26"/>
        </w:rPr>
        <w:t>cserélődés együttes hatása eredményezte.</w:t>
      </w:r>
    </w:p>
    <w:p w14:paraId="26EFB518" w14:textId="172E0969" w:rsidR="00043E49"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Február hónapban több mint 2 millió öregségi nyugdíjban és hozzátartozói nyugellátásban részesülő személy részére folyósítottak 13. havi nyugdíjat. A 13. havi nyugdíj Nyugdíjbiztosítási Alapot terhelő kiadása december végéig 501,5 milliárd forint volt, ami 29,6 milliárd forinttal haladta meg az előző év azonos időszakában ezen a jogcímen teljesített kiadások összegét.</w:t>
      </w:r>
    </w:p>
    <w:p w14:paraId="08D09E62" w14:textId="52969700" w:rsidR="021DF365" w:rsidRPr="00A37FE5"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A novemberi kiegészítő nyugdíjemelés 1,6%-os emelésének Nyugdíjbiztosítási Alapot terhelő kiadásnövelő hatása éves szinten meghaladta a 99,6 milliárd forintot.</w:t>
      </w:r>
    </w:p>
    <w:p w14:paraId="168226B1" w14:textId="78C5938D" w:rsidR="00D72777" w:rsidRDefault="7A1FFE35" w:rsidP="7A1FFE35">
      <w:pPr>
        <w:jc w:val="both"/>
        <w:rPr>
          <w:rFonts w:ascii="Times New Roman" w:eastAsia="Times New Roman" w:hAnsi="Times New Roman" w:cs="Times New Roman"/>
          <w:sz w:val="26"/>
          <w:szCs w:val="26"/>
        </w:rPr>
      </w:pPr>
      <w:r w:rsidRPr="00A37FE5">
        <w:rPr>
          <w:rFonts w:ascii="Times New Roman" w:eastAsia="Times New Roman" w:hAnsi="Times New Roman" w:cs="Times New Roman"/>
          <w:sz w:val="26"/>
          <w:szCs w:val="26"/>
        </w:rPr>
        <w:t>Az éves pénzforgalmi adatok alapján a nyugellátási kiadásokon belül a korbetöltött öregségi nyugellátások 7,3%-kal, a nők 40 év jogosultsági idővel igénybe vehető öregségi nyugdíja („nők 40”) pedig 4,6%-kal haladta meg az előző év azonos időszakának kiadásait.</w:t>
      </w:r>
    </w:p>
    <w:p w14:paraId="636BCB9D" w14:textId="77777777" w:rsidR="00AA22CB" w:rsidRDefault="00AA22CB" w:rsidP="7A1FFE35">
      <w:pPr>
        <w:jc w:val="both"/>
        <w:rPr>
          <w:rFonts w:ascii="Times New Roman" w:eastAsia="Times New Roman" w:hAnsi="Times New Roman" w:cs="Times New Roman"/>
          <w:sz w:val="26"/>
          <w:szCs w:val="26"/>
        </w:rPr>
      </w:pPr>
    </w:p>
    <w:p w14:paraId="1E774D45" w14:textId="68A70A88" w:rsidR="00884EDC" w:rsidRPr="00CB07DE" w:rsidRDefault="00AA22CB" w:rsidP="00AA22CB">
      <w:pPr>
        <w:jc w:val="both"/>
        <w:rPr>
          <w:rFonts w:ascii="Times New Roman" w:eastAsia="Times New Roman" w:hAnsi="Times New Roman" w:cs="Times New Roman"/>
          <w:sz w:val="26"/>
          <w:szCs w:val="26"/>
        </w:rPr>
      </w:pPr>
      <w:r>
        <w:rPr>
          <w:noProof/>
        </w:rPr>
        <w:lastRenderedPageBreak/>
        <w:drawing>
          <wp:inline distT="0" distB="0" distL="0" distR="0" wp14:anchorId="0F11A13C" wp14:editId="5F12A093">
            <wp:extent cx="5940425" cy="2685245"/>
            <wp:effectExtent l="0" t="0" r="3175" b="1270"/>
            <wp:docPr id="1666241339" name="Kép 1" descr="A képen szöveg, diagram, képernyőkép,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41339" name="Kép 1" descr="A képen szöveg, diagram, képernyőkép, sor látható&#10;&#10;Előfordulhat, hogy a mesterséges intelligencia által létrehozott tartalom helytelen."/>
                    <pic:cNvPicPr/>
                  </pic:nvPicPr>
                  <pic:blipFill>
                    <a:blip r:embed="rId20"/>
                    <a:stretch>
                      <a:fillRect/>
                    </a:stretch>
                  </pic:blipFill>
                  <pic:spPr>
                    <a:xfrm>
                      <a:off x="0" y="0"/>
                      <a:ext cx="5943658" cy="2686706"/>
                    </a:xfrm>
                    <a:prstGeom prst="rect">
                      <a:avLst/>
                    </a:prstGeom>
                  </pic:spPr>
                </pic:pic>
              </a:graphicData>
            </a:graphic>
          </wp:inline>
        </w:drawing>
      </w:r>
      <w:r w:rsidR="7A1FFE35" w:rsidRPr="7A1FFE35">
        <w:rPr>
          <w:rFonts w:ascii="Times New Roman" w:eastAsia="Times New Roman" w:hAnsi="Times New Roman" w:cs="Times New Roman"/>
          <w:sz w:val="26"/>
          <w:szCs w:val="26"/>
        </w:rPr>
        <w:t xml:space="preserve">Az öregségi nyugdíjban részesülők 2025. december havi </w:t>
      </w:r>
      <w:r w:rsidR="7A1FFE35" w:rsidRPr="7A1FFE35">
        <w:rPr>
          <w:rFonts w:ascii="Times New Roman" w:eastAsia="Times New Roman" w:hAnsi="Times New Roman" w:cs="Times New Roman"/>
          <w:b/>
          <w:bCs/>
          <w:sz w:val="26"/>
          <w:szCs w:val="26"/>
        </w:rPr>
        <w:t>átlagos statisztikai állományi létszáma</w:t>
      </w:r>
      <w:r w:rsidR="7A1FFE35" w:rsidRPr="7A1FFE35">
        <w:rPr>
          <w:rFonts w:ascii="Times New Roman" w:eastAsia="Times New Roman" w:hAnsi="Times New Roman" w:cs="Times New Roman"/>
          <w:sz w:val="26"/>
          <w:szCs w:val="26"/>
        </w:rPr>
        <w:t xml:space="preserve"> kis mértékben növekedett, 4882 fővel haladta meg az előző év azonos időszakának létszámát, ez mintegy 2 millió főt jelent. Az öregségi nyugdíjban részesülők létszámán belül a nők kedvezményes nyugdíjában részesülők (korhatár alattiak) létszáma a korhatárbetöltés, az újonnan belépők és az elhalálozás együttes hatásaként 4029 fővel csökkent a 2024. decemberi adathoz képest, jelenleg 137 534 fő veszi igénybe a „nők 40” kedvezményes nyugdíját.</w:t>
      </w:r>
    </w:p>
    <w:p w14:paraId="61DC0A5C" w14:textId="4E363319" w:rsidR="00884EDC" w:rsidRPr="00CB07DE" w:rsidRDefault="7A1FFE35" w:rsidP="7A1FFE35">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Az öregségi nyugdíjak átlagos havi összege egy év alatt 16 178 forinttal emelkedett, 2025. decemberben 250 604 forint volt.</w:t>
      </w:r>
    </w:p>
    <w:p w14:paraId="725BF303" w14:textId="60C58C4B" w:rsidR="7BF38582" w:rsidRDefault="7A1FFE35" w:rsidP="7A1FFE35">
      <w:pPr>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Az ellátások egy főre jutó havi átlagos összege az egyes ellátotti jogcímeken belül az előző év azonos időszakával összehasonlítva az alábbiak szerint növekedett.</w:t>
      </w:r>
    </w:p>
    <w:p w14:paraId="503DFEB7" w14:textId="397D1CA3" w:rsidR="00EF1F5B" w:rsidRDefault="00D424B8" w:rsidP="002D6802">
      <w:pPr>
        <w:pStyle w:val="NormlWeb"/>
        <w:spacing w:before="0" w:beforeAutospacing="0" w:after="0" w:afterAutospacing="0"/>
        <w:jc w:val="center"/>
      </w:pPr>
      <w:r>
        <w:rPr>
          <w:noProof/>
        </w:rPr>
        <w:drawing>
          <wp:inline distT="0" distB="0" distL="0" distR="0" wp14:anchorId="0FC07155" wp14:editId="37FB6912">
            <wp:extent cx="4961631" cy="3350361"/>
            <wp:effectExtent l="0" t="0" r="0" b="2540"/>
            <wp:docPr id="2086551243" name="Kép 1" descr="A képen szöveg, képernyőkép, szám, Betűtípu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51243" name="Kép 1" descr="A képen szöveg, képernyőkép, szám, Betűtípus látható&#10;&#10;Előfordulhat, hogy a mesterséges intelligencia által létrehozott tartalom helytelen."/>
                    <pic:cNvPicPr/>
                  </pic:nvPicPr>
                  <pic:blipFill>
                    <a:blip r:embed="rId21"/>
                    <a:stretch>
                      <a:fillRect/>
                    </a:stretch>
                  </pic:blipFill>
                  <pic:spPr>
                    <a:xfrm>
                      <a:off x="0" y="0"/>
                      <a:ext cx="4976385" cy="3360324"/>
                    </a:xfrm>
                    <a:prstGeom prst="rect">
                      <a:avLst/>
                    </a:prstGeom>
                  </pic:spPr>
                </pic:pic>
              </a:graphicData>
            </a:graphic>
          </wp:inline>
        </w:drawing>
      </w:r>
    </w:p>
    <w:p w14:paraId="3779DB9C" w14:textId="246CB37A" w:rsidR="0022104D" w:rsidRDefault="00D33920" w:rsidP="00A31F84">
      <w:pPr>
        <w:widowControl w:val="0"/>
        <w:spacing w:before="240"/>
        <w:jc w:val="both"/>
      </w:pPr>
      <w:r>
        <w:rPr>
          <w:rFonts w:ascii="Times New Roman" w:eastAsia="Times New Roman" w:hAnsi="Times New Roman" w:cs="Times New Roman"/>
          <w:sz w:val="26"/>
          <w:szCs w:val="26"/>
        </w:rPr>
        <w:br w:type="column"/>
      </w:r>
      <w:r w:rsidR="7C285CBA" w:rsidRPr="7C285CBA">
        <w:rPr>
          <w:rFonts w:ascii="Times New Roman" w:eastAsia="Times New Roman" w:hAnsi="Times New Roman" w:cs="Times New Roman"/>
          <w:sz w:val="26"/>
          <w:szCs w:val="26"/>
        </w:rPr>
        <w:lastRenderedPageBreak/>
        <w:t xml:space="preserve">Az öregségi nyugdíjban, hozzátartozói nyugellátásban részesülők jogcím szerinti megoszlásának összehasonlítását a korábbi adatokkal az alábbi ábrák mutatják. </w:t>
      </w:r>
    </w:p>
    <w:p w14:paraId="6E229341" w14:textId="19F617D3" w:rsidR="00EF1F5B" w:rsidRDefault="00D424B8" w:rsidP="00AA22CB">
      <w:pPr>
        <w:pStyle w:val="NormlWeb"/>
        <w:widowControl w:val="0"/>
        <w:ind w:right="424"/>
      </w:pPr>
      <w:r>
        <w:rPr>
          <w:noProof/>
        </w:rPr>
        <w:drawing>
          <wp:inline distT="0" distB="0" distL="0" distR="0" wp14:anchorId="10FCC7CE" wp14:editId="27B72411">
            <wp:extent cx="5898524" cy="2475951"/>
            <wp:effectExtent l="0" t="0" r="6985" b="635"/>
            <wp:docPr id="511352916" name="Kép 1" descr="A képen szöveg, képernyőkép, Betűtípus,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52916" name="Kép 1" descr="A képen szöveg, képernyőkép, Betűtípus, diagram látható&#10;&#10;Előfordulhat, hogy a mesterséges intelligencia által létrehozott tartalom helytelen."/>
                    <pic:cNvPicPr/>
                  </pic:nvPicPr>
                  <pic:blipFill>
                    <a:blip r:embed="rId22"/>
                    <a:stretch>
                      <a:fillRect/>
                    </a:stretch>
                  </pic:blipFill>
                  <pic:spPr>
                    <a:xfrm>
                      <a:off x="0" y="0"/>
                      <a:ext cx="5932121" cy="2490053"/>
                    </a:xfrm>
                    <a:prstGeom prst="rect">
                      <a:avLst/>
                    </a:prstGeom>
                  </pic:spPr>
                </pic:pic>
              </a:graphicData>
            </a:graphic>
          </wp:inline>
        </w:drawing>
      </w:r>
    </w:p>
    <w:p w14:paraId="2A4F88FB" w14:textId="558B9764" w:rsidR="00D4148C" w:rsidRPr="002B492B" w:rsidRDefault="7A1FFE35" w:rsidP="7A1FFE35">
      <w:pPr>
        <w:widowControl w:val="0"/>
        <w:rPr>
          <w:rFonts w:ascii="Times New Roman" w:eastAsia="Times New Roman" w:hAnsi="Times New Roman" w:cs="Times New Roman"/>
          <w:b/>
          <w:bCs/>
          <w:sz w:val="26"/>
          <w:szCs w:val="26"/>
        </w:rPr>
      </w:pPr>
      <w:r w:rsidRPr="7A1FFE35">
        <w:rPr>
          <w:rFonts w:ascii="Times New Roman" w:eastAsia="Times New Roman" w:hAnsi="Times New Roman" w:cs="Times New Roman"/>
          <w:sz w:val="26"/>
          <w:szCs w:val="26"/>
        </w:rPr>
        <w:t xml:space="preserve">Az </w:t>
      </w:r>
      <w:r w:rsidRPr="7A1FFE35">
        <w:rPr>
          <w:rFonts w:ascii="Times New Roman" w:eastAsia="Times New Roman" w:hAnsi="Times New Roman" w:cs="Times New Roman"/>
          <w:b/>
          <w:bCs/>
          <w:sz w:val="26"/>
          <w:szCs w:val="26"/>
        </w:rPr>
        <w:t>Egészségbiztosítási Alap kiadásainak</w:t>
      </w:r>
      <w:r w:rsidRPr="7A1FFE35">
        <w:rPr>
          <w:rFonts w:ascii="Times New Roman" w:eastAsia="Times New Roman" w:hAnsi="Times New Roman" w:cs="Times New Roman"/>
          <w:sz w:val="26"/>
          <w:szCs w:val="26"/>
        </w:rPr>
        <w:t xml:space="preserve"> összetételét a következő ábra mutatja be:</w:t>
      </w:r>
      <w:r w:rsidRPr="7A1FFE35">
        <w:rPr>
          <w:rFonts w:ascii="Times New Roman" w:eastAsia="Times New Roman" w:hAnsi="Times New Roman" w:cs="Times New Roman"/>
          <w:b/>
          <w:bCs/>
          <w:sz w:val="26"/>
          <w:szCs w:val="26"/>
        </w:rPr>
        <w:t xml:space="preserve"> </w:t>
      </w:r>
    </w:p>
    <w:p w14:paraId="57C38B59" w14:textId="52F33080" w:rsidR="00D4148C" w:rsidRDefault="00D424B8" w:rsidP="00AA22CB">
      <w:pPr>
        <w:widowControl w:val="0"/>
        <w:spacing w:after="240"/>
        <w:ind w:left="567"/>
        <w:rPr>
          <w:rFonts w:ascii="Times New Roman" w:eastAsia="Times New Roman" w:hAnsi="Times New Roman" w:cs="Times New Roman"/>
          <w:sz w:val="26"/>
          <w:szCs w:val="26"/>
        </w:rPr>
      </w:pPr>
      <w:r>
        <w:rPr>
          <w:noProof/>
        </w:rPr>
        <w:drawing>
          <wp:inline distT="0" distB="0" distL="0" distR="0" wp14:anchorId="56987DCF" wp14:editId="4265443A">
            <wp:extent cx="6134735" cy="2633730"/>
            <wp:effectExtent l="0" t="0" r="0" b="0"/>
            <wp:docPr id="86674897" name="Kép 1" descr="A képen szöveg, diagram,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4897" name="Kép 1" descr="A képen szöveg, diagram, képernyőkép, kör látható&#10;&#10;Előfordulhat, hogy a mesterséges intelligencia által létrehozott tartalom helytelen."/>
                    <pic:cNvPicPr/>
                  </pic:nvPicPr>
                  <pic:blipFill>
                    <a:blip r:embed="rId23"/>
                    <a:stretch>
                      <a:fillRect/>
                    </a:stretch>
                  </pic:blipFill>
                  <pic:spPr>
                    <a:xfrm>
                      <a:off x="0" y="0"/>
                      <a:ext cx="6147688" cy="2639291"/>
                    </a:xfrm>
                    <a:prstGeom prst="rect">
                      <a:avLst/>
                    </a:prstGeom>
                  </pic:spPr>
                </pic:pic>
              </a:graphicData>
            </a:graphic>
          </wp:inline>
        </w:drawing>
      </w:r>
    </w:p>
    <w:p w14:paraId="19FDF989" w14:textId="79A17709" w:rsidR="00CA3468" w:rsidRDefault="7A1FFE35" w:rsidP="7A1FFE35">
      <w:pPr>
        <w:widowControl w:val="0"/>
        <w:spacing w:after="240"/>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t xml:space="preserve">Az </w:t>
      </w:r>
      <w:r w:rsidRPr="7A1FFE35">
        <w:rPr>
          <w:rFonts w:ascii="Times New Roman" w:eastAsia="Times New Roman" w:hAnsi="Times New Roman" w:cs="Times New Roman"/>
          <w:b/>
          <w:bCs/>
          <w:sz w:val="26"/>
          <w:szCs w:val="26"/>
        </w:rPr>
        <w:t>Egészségbiztosítási Alap</w:t>
      </w:r>
      <w:r w:rsidRPr="7A1FFE35">
        <w:rPr>
          <w:rFonts w:ascii="Times New Roman" w:eastAsia="Times New Roman" w:hAnsi="Times New Roman" w:cs="Times New Roman"/>
          <w:sz w:val="26"/>
          <w:szCs w:val="26"/>
        </w:rPr>
        <w:t xml:space="preserve"> összes kiadásának 25,6%-át a </w:t>
      </w:r>
      <w:r w:rsidRPr="7A1FFE35">
        <w:rPr>
          <w:rFonts w:ascii="Times New Roman" w:eastAsia="Times New Roman" w:hAnsi="Times New Roman" w:cs="Times New Roman"/>
          <w:b/>
          <w:bCs/>
          <w:sz w:val="26"/>
          <w:szCs w:val="26"/>
        </w:rPr>
        <w:t>pénzbeli ellátásokra</w:t>
      </w:r>
      <w:r w:rsidRPr="7A1FFE35">
        <w:rPr>
          <w:rFonts w:ascii="Times New Roman" w:eastAsia="Times New Roman" w:hAnsi="Times New Roman" w:cs="Times New Roman"/>
          <w:sz w:val="26"/>
          <w:szCs w:val="26"/>
        </w:rPr>
        <w:t xml:space="preserve"> fordított összeg adta. Az ellátások részletes bemutatását a következő táblázat tartalmazza:</w:t>
      </w:r>
    </w:p>
    <w:p w14:paraId="1D31F2C8" w14:textId="3F5AAC59" w:rsidR="00DA4FBC" w:rsidRPr="001074A1" w:rsidRDefault="7A1FFE35" w:rsidP="7A1FFE35">
      <w:pPr>
        <w:widowControl w:val="0"/>
        <w:spacing w:after="240"/>
        <w:jc w:val="center"/>
        <w:rPr>
          <w:rFonts w:ascii="Times New Roman" w:eastAsia="Times New Roman" w:hAnsi="Times New Roman" w:cs="Times New Roman"/>
          <w:b/>
          <w:bCs/>
        </w:rPr>
      </w:pPr>
      <w:r w:rsidRPr="7A1FFE35">
        <w:rPr>
          <w:rFonts w:ascii="Times New Roman" w:eastAsia="Times New Roman" w:hAnsi="Times New Roman" w:cs="Times New Roman"/>
          <w:b/>
          <w:bCs/>
        </w:rPr>
        <w:t>Az Egészségbiztosítási Alap pénzbeli ellátásokra fordított kiadásainak alakulása (milliárd forint)</w:t>
      </w:r>
    </w:p>
    <w:tbl>
      <w:tblPr>
        <w:tblpPr w:leftFromText="141" w:rightFromText="141" w:vertAnchor="text" w:tblpXSpec="center" w:tblpY="1"/>
        <w:tblOverlap w:val="never"/>
        <w:tblW w:w="8718" w:type="dxa"/>
        <w:tblLayout w:type="fixed"/>
        <w:tblCellMar>
          <w:left w:w="70" w:type="dxa"/>
          <w:right w:w="70" w:type="dxa"/>
        </w:tblCellMar>
        <w:tblLook w:val="04A0" w:firstRow="1" w:lastRow="0" w:firstColumn="1" w:lastColumn="0" w:noHBand="0" w:noVBand="1"/>
      </w:tblPr>
      <w:tblGrid>
        <w:gridCol w:w="4248"/>
        <w:gridCol w:w="1276"/>
        <w:gridCol w:w="1209"/>
        <w:gridCol w:w="992"/>
        <w:gridCol w:w="993"/>
      </w:tblGrid>
      <w:tr w:rsidR="00E601EF" w:rsidRPr="00377D59" w14:paraId="06E6BC15" w14:textId="77777777" w:rsidTr="7A1FFE35">
        <w:trPr>
          <w:trHeight w:val="340"/>
        </w:trPr>
        <w:tc>
          <w:tcPr>
            <w:tcW w:w="4248" w:type="dxa"/>
            <w:vMerge w:val="restart"/>
            <w:tcBorders>
              <w:top w:val="single" w:sz="4" w:space="0" w:color="auto"/>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510863DA" w14:textId="77777777" w:rsidR="00E601EF" w:rsidRPr="00377D59" w:rsidRDefault="7A1FFE35" w:rsidP="7A1FFE35">
            <w:pPr>
              <w:widowControl w:val="0"/>
              <w:spacing w:after="0" w:line="240" w:lineRule="auto"/>
              <w:jc w:val="center"/>
              <w:rPr>
                <w:rFonts w:ascii="Times New Roman" w:eastAsia="Times New Roman" w:hAnsi="Times New Roman" w:cs="Times New Roman"/>
                <w:b/>
                <w:bCs/>
              </w:rPr>
            </w:pPr>
            <w:r w:rsidRPr="7A1FFE35">
              <w:rPr>
                <w:rFonts w:ascii="Times New Roman" w:eastAsia="Times New Roman" w:hAnsi="Times New Roman" w:cs="Times New Roman"/>
                <w:b/>
                <w:bCs/>
              </w:rPr>
              <w:t>Megnevezés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BB44369" w14:textId="1D26086D" w:rsidR="00E601EF" w:rsidRPr="00377D59" w:rsidRDefault="7A1FFE35" w:rsidP="7A1FFE35">
            <w:pPr>
              <w:widowControl w:val="0"/>
              <w:spacing w:after="0" w:line="240" w:lineRule="auto"/>
              <w:jc w:val="center"/>
              <w:rPr>
                <w:rFonts w:ascii="Times New Roman" w:eastAsia="Times New Roman" w:hAnsi="Times New Roman" w:cs="Times New Roman"/>
                <w:b/>
                <w:bCs/>
              </w:rPr>
            </w:pPr>
            <w:r w:rsidRPr="7A1FFE35">
              <w:rPr>
                <w:rFonts w:ascii="Times New Roman" w:eastAsia="Times New Roman" w:hAnsi="Times New Roman" w:cs="Times New Roman"/>
                <w:b/>
                <w:bCs/>
              </w:rPr>
              <w:t xml:space="preserve">2024. </w:t>
            </w:r>
            <w:r w:rsidR="004E5F60">
              <w:rPr>
                <w:rFonts w:ascii="Times New Roman" w:eastAsia="Times New Roman" w:hAnsi="Times New Roman" w:cs="Times New Roman"/>
                <w:b/>
                <w:bCs/>
              </w:rPr>
              <w:t>évi tény</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A1BFE64" w14:textId="39795542" w:rsidR="00E601EF" w:rsidRPr="004E5F60" w:rsidRDefault="7A1FFE35" w:rsidP="7A1FFE35">
            <w:pPr>
              <w:widowControl w:val="0"/>
              <w:spacing w:after="0" w:line="240" w:lineRule="auto"/>
              <w:jc w:val="center"/>
              <w:rPr>
                <w:rFonts w:ascii="Times New Roman" w:eastAsia="Times New Roman" w:hAnsi="Times New Roman" w:cs="Times New Roman"/>
                <w:b/>
                <w:bCs/>
              </w:rPr>
            </w:pPr>
            <w:r w:rsidRPr="004E5F60">
              <w:rPr>
                <w:rFonts w:ascii="Times New Roman" w:eastAsia="Times New Roman" w:hAnsi="Times New Roman" w:cs="Times New Roman"/>
                <w:b/>
                <w:bCs/>
              </w:rPr>
              <w:t xml:space="preserve">2025. </w:t>
            </w:r>
            <w:r w:rsidR="004E5F60" w:rsidRPr="004E5F60">
              <w:rPr>
                <w:rFonts w:ascii="Times New Roman" w:hAnsi="Times New Roman" w:cs="Times New Roman"/>
                <w:b/>
                <w:bCs/>
              </w:rPr>
              <w:t>évi előzetes tény</w:t>
            </w:r>
          </w:p>
        </w:tc>
        <w:tc>
          <w:tcPr>
            <w:tcW w:w="1985"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EFB39D6" w14:textId="77777777" w:rsidR="00E601EF" w:rsidRPr="00377D59" w:rsidRDefault="7A1FFE35" w:rsidP="7A1FFE35">
            <w:pPr>
              <w:widowControl w:val="0"/>
              <w:spacing w:after="0" w:line="240" w:lineRule="auto"/>
              <w:jc w:val="center"/>
              <w:rPr>
                <w:rFonts w:ascii="Times New Roman" w:eastAsia="Times New Roman" w:hAnsi="Times New Roman" w:cs="Times New Roman"/>
                <w:b/>
                <w:bCs/>
              </w:rPr>
            </w:pPr>
            <w:r w:rsidRPr="7A1FFE35">
              <w:rPr>
                <w:rFonts w:ascii="Times New Roman" w:eastAsia="Times New Roman" w:hAnsi="Times New Roman" w:cs="Times New Roman"/>
                <w:b/>
                <w:bCs/>
              </w:rPr>
              <w:t>Eltérés</w:t>
            </w:r>
          </w:p>
        </w:tc>
      </w:tr>
      <w:tr w:rsidR="00E601EF" w:rsidRPr="00377D59" w14:paraId="67C6C54B" w14:textId="77777777" w:rsidTr="7A1FFE35">
        <w:trPr>
          <w:trHeight w:val="340"/>
        </w:trPr>
        <w:tc>
          <w:tcPr>
            <w:tcW w:w="4248"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CCA367D" w14:textId="77777777" w:rsidR="00E601EF" w:rsidRPr="00377D59" w:rsidRDefault="00E601EF" w:rsidP="00A31F84">
            <w:pPr>
              <w:widowControl w:val="0"/>
              <w:spacing w:after="0" w:line="240" w:lineRule="auto"/>
              <w:rPr>
                <w:rFonts w:ascii="Times New Roman" w:eastAsia="Times New Roman" w:hAnsi="Times New Roman" w:cs="Times New Roman"/>
                <w:b/>
                <w:bCs/>
                <w:lang w:eastAsia="hu-HU"/>
              </w:rPr>
            </w:pPr>
          </w:p>
        </w:tc>
        <w:tc>
          <w:tcPr>
            <w:tcW w:w="127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99307A"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12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E594B6"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986BC2B" w14:textId="77777777" w:rsidR="00E601EF" w:rsidRPr="00377D59" w:rsidRDefault="7A1FFE35" w:rsidP="7A1FFE35">
            <w:pPr>
              <w:widowControl w:val="0"/>
              <w:spacing w:after="0" w:line="240" w:lineRule="auto"/>
              <w:jc w:val="center"/>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Mrd Ft</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0EDA458" w14:textId="77777777" w:rsidR="00E601EF" w:rsidRPr="00377D59" w:rsidRDefault="7A1FFE35" w:rsidP="7A1FFE35">
            <w:pPr>
              <w:widowControl w:val="0"/>
              <w:spacing w:after="0" w:line="240" w:lineRule="auto"/>
              <w:jc w:val="center"/>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w:t>
            </w:r>
          </w:p>
        </w:tc>
      </w:tr>
      <w:tr w:rsidR="00494D4B" w:rsidRPr="00377D59" w14:paraId="0F7FB8C0" w14:textId="77777777" w:rsidTr="7A1FFE35">
        <w:trPr>
          <w:trHeight w:val="340"/>
        </w:trPr>
        <w:tc>
          <w:tcPr>
            <w:tcW w:w="4248" w:type="dxa"/>
            <w:tcBorders>
              <w:top w:val="nil"/>
              <w:left w:val="single" w:sz="4" w:space="0" w:color="auto"/>
              <w:bottom w:val="single" w:sz="4" w:space="0" w:color="auto"/>
              <w:right w:val="single" w:sz="4" w:space="0" w:color="auto"/>
            </w:tcBorders>
            <w:noWrap/>
            <w:vAlign w:val="center"/>
            <w:hideMark/>
          </w:tcPr>
          <w:p w14:paraId="4F8BBBDE" w14:textId="77777777" w:rsidR="00494D4B" w:rsidRPr="00377D59" w:rsidRDefault="7A1FFE35" w:rsidP="7A1FFE35">
            <w:pPr>
              <w:widowControl w:val="0"/>
              <w:spacing w:after="0" w:line="240" w:lineRule="auto"/>
              <w:ind w:firstLine="67"/>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Pénzbeli ellátások</w:t>
            </w:r>
          </w:p>
        </w:tc>
        <w:tc>
          <w:tcPr>
            <w:tcW w:w="1276" w:type="dxa"/>
            <w:tcBorders>
              <w:top w:val="single" w:sz="4" w:space="0" w:color="auto"/>
              <w:left w:val="nil"/>
              <w:bottom w:val="single" w:sz="4" w:space="0" w:color="auto"/>
              <w:right w:val="single" w:sz="4" w:space="0" w:color="auto"/>
            </w:tcBorders>
            <w:vAlign w:val="center"/>
          </w:tcPr>
          <w:p w14:paraId="3EB30386" w14:textId="3E7636D1" w:rsidR="00494D4B" w:rsidRPr="001074A1" w:rsidRDefault="7A1FFE35" w:rsidP="7A1FFE35">
            <w:pPr>
              <w:widowControl w:val="0"/>
              <w:spacing w:after="0"/>
              <w:jc w:val="right"/>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1164,6</w:t>
            </w:r>
          </w:p>
        </w:tc>
        <w:tc>
          <w:tcPr>
            <w:tcW w:w="1209" w:type="dxa"/>
            <w:tcBorders>
              <w:top w:val="single" w:sz="4" w:space="0" w:color="auto"/>
              <w:left w:val="nil"/>
              <w:bottom w:val="single" w:sz="4" w:space="0" w:color="auto"/>
              <w:right w:val="single" w:sz="4" w:space="0" w:color="auto"/>
            </w:tcBorders>
            <w:vAlign w:val="center"/>
          </w:tcPr>
          <w:p w14:paraId="749AF748" w14:textId="3740072E" w:rsidR="00494D4B" w:rsidRPr="001074A1" w:rsidRDefault="7A1FFE35" w:rsidP="7A1FFE35">
            <w:pPr>
              <w:widowControl w:val="0"/>
              <w:spacing w:after="0"/>
              <w:jc w:val="right"/>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1256,0</w:t>
            </w:r>
          </w:p>
        </w:tc>
        <w:tc>
          <w:tcPr>
            <w:tcW w:w="992" w:type="dxa"/>
            <w:tcBorders>
              <w:top w:val="single" w:sz="4" w:space="0" w:color="auto"/>
              <w:left w:val="nil"/>
              <w:bottom w:val="single" w:sz="4" w:space="0" w:color="auto"/>
              <w:right w:val="single" w:sz="4" w:space="0" w:color="auto"/>
            </w:tcBorders>
            <w:noWrap/>
            <w:vAlign w:val="center"/>
          </w:tcPr>
          <w:p w14:paraId="780D698F" w14:textId="5921BF34" w:rsidR="00494D4B" w:rsidRPr="001074A1" w:rsidRDefault="7A1FFE35" w:rsidP="7A1FFE35">
            <w:pPr>
              <w:widowControl w:val="0"/>
              <w:spacing w:after="0"/>
              <w:jc w:val="right"/>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91,4</w:t>
            </w:r>
          </w:p>
        </w:tc>
        <w:tc>
          <w:tcPr>
            <w:tcW w:w="993" w:type="dxa"/>
            <w:tcBorders>
              <w:top w:val="single" w:sz="4" w:space="0" w:color="auto"/>
              <w:left w:val="nil"/>
              <w:bottom w:val="single" w:sz="4" w:space="0" w:color="auto"/>
              <w:right w:val="single" w:sz="4" w:space="0" w:color="auto"/>
            </w:tcBorders>
            <w:noWrap/>
            <w:vAlign w:val="center"/>
          </w:tcPr>
          <w:p w14:paraId="35977C13" w14:textId="7526C92E" w:rsidR="00494D4B" w:rsidRPr="001074A1" w:rsidRDefault="7A1FFE35" w:rsidP="7A1FFE35">
            <w:pPr>
              <w:widowControl w:val="0"/>
              <w:spacing w:after="0"/>
              <w:jc w:val="right"/>
              <w:rPr>
                <w:rFonts w:ascii="Times New Roman" w:eastAsia="Times New Roman" w:hAnsi="Times New Roman" w:cs="Times New Roman"/>
                <w:b/>
                <w:bCs/>
                <w:lang w:eastAsia="hu-HU"/>
              </w:rPr>
            </w:pPr>
            <w:r w:rsidRPr="7A1FFE35">
              <w:rPr>
                <w:rFonts w:ascii="Times New Roman" w:eastAsia="Times New Roman" w:hAnsi="Times New Roman" w:cs="Times New Roman"/>
                <w:b/>
                <w:bCs/>
                <w:lang w:eastAsia="hu-HU"/>
              </w:rPr>
              <w:t>107,8</w:t>
            </w:r>
          </w:p>
        </w:tc>
      </w:tr>
      <w:tr w:rsidR="00494D4B" w:rsidRPr="00377D59" w14:paraId="07715518" w14:textId="77777777" w:rsidTr="7A1FFE35">
        <w:trPr>
          <w:trHeight w:val="284"/>
        </w:trPr>
        <w:tc>
          <w:tcPr>
            <w:tcW w:w="4248" w:type="dxa"/>
            <w:tcBorders>
              <w:top w:val="nil"/>
              <w:left w:val="single" w:sz="4" w:space="0" w:color="auto"/>
              <w:bottom w:val="single" w:sz="4" w:space="0" w:color="auto"/>
              <w:right w:val="single" w:sz="4" w:space="0" w:color="auto"/>
            </w:tcBorders>
            <w:noWrap/>
            <w:vAlign w:val="center"/>
            <w:hideMark/>
          </w:tcPr>
          <w:p w14:paraId="31DF5B0B" w14:textId="77777777" w:rsidR="00494D4B" w:rsidRPr="003D21B5" w:rsidRDefault="7A1FFE35" w:rsidP="7A1FFE35">
            <w:pPr>
              <w:widowControl w:val="0"/>
              <w:spacing w:after="0" w:line="240" w:lineRule="auto"/>
              <w:ind w:firstLine="285"/>
              <w:rPr>
                <w:rFonts w:ascii="Times New Roman" w:eastAsia="Times New Roman" w:hAnsi="Times New Roman" w:cs="Times New Roman"/>
                <w:i/>
                <w:iCs/>
                <w:lang w:eastAsia="hu-HU"/>
              </w:rPr>
            </w:pPr>
            <w:r w:rsidRPr="7A1FFE35">
              <w:rPr>
                <w:rFonts w:ascii="Times New Roman" w:eastAsia="Times New Roman" w:hAnsi="Times New Roman" w:cs="Times New Roman"/>
                <w:i/>
                <w:iCs/>
                <w:lang w:eastAsia="hu-HU"/>
              </w:rPr>
              <w:t>Ebből:</w:t>
            </w:r>
          </w:p>
        </w:tc>
        <w:tc>
          <w:tcPr>
            <w:tcW w:w="4470" w:type="dxa"/>
            <w:gridSpan w:val="4"/>
            <w:tcBorders>
              <w:top w:val="single" w:sz="4" w:space="0" w:color="auto"/>
              <w:left w:val="nil"/>
              <w:bottom w:val="single" w:sz="4" w:space="0" w:color="auto"/>
              <w:right w:val="single" w:sz="4" w:space="0" w:color="auto"/>
            </w:tcBorders>
            <w:vAlign w:val="center"/>
          </w:tcPr>
          <w:p w14:paraId="60B47ECC" w14:textId="007D4839" w:rsidR="00494D4B" w:rsidRPr="003D21B5" w:rsidRDefault="7A1FFE35" w:rsidP="7A1FFE35">
            <w:pPr>
              <w:widowControl w:val="0"/>
              <w:spacing w:after="0" w:line="240" w:lineRule="auto"/>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 </w:t>
            </w:r>
          </w:p>
        </w:tc>
      </w:tr>
      <w:tr w:rsidR="00494D4B" w:rsidRPr="00377D59" w14:paraId="72B9616A" w14:textId="77777777" w:rsidTr="7A1FFE35">
        <w:trPr>
          <w:trHeight w:val="340"/>
        </w:trPr>
        <w:tc>
          <w:tcPr>
            <w:tcW w:w="4248" w:type="dxa"/>
            <w:tcBorders>
              <w:top w:val="nil"/>
              <w:left w:val="single" w:sz="4" w:space="0" w:color="auto"/>
              <w:bottom w:val="single" w:sz="4" w:space="0" w:color="auto"/>
              <w:right w:val="single" w:sz="4" w:space="0" w:color="auto"/>
            </w:tcBorders>
            <w:noWrap/>
            <w:vAlign w:val="center"/>
            <w:hideMark/>
          </w:tcPr>
          <w:p w14:paraId="21DA2C4C" w14:textId="77777777" w:rsidR="00494D4B" w:rsidRPr="003D21B5" w:rsidRDefault="7A1FFE35" w:rsidP="7A1FFE35">
            <w:pPr>
              <w:widowControl w:val="0"/>
              <w:spacing w:after="0" w:line="240" w:lineRule="auto"/>
              <w:ind w:firstLine="67"/>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Rokkantsági, rehabilitációs ellátások</w:t>
            </w:r>
          </w:p>
        </w:tc>
        <w:tc>
          <w:tcPr>
            <w:tcW w:w="1276" w:type="dxa"/>
            <w:tcBorders>
              <w:top w:val="single" w:sz="4" w:space="0" w:color="auto"/>
              <w:left w:val="nil"/>
              <w:bottom w:val="single" w:sz="4" w:space="0" w:color="auto"/>
              <w:right w:val="single" w:sz="4" w:space="0" w:color="auto"/>
            </w:tcBorders>
            <w:noWrap/>
            <w:vAlign w:val="center"/>
          </w:tcPr>
          <w:p w14:paraId="49E22A63" w14:textId="1F470F5A"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400,8</w:t>
            </w:r>
          </w:p>
        </w:tc>
        <w:tc>
          <w:tcPr>
            <w:tcW w:w="1209" w:type="dxa"/>
            <w:tcBorders>
              <w:top w:val="single" w:sz="4" w:space="0" w:color="auto"/>
              <w:left w:val="nil"/>
              <w:bottom w:val="single" w:sz="4" w:space="0" w:color="auto"/>
              <w:right w:val="single" w:sz="4" w:space="0" w:color="auto"/>
            </w:tcBorders>
            <w:noWrap/>
            <w:vAlign w:val="center"/>
          </w:tcPr>
          <w:p w14:paraId="0480FC73" w14:textId="736ACEEF"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429,3</w:t>
            </w:r>
          </w:p>
        </w:tc>
        <w:tc>
          <w:tcPr>
            <w:tcW w:w="992" w:type="dxa"/>
            <w:tcBorders>
              <w:top w:val="single" w:sz="4" w:space="0" w:color="auto"/>
              <w:left w:val="nil"/>
              <w:bottom w:val="single" w:sz="4" w:space="0" w:color="auto"/>
              <w:right w:val="single" w:sz="4" w:space="0" w:color="auto"/>
            </w:tcBorders>
            <w:noWrap/>
            <w:vAlign w:val="center"/>
          </w:tcPr>
          <w:p w14:paraId="63616B24" w14:textId="56367E32"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28,5</w:t>
            </w:r>
          </w:p>
        </w:tc>
        <w:tc>
          <w:tcPr>
            <w:tcW w:w="993" w:type="dxa"/>
            <w:tcBorders>
              <w:top w:val="single" w:sz="4" w:space="0" w:color="auto"/>
              <w:left w:val="nil"/>
              <w:bottom w:val="single" w:sz="4" w:space="0" w:color="auto"/>
              <w:right w:val="single" w:sz="4" w:space="0" w:color="auto"/>
            </w:tcBorders>
            <w:noWrap/>
            <w:vAlign w:val="center"/>
          </w:tcPr>
          <w:p w14:paraId="2B583A17" w14:textId="62231761"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107,1</w:t>
            </w:r>
          </w:p>
        </w:tc>
      </w:tr>
      <w:tr w:rsidR="00494D4B" w:rsidRPr="00377D59" w14:paraId="778FD915" w14:textId="77777777" w:rsidTr="7A1FFE35">
        <w:trPr>
          <w:trHeight w:val="340"/>
        </w:trPr>
        <w:tc>
          <w:tcPr>
            <w:tcW w:w="4248" w:type="dxa"/>
            <w:tcBorders>
              <w:top w:val="nil"/>
              <w:left w:val="single" w:sz="4" w:space="0" w:color="auto"/>
              <w:bottom w:val="single" w:sz="4" w:space="0" w:color="auto"/>
              <w:right w:val="single" w:sz="4" w:space="0" w:color="auto"/>
            </w:tcBorders>
            <w:noWrap/>
            <w:vAlign w:val="center"/>
            <w:hideMark/>
          </w:tcPr>
          <w:p w14:paraId="4CDB1046" w14:textId="4891E4FD" w:rsidR="00494D4B" w:rsidRPr="003D21B5" w:rsidRDefault="7A1FFE35" w:rsidP="7A1FFE35">
            <w:pPr>
              <w:widowControl w:val="0"/>
              <w:spacing w:after="0" w:line="240" w:lineRule="auto"/>
              <w:ind w:firstLine="67"/>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Gyermekgondozási díj és örökbefogadói díj</w:t>
            </w:r>
          </w:p>
        </w:tc>
        <w:tc>
          <w:tcPr>
            <w:tcW w:w="1276" w:type="dxa"/>
            <w:tcBorders>
              <w:top w:val="single" w:sz="4" w:space="0" w:color="auto"/>
              <w:left w:val="nil"/>
              <w:bottom w:val="single" w:sz="4" w:space="0" w:color="auto"/>
              <w:right w:val="single" w:sz="4" w:space="0" w:color="auto"/>
            </w:tcBorders>
            <w:noWrap/>
            <w:vAlign w:val="center"/>
          </w:tcPr>
          <w:p w14:paraId="0B0C3582" w14:textId="7C39DEF8"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374,4</w:t>
            </w:r>
          </w:p>
        </w:tc>
        <w:tc>
          <w:tcPr>
            <w:tcW w:w="1209" w:type="dxa"/>
            <w:tcBorders>
              <w:top w:val="single" w:sz="4" w:space="0" w:color="auto"/>
              <w:left w:val="nil"/>
              <w:bottom w:val="single" w:sz="4" w:space="0" w:color="auto"/>
              <w:right w:val="single" w:sz="4" w:space="0" w:color="auto"/>
            </w:tcBorders>
            <w:noWrap/>
            <w:vAlign w:val="center"/>
          </w:tcPr>
          <w:p w14:paraId="6E6D7B2A" w14:textId="6B0DD336"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394,4</w:t>
            </w:r>
          </w:p>
        </w:tc>
        <w:tc>
          <w:tcPr>
            <w:tcW w:w="992" w:type="dxa"/>
            <w:tcBorders>
              <w:top w:val="single" w:sz="4" w:space="0" w:color="auto"/>
              <w:left w:val="nil"/>
              <w:bottom w:val="single" w:sz="4" w:space="0" w:color="auto"/>
              <w:right w:val="single" w:sz="4" w:space="0" w:color="auto"/>
            </w:tcBorders>
            <w:noWrap/>
            <w:vAlign w:val="center"/>
          </w:tcPr>
          <w:p w14:paraId="791AEA46" w14:textId="1E9220FA"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20,0</w:t>
            </w:r>
          </w:p>
        </w:tc>
        <w:tc>
          <w:tcPr>
            <w:tcW w:w="993" w:type="dxa"/>
            <w:tcBorders>
              <w:top w:val="single" w:sz="4" w:space="0" w:color="auto"/>
              <w:left w:val="nil"/>
              <w:bottom w:val="single" w:sz="4" w:space="0" w:color="auto"/>
              <w:right w:val="single" w:sz="4" w:space="0" w:color="auto"/>
            </w:tcBorders>
            <w:noWrap/>
            <w:vAlign w:val="center"/>
          </w:tcPr>
          <w:p w14:paraId="189A6E8D" w14:textId="1D10F9D7"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105,3</w:t>
            </w:r>
          </w:p>
        </w:tc>
      </w:tr>
      <w:tr w:rsidR="00494D4B" w:rsidRPr="00377D59" w14:paraId="7D62EFFD" w14:textId="77777777" w:rsidTr="7A1FFE35">
        <w:trPr>
          <w:trHeight w:val="34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487EDDE" w14:textId="77777777" w:rsidR="00494D4B" w:rsidRPr="003D21B5" w:rsidRDefault="7A1FFE35" w:rsidP="7A1FFE35">
            <w:pPr>
              <w:widowControl w:val="0"/>
              <w:spacing w:after="0" w:line="240" w:lineRule="auto"/>
              <w:ind w:firstLine="67"/>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Táppénz</w:t>
            </w:r>
          </w:p>
        </w:tc>
        <w:tc>
          <w:tcPr>
            <w:tcW w:w="1276" w:type="dxa"/>
            <w:tcBorders>
              <w:top w:val="single" w:sz="4" w:space="0" w:color="auto"/>
              <w:left w:val="nil"/>
              <w:bottom w:val="single" w:sz="4" w:space="0" w:color="auto"/>
              <w:right w:val="single" w:sz="4" w:space="0" w:color="auto"/>
            </w:tcBorders>
            <w:noWrap/>
            <w:vAlign w:val="center"/>
          </w:tcPr>
          <w:p w14:paraId="4DBD4593" w14:textId="70248DE7"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216,9</w:t>
            </w:r>
          </w:p>
        </w:tc>
        <w:tc>
          <w:tcPr>
            <w:tcW w:w="1209" w:type="dxa"/>
            <w:tcBorders>
              <w:top w:val="single" w:sz="4" w:space="0" w:color="auto"/>
              <w:left w:val="nil"/>
              <w:bottom w:val="single" w:sz="4" w:space="0" w:color="auto"/>
              <w:right w:val="single" w:sz="4" w:space="0" w:color="auto"/>
            </w:tcBorders>
            <w:noWrap/>
            <w:vAlign w:val="center"/>
          </w:tcPr>
          <w:p w14:paraId="7122EFC4" w14:textId="22B5101A"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250,1</w:t>
            </w:r>
          </w:p>
        </w:tc>
        <w:tc>
          <w:tcPr>
            <w:tcW w:w="992" w:type="dxa"/>
            <w:tcBorders>
              <w:top w:val="single" w:sz="4" w:space="0" w:color="auto"/>
              <w:left w:val="nil"/>
              <w:bottom w:val="single" w:sz="4" w:space="0" w:color="auto"/>
              <w:right w:val="single" w:sz="4" w:space="0" w:color="auto"/>
            </w:tcBorders>
            <w:noWrap/>
            <w:vAlign w:val="center"/>
          </w:tcPr>
          <w:p w14:paraId="64552A76" w14:textId="0437C4C9"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 xml:space="preserve">  33,2</w:t>
            </w:r>
          </w:p>
        </w:tc>
        <w:tc>
          <w:tcPr>
            <w:tcW w:w="993" w:type="dxa"/>
            <w:tcBorders>
              <w:top w:val="single" w:sz="4" w:space="0" w:color="auto"/>
              <w:left w:val="nil"/>
              <w:bottom w:val="single" w:sz="4" w:space="0" w:color="auto"/>
              <w:right w:val="single" w:sz="4" w:space="0" w:color="auto"/>
            </w:tcBorders>
            <w:noWrap/>
            <w:vAlign w:val="center"/>
          </w:tcPr>
          <w:p w14:paraId="324ADF3D" w14:textId="05A2B5E3" w:rsidR="00494D4B" w:rsidRPr="003D21B5" w:rsidRDefault="7A1FFE35" w:rsidP="7A1FFE35">
            <w:pPr>
              <w:widowControl w:val="0"/>
              <w:spacing w:after="0"/>
              <w:jc w:val="right"/>
              <w:rPr>
                <w:rFonts w:ascii="Times New Roman" w:eastAsia="Times New Roman" w:hAnsi="Times New Roman" w:cs="Times New Roman"/>
                <w:lang w:eastAsia="hu-HU"/>
              </w:rPr>
            </w:pPr>
            <w:r w:rsidRPr="7A1FFE35">
              <w:rPr>
                <w:rFonts w:ascii="Times New Roman" w:eastAsia="Times New Roman" w:hAnsi="Times New Roman" w:cs="Times New Roman"/>
                <w:lang w:eastAsia="hu-HU"/>
              </w:rPr>
              <w:t>115,3</w:t>
            </w:r>
          </w:p>
        </w:tc>
      </w:tr>
    </w:tbl>
    <w:p w14:paraId="7F2895FE" w14:textId="30693F41" w:rsidR="001074A1" w:rsidRDefault="7A1FFE35" w:rsidP="7A1FFE35">
      <w:pPr>
        <w:widowControl w:val="0"/>
        <w:spacing w:before="240"/>
        <w:jc w:val="both"/>
        <w:rPr>
          <w:rFonts w:ascii="Times New Roman" w:eastAsia="Times New Roman" w:hAnsi="Times New Roman" w:cs="Times New Roman"/>
          <w:sz w:val="26"/>
          <w:szCs w:val="26"/>
        </w:rPr>
      </w:pPr>
      <w:r w:rsidRPr="7A1FFE35">
        <w:rPr>
          <w:rFonts w:ascii="Times New Roman" w:eastAsia="Times New Roman" w:hAnsi="Times New Roman" w:cs="Times New Roman"/>
          <w:sz w:val="26"/>
          <w:szCs w:val="26"/>
        </w:rPr>
        <w:lastRenderedPageBreak/>
        <w:t xml:space="preserve">A </w:t>
      </w:r>
      <w:r w:rsidRPr="7A1FFE35">
        <w:rPr>
          <w:rFonts w:ascii="Times New Roman" w:eastAsia="Times New Roman" w:hAnsi="Times New Roman" w:cs="Times New Roman"/>
          <w:b/>
          <w:bCs/>
          <w:sz w:val="26"/>
          <w:szCs w:val="26"/>
        </w:rPr>
        <w:t>gyógyító-megelőző ellátásokra</w:t>
      </w:r>
      <w:r w:rsidRPr="7A1FFE35">
        <w:rPr>
          <w:rFonts w:ascii="Times New Roman" w:eastAsia="Times New Roman" w:hAnsi="Times New Roman" w:cs="Times New Roman"/>
          <w:sz w:val="26"/>
          <w:szCs w:val="26"/>
        </w:rPr>
        <w:t xml:space="preserve"> fordított kiadás 2025</w:t>
      </w:r>
      <w:r w:rsidR="006079B4">
        <w:rPr>
          <w:rFonts w:ascii="Times New Roman" w:eastAsia="Times New Roman" w:hAnsi="Times New Roman" w:cs="Times New Roman"/>
          <w:sz w:val="26"/>
          <w:szCs w:val="26"/>
        </w:rPr>
        <w:t>-ben</w:t>
      </w:r>
      <w:r w:rsidRPr="7A1FFE35">
        <w:rPr>
          <w:rFonts w:ascii="Times New Roman" w:eastAsia="Times New Roman" w:hAnsi="Times New Roman" w:cs="Times New Roman"/>
          <w:sz w:val="26"/>
          <w:szCs w:val="26"/>
        </w:rPr>
        <w:t xml:space="preserve"> 2916,3 milliárd forintot tett ki a 2024-ben felmerült 2686,6 milliárd forint összegű kiadással szemben.</w:t>
      </w:r>
    </w:p>
    <w:p w14:paraId="63C09739" w14:textId="3ABA0317" w:rsidR="13E847AC" w:rsidRDefault="7A1FFE35" w:rsidP="13E847AC">
      <w:pPr>
        <w:jc w:val="both"/>
      </w:pPr>
      <w:r w:rsidRPr="7A1FFE35">
        <w:rPr>
          <w:rFonts w:ascii="Times New Roman" w:eastAsia="Times New Roman" w:hAnsi="Times New Roman" w:cs="Times New Roman"/>
          <w:sz w:val="26"/>
          <w:szCs w:val="26"/>
        </w:rPr>
        <w:t>Az előző évhez viszonyított magasabb összegű kiadás – többek között – az egészségügyi ágazati előmeneteli szabályok hatálya alá tartozó egészségügyi szakdolgozókat és egészségügyben dolgozókat 2024. március 1-jétől megillető, átlagosan 20%-os, valamint az alapellátásban dolgozó egészségügyi dolgozók azonos mértékű béremelésével kapcsolatosan jelentkező, 2025. évre áthúzódó hatásából eredt.</w:t>
      </w:r>
    </w:p>
    <w:p w14:paraId="32E93D9D" w14:textId="4C08BC81" w:rsidR="13E847AC" w:rsidRDefault="7BF38582" w:rsidP="13E847AC">
      <w:pPr>
        <w:jc w:val="both"/>
      </w:pPr>
      <w:r w:rsidRPr="7BF38582">
        <w:rPr>
          <w:rFonts w:ascii="Times New Roman" w:eastAsia="Times New Roman" w:hAnsi="Times New Roman" w:cs="Times New Roman"/>
          <w:sz w:val="26"/>
          <w:szCs w:val="26"/>
        </w:rPr>
        <w:t>Az előző évhez viszonyított növekedést az is magyarázza, hogy a fekvő- és járóbeteg-szakellátás és laboratóriumi ellátás teljesítményegységeinek forintértékéről szóló új</w:t>
      </w:r>
      <w:r w:rsidR="00EA3422">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BM</w:t>
      </w:r>
      <w:r w:rsidR="00A23458">
        <w:rPr>
          <w:rFonts w:ascii="Times New Roman" w:eastAsia="Times New Roman" w:hAnsi="Times New Roman" w:cs="Times New Roman"/>
          <w:sz w:val="26"/>
          <w:szCs w:val="26"/>
        </w:rPr>
        <w:noBreakHyphen/>
      </w:r>
      <w:r w:rsidRPr="7BF38582">
        <w:rPr>
          <w:rFonts w:ascii="Times New Roman" w:eastAsia="Times New Roman" w:hAnsi="Times New Roman" w:cs="Times New Roman"/>
          <w:sz w:val="26"/>
          <w:szCs w:val="26"/>
        </w:rPr>
        <w:t>NGM együttes közlemény, illetve a Nemzeti Dialízis Központ létrehozásával kapcsolatos feladatokról és egyéb, az egészségügyi szolgáltatókat segítő finanszírozási intézkedésekről szóló 66/2025. (IV. 4.) Korm. rendelet, valamint az egészségügyi ágazati szakmai képzésekkel és az egészségügyi szolgáltatók finanszírozásával összefüggő miniszteri rendeletek módosításáról szóló 10/2025. (IV. 4.) BM rendelet alapján az</w:t>
      </w:r>
      <w:r w:rsidR="00EA3422">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Egészségbiztosítási Alap Gyógyító-megelőző ellátás alcímének 150,0</w:t>
      </w:r>
      <w:r w:rsidR="006F326F">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w:t>
      </w:r>
      <w:r w:rsidR="006F326F">
        <w:rPr>
          <w:rFonts w:ascii="Times New Roman" w:eastAsia="Times New Roman" w:hAnsi="Times New Roman" w:cs="Times New Roman"/>
          <w:sz w:val="26"/>
          <w:szCs w:val="26"/>
        </w:rPr>
        <w:t> forin</w:t>
      </w:r>
      <w:r w:rsidRPr="7BF38582">
        <w:rPr>
          <w:rFonts w:ascii="Times New Roman" w:eastAsia="Times New Roman" w:hAnsi="Times New Roman" w:cs="Times New Roman"/>
          <w:sz w:val="26"/>
          <w:szCs w:val="26"/>
        </w:rPr>
        <w:t>t összegű, az Egészségügyi szolgáltatók kiegészítő finanszírozása megnevezésű jogcímcsoport felhasználásával 2025. januártól történt meg a közfinanszírozásban részesülő egészségügyi szolgáltatók kifizetése.</w:t>
      </w:r>
    </w:p>
    <w:p w14:paraId="69E4940B" w14:textId="09C72C6D" w:rsidR="001074A1" w:rsidRDefault="7A1FFE35" w:rsidP="7A1FFE35">
      <w:pPr>
        <w:jc w:val="both"/>
        <w:rPr>
          <w:rFonts w:ascii="Times New Roman" w:eastAsia="Times New Roman" w:hAnsi="Times New Roman" w:cs="Times New Roman"/>
          <w:sz w:val="26"/>
          <w:szCs w:val="26"/>
        </w:rPr>
      </w:pPr>
      <w:r w:rsidRPr="7A1FFE35">
        <w:rPr>
          <w:rFonts w:ascii="Times New Roman" w:eastAsia="Times New Roman" w:hAnsi="Times New Roman" w:cs="Times New Roman"/>
          <w:b/>
          <w:bCs/>
          <w:sz w:val="26"/>
          <w:szCs w:val="26"/>
        </w:rPr>
        <w:t>Gyógyszertámogatásra</w:t>
      </w:r>
      <w:r w:rsidRPr="7A1FFE35">
        <w:rPr>
          <w:rFonts w:ascii="Times New Roman" w:eastAsia="Times New Roman" w:hAnsi="Times New Roman" w:cs="Times New Roman"/>
          <w:sz w:val="26"/>
          <w:szCs w:val="26"/>
        </w:rPr>
        <w:t xml:space="preserve"> 2025</w:t>
      </w:r>
      <w:r w:rsidR="006079B4">
        <w:rPr>
          <w:rFonts w:ascii="Times New Roman" w:eastAsia="Times New Roman" w:hAnsi="Times New Roman" w:cs="Times New Roman"/>
          <w:sz w:val="26"/>
          <w:szCs w:val="26"/>
        </w:rPr>
        <w:t>-ben</w:t>
      </w:r>
      <w:r w:rsidRPr="7A1FFE35">
        <w:rPr>
          <w:rFonts w:ascii="Times New Roman" w:eastAsia="Times New Roman" w:hAnsi="Times New Roman" w:cs="Times New Roman"/>
          <w:sz w:val="26"/>
          <w:szCs w:val="26"/>
        </w:rPr>
        <w:t xml:space="preserve"> 586,9 milliárd forint került kifizetésre, amely 37,0 milliárd forinttal magasabb az előző év azonos időszakában kifizetett összegnél.</w:t>
      </w:r>
    </w:p>
    <w:p w14:paraId="7B768C24" w14:textId="4F783F64" w:rsidR="00B155FE" w:rsidRPr="004966FE" w:rsidRDefault="7A1FFE35" w:rsidP="7A1FFE35">
      <w:pPr>
        <w:keepNext/>
        <w:pageBreakBefore/>
        <w:numPr>
          <w:ilvl w:val="0"/>
          <w:numId w:val="3"/>
        </w:numPr>
        <w:spacing w:after="120" w:line="240" w:lineRule="auto"/>
        <w:ind w:left="714" w:hanging="357"/>
        <w:jc w:val="both"/>
        <w:outlineLvl w:val="2"/>
        <w:rPr>
          <w:rFonts w:ascii="Times New Roman" w:eastAsia="Times New Roman" w:hAnsi="Times New Roman" w:cs="Times New Roman"/>
          <w:b/>
          <w:bCs/>
          <w:smallCaps/>
          <w:sz w:val="28"/>
          <w:szCs w:val="28"/>
          <w:lang w:eastAsia="hu-HU"/>
        </w:rPr>
      </w:pPr>
      <w:r w:rsidRPr="7A1FFE35">
        <w:rPr>
          <w:rFonts w:ascii="Times New Roman" w:eastAsia="Times New Roman" w:hAnsi="Times New Roman" w:cs="Times New Roman"/>
          <w:b/>
          <w:bCs/>
          <w:smallCaps/>
          <w:sz w:val="28"/>
          <w:szCs w:val="28"/>
          <w:lang w:eastAsia="hu-HU"/>
        </w:rPr>
        <w:lastRenderedPageBreak/>
        <w:t>A költségvetési szervek és fejezeti kezelésű előirányzatok alakulása</w:t>
      </w:r>
    </w:p>
    <w:p w14:paraId="41120C33" w14:textId="21D72B3F" w:rsidR="00484365" w:rsidRPr="00145F79" w:rsidRDefault="7A1FFE35" w:rsidP="7A1FFE35">
      <w:pPr>
        <w:spacing w:before="240"/>
        <w:jc w:val="both"/>
        <w:rPr>
          <w:rFonts w:ascii="Times New Roman" w:eastAsia="Times New Roman" w:hAnsi="Times New Roman" w:cs="Times New Roman"/>
          <w:color w:val="000000" w:themeColor="text1"/>
          <w:sz w:val="26"/>
          <w:szCs w:val="26"/>
          <w:lang w:eastAsia="hu-HU"/>
        </w:rPr>
      </w:pPr>
      <w:r w:rsidRPr="7A1FFE35">
        <w:rPr>
          <w:rFonts w:ascii="Times New Roman" w:eastAsia="Times New Roman" w:hAnsi="Times New Roman" w:cs="Times New Roman"/>
          <w:sz w:val="26"/>
          <w:szCs w:val="26"/>
          <w:lang w:eastAsia="hu-HU"/>
        </w:rPr>
        <w:t xml:space="preserve">A </w:t>
      </w:r>
      <w:r w:rsidRPr="7A1FFE35">
        <w:rPr>
          <w:rFonts w:ascii="Times New Roman" w:eastAsia="Times New Roman" w:hAnsi="Times New Roman" w:cs="Times New Roman"/>
          <w:b/>
          <w:bCs/>
          <w:sz w:val="26"/>
          <w:szCs w:val="26"/>
          <w:lang w:eastAsia="hu-HU"/>
        </w:rPr>
        <w:t>költségvetési szervek bevételei</w:t>
      </w:r>
      <w:r w:rsidRPr="7A1FFE35">
        <w:rPr>
          <w:rFonts w:ascii="Times New Roman" w:eastAsia="Times New Roman" w:hAnsi="Times New Roman" w:cs="Times New Roman"/>
          <w:sz w:val="26"/>
          <w:szCs w:val="26"/>
          <w:lang w:eastAsia="hu-HU"/>
        </w:rPr>
        <w:t xml:space="preserve"> 2025-ben 2955,6 milliárd forintot tettek ki, amely 10,7%-kal magasabb az előző év bevételeihez képest. Az intézmények bevételei közül 1560,2 milliárd forintot tett ki a Nemzeti Egészségbiztosítási Alapkezelő által az egészségügyi intézményeknek utalt </w:t>
      </w:r>
      <w:r w:rsidRPr="7A1FFE35">
        <w:rPr>
          <w:rFonts w:ascii="Times New Roman" w:eastAsia="Times New Roman" w:hAnsi="Times New Roman" w:cs="Times New Roman"/>
          <w:color w:val="000000" w:themeColor="text1"/>
          <w:sz w:val="26"/>
          <w:szCs w:val="26"/>
          <w:lang w:eastAsia="hu-HU"/>
        </w:rPr>
        <w:t>támogatás.</w:t>
      </w:r>
    </w:p>
    <w:p w14:paraId="6C6ADA97" w14:textId="3333CBDC" w:rsidR="00484365" w:rsidRPr="007B6DF2" w:rsidRDefault="7A1FFE35" w:rsidP="7A1FFE35">
      <w:pPr>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sz w:val="26"/>
          <w:szCs w:val="26"/>
          <w:lang w:eastAsia="hu-HU"/>
        </w:rPr>
        <w:t xml:space="preserve">A </w:t>
      </w:r>
      <w:r w:rsidRPr="7A1FFE35">
        <w:rPr>
          <w:rFonts w:ascii="Times New Roman" w:eastAsia="Times New Roman" w:hAnsi="Times New Roman" w:cs="Times New Roman"/>
          <w:b/>
          <w:bCs/>
          <w:sz w:val="26"/>
          <w:szCs w:val="26"/>
          <w:lang w:eastAsia="hu-HU"/>
        </w:rPr>
        <w:t>szakmai fejezeti kezelésű előirányzatok bevételei</w:t>
      </w:r>
      <w:r w:rsidRPr="7A1FFE35">
        <w:rPr>
          <w:rFonts w:ascii="Times New Roman" w:eastAsia="Times New Roman" w:hAnsi="Times New Roman" w:cs="Times New Roman"/>
          <w:sz w:val="26"/>
          <w:szCs w:val="26"/>
          <w:lang w:eastAsia="hu-HU"/>
        </w:rPr>
        <w:t xml:space="preserve"> 2025-ben 727,2 milliárd forintot tettek ki, mely 7,5%-kal magasabb az előző év bevételéhez képest. A bevételek jelentős részét az „Alapok alapja GINOP pénzügyi eszközök” törvényi sorra befolyt összegek teszik ki, melyek nem uniós bevételként jóváírt tételek.</w:t>
      </w:r>
    </w:p>
    <w:p w14:paraId="5A50B96E" w14:textId="0BBDB1F3" w:rsidR="00484365" w:rsidRPr="004966FE" w:rsidRDefault="7A1FFE35" w:rsidP="7A1FFE35">
      <w:pPr>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sz w:val="26"/>
          <w:szCs w:val="26"/>
          <w:lang w:eastAsia="hu-HU"/>
        </w:rPr>
        <w:t xml:space="preserve">A </w:t>
      </w:r>
      <w:r w:rsidRPr="7A1FFE35">
        <w:rPr>
          <w:rFonts w:ascii="Times New Roman" w:hAnsi="Times New Roman" w:cs="Times New Roman"/>
          <w:sz w:val="26"/>
          <w:szCs w:val="26"/>
          <w:lang w:eastAsia="hu-HU"/>
        </w:rPr>
        <w:t>2025. évi, 3682,8 milliárd forint összegű bevételek megoszlását a következő grafikon szemlélteti</w:t>
      </w:r>
      <w:r w:rsidRPr="7A1FFE35">
        <w:rPr>
          <w:rFonts w:ascii="Times New Roman" w:eastAsia="Times New Roman" w:hAnsi="Times New Roman" w:cs="Times New Roman"/>
          <w:sz w:val="26"/>
          <w:szCs w:val="26"/>
          <w:lang w:eastAsia="hu-HU"/>
        </w:rPr>
        <w:t>:</w:t>
      </w:r>
    </w:p>
    <w:p w14:paraId="576D18BB" w14:textId="2F300155" w:rsidR="00B056CC" w:rsidRPr="00377D59" w:rsidRDefault="00D424B8" w:rsidP="00C2238F">
      <w:pPr>
        <w:spacing w:before="240" w:after="120"/>
        <w:jc w:val="center"/>
        <w:rPr>
          <w:rFonts w:ascii="Times New Roman" w:eastAsia="Times New Roman" w:hAnsi="Times New Roman" w:cs="Times New Roman"/>
          <w:b/>
          <w:sz w:val="26"/>
          <w:szCs w:val="26"/>
        </w:rPr>
      </w:pPr>
      <w:r>
        <w:rPr>
          <w:noProof/>
        </w:rPr>
        <w:drawing>
          <wp:inline distT="0" distB="0" distL="0" distR="0" wp14:anchorId="5FAFEDF2" wp14:editId="75216716">
            <wp:extent cx="5940425" cy="3211830"/>
            <wp:effectExtent l="0" t="0" r="3175" b="7620"/>
            <wp:docPr id="594767815"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67815" name="Kép 1" descr="A képen szöveg, képernyőkép, sor, diagram látható&#10;&#10;Előfordulhat, hogy a mesterséges intelligencia által létrehozott tartalom helytelen."/>
                    <pic:cNvPicPr/>
                  </pic:nvPicPr>
                  <pic:blipFill>
                    <a:blip r:embed="rId24"/>
                    <a:stretch>
                      <a:fillRect/>
                    </a:stretch>
                  </pic:blipFill>
                  <pic:spPr>
                    <a:xfrm>
                      <a:off x="0" y="0"/>
                      <a:ext cx="5940425" cy="3211830"/>
                    </a:xfrm>
                    <a:prstGeom prst="rect">
                      <a:avLst/>
                    </a:prstGeom>
                  </pic:spPr>
                </pic:pic>
              </a:graphicData>
            </a:graphic>
          </wp:inline>
        </w:drawing>
      </w:r>
    </w:p>
    <w:p w14:paraId="1D98D1A9" w14:textId="5190D617" w:rsidR="00484365" w:rsidRPr="00E56F21" w:rsidRDefault="7A1FFE35" w:rsidP="7A1FFE35">
      <w:pPr>
        <w:spacing w:before="240"/>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sz w:val="26"/>
          <w:szCs w:val="26"/>
          <w:lang w:eastAsia="hu-HU"/>
        </w:rPr>
        <w:t xml:space="preserve">A </w:t>
      </w:r>
      <w:r w:rsidRPr="7A1FFE35">
        <w:rPr>
          <w:rFonts w:ascii="Times New Roman" w:eastAsia="Times New Roman" w:hAnsi="Times New Roman" w:cs="Times New Roman"/>
          <w:b/>
          <w:bCs/>
          <w:sz w:val="26"/>
          <w:szCs w:val="26"/>
          <w:lang w:eastAsia="hu-HU"/>
        </w:rPr>
        <w:t>költségvetési szervek kiadásai</w:t>
      </w:r>
      <w:r w:rsidRPr="7A1FFE35">
        <w:rPr>
          <w:rFonts w:ascii="Times New Roman" w:eastAsia="Times New Roman" w:hAnsi="Times New Roman" w:cs="Times New Roman"/>
          <w:sz w:val="26"/>
          <w:szCs w:val="26"/>
          <w:lang w:eastAsia="hu-HU"/>
        </w:rPr>
        <w:t xml:space="preserve"> mérlegsoron 2025-ben 9752,4 milliárd forint kiadás teljesült, mely 5,8%-kal magasabb az előző év kiadásaihoz képest. A kiadásból 5326,2 milliárd forint a személyi juttatásokra és munkaadókat terhelő járulékokra kifizetett összeg.</w:t>
      </w:r>
    </w:p>
    <w:p w14:paraId="0AB00615" w14:textId="62B5AAE9" w:rsidR="00484365" w:rsidRPr="004966FE" w:rsidRDefault="7A1FFE35" w:rsidP="7A1FFE35">
      <w:pPr>
        <w:spacing w:before="240"/>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sz w:val="26"/>
          <w:szCs w:val="26"/>
          <w:lang w:eastAsia="hu-HU"/>
        </w:rPr>
        <w:t xml:space="preserve">A </w:t>
      </w:r>
      <w:r w:rsidRPr="7A1FFE35">
        <w:rPr>
          <w:rFonts w:ascii="Times New Roman" w:eastAsia="Times New Roman" w:hAnsi="Times New Roman" w:cs="Times New Roman"/>
          <w:b/>
          <w:bCs/>
          <w:sz w:val="26"/>
          <w:szCs w:val="26"/>
          <w:lang w:eastAsia="hu-HU"/>
        </w:rPr>
        <w:t>szakmai fejezeti kezelésű előirányzatok kiadásai</w:t>
      </w:r>
      <w:r w:rsidRPr="7A1FFE35">
        <w:rPr>
          <w:rFonts w:ascii="Times New Roman" w:eastAsia="Times New Roman" w:hAnsi="Times New Roman" w:cs="Times New Roman"/>
          <w:sz w:val="26"/>
          <w:szCs w:val="26"/>
          <w:lang w:eastAsia="hu-HU"/>
        </w:rPr>
        <w:t xml:space="preserve"> mérlegsoron 2025-ben 5553,8 milliárd forint kiadás teljesült, mely 14,4%-kal magasabb, mint az előző év kiadása. Ezen időszak teljesítéséből az alábbi kiadások emelhetők ki:</w:t>
      </w:r>
    </w:p>
    <w:p w14:paraId="1DE60443" w14:textId="77777777" w:rsidR="00484365" w:rsidRPr="00BE4BAC" w:rsidRDefault="00484365" w:rsidP="00484365">
      <w:pPr>
        <w:jc w:val="both"/>
        <w:rPr>
          <w:rFonts w:ascii="Times New Roman" w:eastAsia="Times New Roman" w:hAnsi="Times New Roman" w:cs="Times New Roman"/>
          <w:sz w:val="26"/>
          <w:szCs w:val="26"/>
          <w:lang w:eastAsia="hu-HU"/>
        </w:rPr>
      </w:pPr>
      <w:r w:rsidRPr="004966FE">
        <w:rPr>
          <w:rFonts w:ascii="Times New Roman" w:eastAsia="Times New Roman" w:hAnsi="Times New Roman" w:cs="Times New Roman"/>
          <w:color w:val="FF0000"/>
          <w:sz w:val="26"/>
          <w:szCs w:val="26"/>
          <w:lang w:eastAsia="hu-HU"/>
        </w:rPr>
        <w:br w:type="page"/>
      </w:r>
    </w:p>
    <w:p w14:paraId="1C3E2D66" w14:textId="77777777" w:rsidR="00484365" w:rsidRPr="008E4041" w:rsidRDefault="7A1FFE35" w:rsidP="7A1FFE35">
      <w:pPr>
        <w:spacing w:after="120" w:line="240" w:lineRule="auto"/>
        <w:jc w:val="right"/>
        <w:rPr>
          <w:rFonts w:ascii="Times New Roman" w:eastAsia="Times New Roman" w:hAnsi="Times New Roman" w:cs="Times New Roman"/>
          <w:i/>
          <w:iCs/>
          <w:sz w:val="20"/>
          <w:szCs w:val="20"/>
          <w:lang w:eastAsia="hu-HU"/>
        </w:rPr>
      </w:pPr>
      <w:r w:rsidRPr="7A1FFE35">
        <w:rPr>
          <w:rFonts w:ascii="Times New Roman" w:eastAsia="Times New Roman" w:hAnsi="Times New Roman" w:cs="Times New Roman"/>
          <w:i/>
          <w:iCs/>
          <w:sz w:val="20"/>
          <w:szCs w:val="20"/>
          <w:lang w:eastAsia="hu-HU"/>
        </w:rPr>
        <w:lastRenderedPageBreak/>
        <w:t>milliárd forint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1"/>
        <w:gridCol w:w="992"/>
      </w:tblGrid>
      <w:tr w:rsidR="00484365" w:rsidRPr="008E4041" w14:paraId="12FC00B9" w14:textId="77777777" w:rsidTr="7A1FFE35">
        <w:trPr>
          <w:trHeight w:val="340"/>
        </w:trPr>
        <w:tc>
          <w:tcPr>
            <w:tcW w:w="8251" w:type="dxa"/>
            <w:tcMar>
              <w:top w:w="0" w:type="dxa"/>
              <w:left w:w="108" w:type="dxa"/>
              <w:bottom w:w="0" w:type="dxa"/>
              <w:right w:w="108" w:type="dxa"/>
            </w:tcMar>
            <w:vAlign w:val="center"/>
            <w:hideMark/>
          </w:tcPr>
          <w:p w14:paraId="1860583B" w14:textId="77777777" w:rsidR="00484365" w:rsidRPr="008E4041" w:rsidRDefault="7A1FFE35" w:rsidP="7A1FFE35">
            <w:pPr>
              <w:spacing w:after="0" w:line="240" w:lineRule="auto"/>
              <w:jc w:val="both"/>
              <w:rPr>
                <w:rFonts w:ascii="Times New Roman" w:hAnsi="Times New Roman" w:cs="Times New Roman"/>
                <w:sz w:val="24"/>
                <w:szCs w:val="24"/>
                <w:lang w:eastAsia="hu-HU"/>
              </w:rPr>
            </w:pPr>
            <w:r w:rsidRPr="7A1FFE35">
              <w:rPr>
                <w:rFonts w:ascii="Times New Roman" w:hAnsi="Times New Roman" w:cs="Times New Roman"/>
                <w:sz w:val="24"/>
                <w:szCs w:val="24"/>
                <w:lang w:eastAsia="hu-HU"/>
              </w:rPr>
              <w:t>Normatív finanszírozás (köznevelési célú humánszolgáltatás és működési támogatás, hit- és erkölcstanoktatás és tankönyvtámogatás, illetve szociális, gyermekvédelmi, gyermekjóléti és fogyatékos személyek esélyegyenlőségét elősegítő célelőirányzatok)</w:t>
            </w:r>
          </w:p>
        </w:tc>
        <w:tc>
          <w:tcPr>
            <w:tcW w:w="992" w:type="dxa"/>
            <w:noWrap/>
            <w:tcMar>
              <w:top w:w="0" w:type="dxa"/>
              <w:left w:w="108" w:type="dxa"/>
              <w:bottom w:w="0" w:type="dxa"/>
              <w:right w:w="108" w:type="dxa"/>
            </w:tcMar>
            <w:vAlign w:val="center"/>
          </w:tcPr>
          <w:p w14:paraId="43258F6C" w14:textId="2220C673" w:rsidR="00484365" w:rsidRPr="008E4041" w:rsidRDefault="7A1FFE35" w:rsidP="7A1FFE35">
            <w:pPr>
              <w:spacing w:after="0" w:line="240" w:lineRule="auto"/>
              <w:jc w:val="right"/>
              <w:rPr>
                <w:rFonts w:ascii="Times New Roman" w:hAnsi="Times New Roman" w:cs="Times New Roman"/>
                <w:sz w:val="24"/>
                <w:szCs w:val="24"/>
                <w:lang w:eastAsia="hu-HU"/>
              </w:rPr>
            </w:pPr>
            <w:r w:rsidRPr="7A1FFE35">
              <w:rPr>
                <w:rFonts w:ascii="Times New Roman" w:hAnsi="Times New Roman" w:cs="Times New Roman"/>
                <w:sz w:val="24"/>
                <w:szCs w:val="24"/>
                <w:lang w:eastAsia="hu-HU"/>
              </w:rPr>
              <w:t>1103,1</w:t>
            </w:r>
          </w:p>
        </w:tc>
      </w:tr>
      <w:tr w:rsidR="00484365" w:rsidRPr="008E4041" w14:paraId="062C6C8C" w14:textId="77777777" w:rsidTr="7A1FFE35">
        <w:trPr>
          <w:trHeight w:val="283"/>
        </w:trPr>
        <w:tc>
          <w:tcPr>
            <w:tcW w:w="8251" w:type="dxa"/>
            <w:tcMar>
              <w:top w:w="0" w:type="dxa"/>
              <w:left w:w="108" w:type="dxa"/>
              <w:bottom w:w="0" w:type="dxa"/>
              <w:right w:w="108" w:type="dxa"/>
            </w:tcMar>
            <w:vAlign w:val="center"/>
            <w:hideMark/>
          </w:tcPr>
          <w:p w14:paraId="68B46E8E" w14:textId="77777777" w:rsidR="00484365" w:rsidRPr="008E4041" w:rsidRDefault="7A1FFE35" w:rsidP="7A1FFE35">
            <w:pPr>
              <w:spacing w:after="0" w:line="240" w:lineRule="auto"/>
              <w:jc w:val="both"/>
              <w:rPr>
                <w:rFonts w:ascii="Times New Roman" w:hAnsi="Times New Roman" w:cs="Times New Roman"/>
                <w:sz w:val="24"/>
                <w:szCs w:val="24"/>
                <w:lang w:eastAsia="hu-HU"/>
              </w:rPr>
            </w:pPr>
            <w:r w:rsidRPr="7A1FFE35">
              <w:rPr>
                <w:rFonts w:ascii="Times New Roman" w:hAnsi="Times New Roman" w:cs="Times New Roman"/>
                <w:sz w:val="24"/>
                <w:szCs w:val="24"/>
                <w:lang w:eastAsia="hu-HU"/>
              </w:rPr>
              <w:t>Nem állami felsőoktatási intézmények támogatása</w:t>
            </w:r>
          </w:p>
        </w:tc>
        <w:tc>
          <w:tcPr>
            <w:tcW w:w="992" w:type="dxa"/>
            <w:noWrap/>
            <w:tcMar>
              <w:top w:w="0" w:type="dxa"/>
              <w:left w:w="108" w:type="dxa"/>
              <w:bottom w:w="0" w:type="dxa"/>
              <w:right w:w="108" w:type="dxa"/>
            </w:tcMar>
            <w:vAlign w:val="center"/>
          </w:tcPr>
          <w:p w14:paraId="6D022403" w14:textId="0ADE2BD0" w:rsidR="00484365" w:rsidRPr="008E4041" w:rsidRDefault="7A1FFE35" w:rsidP="7A1FFE35">
            <w:pPr>
              <w:spacing w:after="0" w:line="240" w:lineRule="auto"/>
              <w:jc w:val="right"/>
              <w:rPr>
                <w:rFonts w:ascii="Times New Roman" w:hAnsi="Times New Roman" w:cs="Times New Roman"/>
                <w:sz w:val="24"/>
                <w:szCs w:val="24"/>
                <w:lang w:eastAsia="hu-HU"/>
              </w:rPr>
            </w:pPr>
            <w:r w:rsidRPr="7A1FFE35">
              <w:rPr>
                <w:rFonts w:ascii="Times New Roman" w:hAnsi="Times New Roman" w:cs="Times New Roman"/>
                <w:sz w:val="24"/>
                <w:szCs w:val="24"/>
                <w:lang w:eastAsia="hu-HU"/>
              </w:rPr>
              <w:t>613,9</w:t>
            </w:r>
          </w:p>
        </w:tc>
      </w:tr>
      <w:tr w:rsidR="00484365" w:rsidRPr="008E4041" w14:paraId="08B0739D" w14:textId="77777777" w:rsidTr="7A1FFE35">
        <w:trPr>
          <w:trHeight w:val="283"/>
        </w:trPr>
        <w:tc>
          <w:tcPr>
            <w:tcW w:w="8251" w:type="dxa"/>
            <w:tcMar>
              <w:top w:w="0" w:type="dxa"/>
              <w:left w:w="108" w:type="dxa"/>
              <w:bottom w:w="0" w:type="dxa"/>
              <w:right w:w="108" w:type="dxa"/>
            </w:tcMar>
            <w:vAlign w:val="center"/>
          </w:tcPr>
          <w:p w14:paraId="714CE83C" w14:textId="77777777" w:rsidR="00484365" w:rsidRPr="008E4041" w:rsidRDefault="7A1FFE35" w:rsidP="7A1FFE35">
            <w:pPr>
              <w:spacing w:after="0" w:line="240" w:lineRule="auto"/>
              <w:jc w:val="both"/>
              <w:rPr>
                <w:rFonts w:ascii="Times New Roman" w:hAnsi="Times New Roman" w:cs="Times New Roman"/>
                <w:sz w:val="24"/>
                <w:szCs w:val="24"/>
                <w:lang w:eastAsia="hu-HU"/>
              </w:rPr>
            </w:pPr>
            <w:r w:rsidRPr="7A1FFE35">
              <w:rPr>
                <w:rFonts w:ascii="Times New Roman" w:hAnsi="Times New Roman" w:cs="Times New Roman"/>
                <w:sz w:val="24"/>
                <w:szCs w:val="24"/>
                <w:lang w:eastAsia="hu-HU"/>
              </w:rPr>
              <w:t>Közlekedési ágazati programok</w:t>
            </w:r>
          </w:p>
        </w:tc>
        <w:tc>
          <w:tcPr>
            <w:tcW w:w="992" w:type="dxa"/>
            <w:noWrap/>
            <w:tcMar>
              <w:top w:w="0" w:type="dxa"/>
              <w:left w:w="108" w:type="dxa"/>
              <w:bottom w:w="0" w:type="dxa"/>
              <w:right w:w="108" w:type="dxa"/>
            </w:tcMar>
            <w:vAlign w:val="center"/>
          </w:tcPr>
          <w:p w14:paraId="2E763A89" w14:textId="70CB35A2" w:rsidR="00484365" w:rsidRPr="008E4041" w:rsidRDefault="7A1FFE35" w:rsidP="7A1FFE35">
            <w:pPr>
              <w:spacing w:after="0" w:line="240" w:lineRule="auto"/>
              <w:jc w:val="right"/>
              <w:rPr>
                <w:rFonts w:ascii="Times New Roman" w:hAnsi="Times New Roman" w:cs="Times New Roman"/>
                <w:sz w:val="24"/>
                <w:szCs w:val="24"/>
                <w:lang w:eastAsia="hu-HU"/>
              </w:rPr>
            </w:pPr>
            <w:r w:rsidRPr="7A1FFE35">
              <w:rPr>
                <w:rFonts w:ascii="Times New Roman" w:hAnsi="Times New Roman" w:cs="Times New Roman"/>
                <w:sz w:val="24"/>
                <w:szCs w:val="24"/>
                <w:lang w:eastAsia="hu-HU"/>
              </w:rPr>
              <w:t>133,2</w:t>
            </w:r>
          </w:p>
        </w:tc>
      </w:tr>
      <w:tr w:rsidR="00556EC4" w:rsidRPr="008E4041" w14:paraId="3D01CBE8" w14:textId="77777777" w:rsidTr="7A1FFE35">
        <w:trPr>
          <w:trHeight w:val="283"/>
        </w:trPr>
        <w:tc>
          <w:tcPr>
            <w:tcW w:w="8251" w:type="dxa"/>
            <w:tcMar>
              <w:top w:w="0" w:type="dxa"/>
              <w:left w:w="108" w:type="dxa"/>
              <w:bottom w:w="0" w:type="dxa"/>
              <w:right w:w="108" w:type="dxa"/>
            </w:tcMar>
            <w:vAlign w:val="center"/>
          </w:tcPr>
          <w:p w14:paraId="1B22D079" w14:textId="77777777" w:rsidR="00556EC4" w:rsidRPr="008E4041" w:rsidRDefault="7A1FFE35" w:rsidP="7A1FFE35">
            <w:pPr>
              <w:spacing w:after="0" w:line="240" w:lineRule="auto"/>
              <w:jc w:val="both"/>
              <w:rPr>
                <w:rFonts w:ascii="Times New Roman" w:hAnsi="Times New Roman" w:cs="Times New Roman"/>
                <w:sz w:val="24"/>
                <w:szCs w:val="24"/>
                <w:lang w:eastAsia="hu-HU"/>
              </w:rPr>
            </w:pPr>
            <w:r w:rsidRPr="7A1FFE35">
              <w:rPr>
                <w:rFonts w:ascii="Times New Roman" w:hAnsi="Times New Roman" w:cs="Times New Roman"/>
                <w:sz w:val="24"/>
                <w:szCs w:val="24"/>
                <w:lang w:eastAsia="hu-HU"/>
              </w:rPr>
              <w:t>Beruházás ösztönzési célelőirányzat</w:t>
            </w:r>
          </w:p>
        </w:tc>
        <w:tc>
          <w:tcPr>
            <w:tcW w:w="992" w:type="dxa"/>
            <w:noWrap/>
            <w:tcMar>
              <w:top w:w="0" w:type="dxa"/>
              <w:left w:w="108" w:type="dxa"/>
              <w:bottom w:w="0" w:type="dxa"/>
              <w:right w:w="108" w:type="dxa"/>
            </w:tcMar>
            <w:vAlign w:val="center"/>
          </w:tcPr>
          <w:p w14:paraId="21A473F9" w14:textId="59B7897C" w:rsidR="00556EC4" w:rsidRPr="008E4041" w:rsidRDefault="7A1FFE35" w:rsidP="7A1FFE35">
            <w:pPr>
              <w:spacing w:after="0" w:line="240" w:lineRule="auto"/>
              <w:jc w:val="right"/>
              <w:rPr>
                <w:rFonts w:ascii="Times New Roman" w:hAnsi="Times New Roman" w:cs="Times New Roman"/>
                <w:sz w:val="24"/>
                <w:szCs w:val="24"/>
                <w:lang w:eastAsia="hu-HU"/>
              </w:rPr>
            </w:pPr>
            <w:r w:rsidRPr="7A1FFE35">
              <w:rPr>
                <w:rFonts w:ascii="Times New Roman" w:hAnsi="Times New Roman" w:cs="Times New Roman"/>
                <w:sz w:val="24"/>
                <w:szCs w:val="24"/>
                <w:lang w:eastAsia="hu-HU"/>
              </w:rPr>
              <w:t>130,4</w:t>
            </w:r>
          </w:p>
        </w:tc>
      </w:tr>
      <w:tr w:rsidR="00484365" w:rsidRPr="008E4041" w14:paraId="75855DB8" w14:textId="77777777" w:rsidTr="7A1FFE35">
        <w:trPr>
          <w:trHeight w:val="283"/>
        </w:trPr>
        <w:tc>
          <w:tcPr>
            <w:tcW w:w="8251" w:type="dxa"/>
            <w:tcMar>
              <w:top w:w="0" w:type="dxa"/>
              <w:left w:w="108" w:type="dxa"/>
              <w:bottom w:w="0" w:type="dxa"/>
              <w:right w:w="108" w:type="dxa"/>
            </w:tcMar>
            <w:vAlign w:val="center"/>
          </w:tcPr>
          <w:p w14:paraId="744FF957" w14:textId="77777777" w:rsidR="00484365" w:rsidRPr="008E4041" w:rsidRDefault="7A1FFE35" w:rsidP="7A1FFE35">
            <w:pPr>
              <w:spacing w:after="0" w:line="240" w:lineRule="auto"/>
              <w:jc w:val="both"/>
              <w:rPr>
                <w:rFonts w:ascii="Times New Roman" w:hAnsi="Times New Roman" w:cs="Times New Roman"/>
                <w:sz w:val="24"/>
                <w:szCs w:val="24"/>
                <w:lang w:eastAsia="hu-HU"/>
              </w:rPr>
            </w:pPr>
            <w:r w:rsidRPr="7A1FFE35">
              <w:rPr>
                <w:rFonts w:ascii="Times New Roman" w:hAnsi="Times New Roman" w:cs="Times New Roman"/>
                <w:sz w:val="24"/>
                <w:szCs w:val="24"/>
                <w:lang w:eastAsia="hu-HU"/>
              </w:rPr>
              <w:t>Térségi fejlesztési feladatok</w:t>
            </w:r>
          </w:p>
        </w:tc>
        <w:tc>
          <w:tcPr>
            <w:tcW w:w="992" w:type="dxa"/>
            <w:noWrap/>
            <w:tcMar>
              <w:top w:w="0" w:type="dxa"/>
              <w:left w:w="108" w:type="dxa"/>
              <w:bottom w:w="0" w:type="dxa"/>
              <w:right w:w="108" w:type="dxa"/>
            </w:tcMar>
            <w:vAlign w:val="center"/>
          </w:tcPr>
          <w:p w14:paraId="3B1D7E5C" w14:textId="59AC29FB" w:rsidR="00484365" w:rsidRPr="008E4041" w:rsidRDefault="7A1FFE35" w:rsidP="7A1FFE35">
            <w:pPr>
              <w:spacing w:after="0" w:line="240" w:lineRule="auto"/>
              <w:jc w:val="right"/>
              <w:rPr>
                <w:rFonts w:ascii="Times New Roman" w:hAnsi="Times New Roman" w:cs="Times New Roman"/>
                <w:sz w:val="24"/>
                <w:szCs w:val="24"/>
                <w:lang w:eastAsia="hu-HU"/>
              </w:rPr>
            </w:pPr>
            <w:r w:rsidRPr="7A1FFE35">
              <w:rPr>
                <w:rFonts w:ascii="Times New Roman" w:hAnsi="Times New Roman" w:cs="Times New Roman"/>
                <w:sz w:val="24"/>
                <w:szCs w:val="24"/>
                <w:lang w:eastAsia="hu-HU"/>
              </w:rPr>
              <w:t>113,5</w:t>
            </w:r>
          </w:p>
        </w:tc>
      </w:tr>
      <w:tr w:rsidR="00484365" w:rsidRPr="008E4041" w14:paraId="465562AF" w14:textId="77777777" w:rsidTr="7A1FFE35">
        <w:trPr>
          <w:trHeight w:val="283"/>
        </w:trPr>
        <w:tc>
          <w:tcPr>
            <w:tcW w:w="8251" w:type="dxa"/>
            <w:tcMar>
              <w:top w:w="0" w:type="dxa"/>
              <w:left w:w="108" w:type="dxa"/>
              <w:bottom w:w="0" w:type="dxa"/>
              <w:right w:w="108" w:type="dxa"/>
            </w:tcMar>
            <w:vAlign w:val="center"/>
          </w:tcPr>
          <w:p w14:paraId="186954EE" w14:textId="77777777" w:rsidR="00484365" w:rsidRPr="008E4041" w:rsidRDefault="7A1FFE35" w:rsidP="7A1FFE35">
            <w:pPr>
              <w:spacing w:after="0" w:line="240" w:lineRule="auto"/>
              <w:jc w:val="both"/>
              <w:rPr>
                <w:rFonts w:ascii="Times New Roman" w:hAnsi="Times New Roman" w:cs="Times New Roman"/>
                <w:sz w:val="24"/>
                <w:szCs w:val="24"/>
                <w:lang w:eastAsia="hu-HU"/>
              </w:rPr>
            </w:pPr>
            <w:r w:rsidRPr="7A1FFE35">
              <w:rPr>
                <w:rFonts w:ascii="Times New Roman" w:hAnsi="Times New Roman" w:cs="Times New Roman"/>
                <w:sz w:val="24"/>
                <w:szCs w:val="24"/>
                <w:lang w:eastAsia="hu-HU"/>
              </w:rPr>
              <w:t>Turisztikai fejlesztési célelőirányzat</w:t>
            </w:r>
          </w:p>
        </w:tc>
        <w:tc>
          <w:tcPr>
            <w:tcW w:w="992" w:type="dxa"/>
            <w:noWrap/>
            <w:tcMar>
              <w:top w:w="0" w:type="dxa"/>
              <w:left w:w="108" w:type="dxa"/>
              <w:bottom w:w="0" w:type="dxa"/>
              <w:right w:w="108" w:type="dxa"/>
            </w:tcMar>
            <w:vAlign w:val="center"/>
          </w:tcPr>
          <w:p w14:paraId="1BEBF652" w14:textId="0921377D" w:rsidR="00484365" w:rsidRPr="008E4041" w:rsidRDefault="7A1FFE35" w:rsidP="7A1FFE35">
            <w:pPr>
              <w:spacing w:after="0" w:line="240" w:lineRule="auto"/>
              <w:jc w:val="right"/>
              <w:rPr>
                <w:rFonts w:ascii="Times New Roman" w:hAnsi="Times New Roman" w:cs="Times New Roman"/>
                <w:sz w:val="24"/>
                <w:szCs w:val="24"/>
                <w:lang w:eastAsia="hu-HU"/>
              </w:rPr>
            </w:pPr>
            <w:r w:rsidRPr="7A1FFE35">
              <w:rPr>
                <w:rFonts w:ascii="Times New Roman" w:hAnsi="Times New Roman" w:cs="Times New Roman"/>
                <w:sz w:val="24"/>
                <w:szCs w:val="24"/>
                <w:lang w:eastAsia="hu-HU"/>
              </w:rPr>
              <w:t>105,6</w:t>
            </w:r>
          </w:p>
        </w:tc>
      </w:tr>
      <w:tr w:rsidR="00484365" w:rsidRPr="008E4041" w14:paraId="17AA812E" w14:textId="77777777" w:rsidTr="7A1FFE35">
        <w:trPr>
          <w:trHeight w:val="283"/>
        </w:trPr>
        <w:tc>
          <w:tcPr>
            <w:tcW w:w="8251" w:type="dxa"/>
            <w:tcMar>
              <w:top w:w="0" w:type="dxa"/>
              <w:left w:w="108" w:type="dxa"/>
              <w:bottom w:w="0" w:type="dxa"/>
              <w:right w:w="108" w:type="dxa"/>
            </w:tcMar>
            <w:vAlign w:val="center"/>
          </w:tcPr>
          <w:p w14:paraId="5E6F76BE" w14:textId="77777777" w:rsidR="00484365" w:rsidRPr="008E4041" w:rsidRDefault="7A1FFE35" w:rsidP="7A1FFE35">
            <w:pPr>
              <w:spacing w:after="0" w:line="240" w:lineRule="auto"/>
              <w:jc w:val="both"/>
              <w:rPr>
                <w:rFonts w:ascii="Times New Roman" w:hAnsi="Times New Roman" w:cs="Times New Roman"/>
                <w:sz w:val="24"/>
                <w:szCs w:val="24"/>
                <w:lang w:eastAsia="hu-HU"/>
              </w:rPr>
            </w:pPr>
            <w:r w:rsidRPr="7A1FFE35">
              <w:rPr>
                <w:rFonts w:ascii="Times New Roman" w:hAnsi="Times New Roman" w:cs="Times New Roman"/>
                <w:sz w:val="24"/>
                <w:szCs w:val="24"/>
                <w:lang w:eastAsia="hu-HU"/>
              </w:rPr>
              <w:t>Megváltozott munkaképességű munkavállalók foglalkoztatásának támogatása</w:t>
            </w:r>
          </w:p>
        </w:tc>
        <w:tc>
          <w:tcPr>
            <w:tcW w:w="992" w:type="dxa"/>
            <w:noWrap/>
            <w:tcMar>
              <w:top w:w="0" w:type="dxa"/>
              <w:left w:w="108" w:type="dxa"/>
              <w:bottom w:w="0" w:type="dxa"/>
              <w:right w:w="108" w:type="dxa"/>
            </w:tcMar>
            <w:vAlign w:val="center"/>
          </w:tcPr>
          <w:p w14:paraId="752B42B1" w14:textId="750F4EF1" w:rsidR="00484365" w:rsidRPr="008E4041" w:rsidRDefault="7A1FFE35" w:rsidP="7A1FFE35">
            <w:pPr>
              <w:spacing w:after="0" w:line="240" w:lineRule="auto"/>
              <w:jc w:val="right"/>
              <w:rPr>
                <w:rFonts w:ascii="Times New Roman" w:hAnsi="Times New Roman" w:cs="Times New Roman"/>
                <w:sz w:val="24"/>
                <w:szCs w:val="24"/>
                <w:lang w:eastAsia="hu-HU"/>
              </w:rPr>
            </w:pPr>
            <w:r w:rsidRPr="7A1FFE35">
              <w:rPr>
                <w:rFonts w:ascii="Times New Roman" w:hAnsi="Times New Roman" w:cs="Times New Roman"/>
                <w:sz w:val="24"/>
                <w:szCs w:val="24"/>
                <w:lang w:eastAsia="hu-HU"/>
              </w:rPr>
              <w:t>76,1</w:t>
            </w:r>
          </w:p>
        </w:tc>
      </w:tr>
    </w:tbl>
    <w:p w14:paraId="032A8560" w14:textId="7C601872" w:rsidR="00484365" w:rsidRPr="00A61DE1" w:rsidRDefault="7A1FFE35" w:rsidP="7A1FFE35">
      <w:pPr>
        <w:spacing w:before="160" w:after="0"/>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sz w:val="26"/>
          <w:szCs w:val="26"/>
          <w:lang w:eastAsia="hu-HU"/>
        </w:rPr>
        <w:t>A 2025. év 1</w:t>
      </w:r>
      <w:r w:rsidR="008B2C27">
        <w:rPr>
          <w:rFonts w:ascii="Times New Roman" w:eastAsia="Times New Roman" w:hAnsi="Times New Roman" w:cs="Times New Roman"/>
          <w:sz w:val="26"/>
          <w:szCs w:val="26"/>
          <w:lang w:eastAsia="hu-HU"/>
        </w:rPr>
        <w:t>5 306</w:t>
      </w:r>
      <w:r w:rsidRPr="7A1FFE35">
        <w:rPr>
          <w:rFonts w:ascii="Times New Roman" w:eastAsia="Times New Roman" w:hAnsi="Times New Roman" w:cs="Times New Roman"/>
          <w:sz w:val="26"/>
          <w:szCs w:val="26"/>
          <w:lang w:eastAsia="hu-HU"/>
        </w:rPr>
        <w:t>,</w:t>
      </w:r>
      <w:r w:rsidR="008B2C27">
        <w:rPr>
          <w:rFonts w:ascii="Times New Roman" w:eastAsia="Times New Roman" w:hAnsi="Times New Roman" w:cs="Times New Roman"/>
          <w:sz w:val="26"/>
          <w:szCs w:val="26"/>
          <w:lang w:eastAsia="hu-HU"/>
        </w:rPr>
        <w:t>2</w:t>
      </w:r>
      <w:r w:rsidRPr="7A1FFE35">
        <w:rPr>
          <w:rFonts w:ascii="Times New Roman" w:eastAsia="Times New Roman" w:hAnsi="Times New Roman" w:cs="Times New Roman"/>
          <w:sz w:val="26"/>
          <w:szCs w:val="26"/>
          <w:lang w:eastAsia="hu-HU"/>
        </w:rPr>
        <w:t> milliárd forint összegű kiadásának megoszlását a következő grafikon szemlélteti:</w:t>
      </w:r>
    </w:p>
    <w:p w14:paraId="3599A16D" w14:textId="09FADBA9" w:rsidR="00B056CC" w:rsidRDefault="00D424B8" w:rsidP="009C33A4">
      <w:pPr>
        <w:spacing w:before="240"/>
        <w:jc w:val="center"/>
        <w:rPr>
          <w:rFonts w:ascii="Times New Roman" w:eastAsia="Times New Roman" w:hAnsi="Times New Roman" w:cs="Times New Roman"/>
          <w:b/>
          <w:sz w:val="26"/>
          <w:szCs w:val="26"/>
        </w:rPr>
      </w:pPr>
      <w:r>
        <w:rPr>
          <w:noProof/>
        </w:rPr>
        <w:drawing>
          <wp:inline distT="0" distB="0" distL="0" distR="0" wp14:anchorId="77C9A860" wp14:editId="74E0F1DB">
            <wp:extent cx="5940425" cy="3340100"/>
            <wp:effectExtent l="0" t="0" r="3175" b="0"/>
            <wp:docPr id="599926538"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26538" name="Kép 1" descr="A képen szöveg, képernyőkép, sor, diagram látható&#10;&#10;Előfordulhat, hogy a mesterséges intelligencia által létrehozott tartalom helytelen."/>
                    <pic:cNvPicPr/>
                  </pic:nvPicPr>
                  <pic:blipFill>
                    <a:blip r:embed="rId25"/>
                    <a:stretch>
                      <a:fillRect/>
                    </a:stretch>
                  </pic:blipFill>
                  <pic:spPr>
                    <a:xfrm>
                      <a:off x="0" y="0"/>
                      <a:ext cx="5940425" cy="3340100"/>
                    </a:xfrm>
                    <a:prstGeom prst="rect">
                      <a:avLst/>
                    </a:prstGeom>
                  </pic:spPr>
                </pic:pic>
              </a:graphicData>
            </a:graphic>
          </wp:inline>
        </w:drawing>
      </w:r>
    </w:p>
    <w:p w14:paraId="7B768C4E" w14:textId="3E063542" w:rsidR="00B155FE" w:rsidRPr="00377D59" w:rsidRDefault="7A1FFE35" w:rsidP="7A1FFE35">
      <w:pPr>
        <w:keepNext/>
        <w:numPr>
          <w:ilvl w:val="0"/>
          <w:numId w:val="3"/>
        </w:numPr>
        <w:ind w:left="714" w:hanging="357"/>
        <w:jc w:val="both"/>
        <w:outlineLvl w:val="2"/>
        <w:rPr>
          <w:rFonts w:ascii="Times New Roman" w:eastAsia="Times New Roman" w:hAnsi="Times New Roman" w:cs="Times New Roman"/>
          <w:b/>
          <w:bCs/>
          <w:smallCaps/>
          <w:sz w:val="28"/>
          <w:szCs w:val="28"/>
          <w:lang w:eastAsia="hu-HU"/>
        </w:rPr>
      </w:pPr>
      <w:r w:rsidRPr="7A1FFE35">
        <w:rPr>
          <w:rFonts w:ascii="Times New Roman" w:eastAsia="Times New Roman" w:hAnsi="Times New Roman" w:cs="Times New Roman"/>
          <w:b/>
          <w:bCs/>
          <w:smallCaps/>
          <w:sz w:val="28"/>
          <w:szCs w:val="28"/>
          <w:lang w:eastAsia="hu-HU"/>
        </w:rPr>
        <w:t>Kamategyenleg</w:t>
      </w:r>
    </w:p>
    <w:p w14:paraId="0047F521" w14:textId="7D559658" w:rsidR="003F3151" w:rsidRDefault="7A1FFE35" w:rsidP="7A1FFE35">
      <w:pPr>
        <w:jc w:val="both"/>
        <w:rPr>
          <w:rFonts w:ascii="Times New Roman" w:hAnsi="Times New Roman" w:cs="Times New Roman"/>
          <w:sz w:val="26"/>
          <w:szCs w:val="26"/>
        </w:rPr>
      </w:pPr>
      <w:bookmarkStart w:id="1" w:name="_Hlk211416201"/>
      <w:r w:rsidRPr="7A1FFE35">
        <w:rPr>
          <w:rFonts w:ascii="Times New Roman" w:hAnsi="Times New Roman" w:cs="Times New Roman"/>
          <w:sz w:val="26"/>
          <w:szCs w:val="26"/>
          <w:lang w:eastAsia="hu-HU"/>
        </w:rPr>
        <w:t xml:space="preserve">A bevételek és kiadások egyenlegeként adódó </w:t>
      </w:r>
      <w:r w:rsidR="00D424B8" w:rsidRPr="005B2D0F">
        <w:rPr>
          <w:rFonts w:ascii="Times New Roman" w:hAnsi="Times New Roman" w:cs="Times New Roman"/>
          <w:sz w:val="26"/>
          <w:szCs w:val="26"/>
          <w:lang w:eastAsia="hu-HU"/>
        </w:rPr>
        <w:t>384</w:t>
      </w:r>
      <w:r w:rsidR="006254A4">
        <w:rPr>
          <w:rFonts w:ascii="Times New Roman" w:hAnsi="Times New Roman" w:cs="Times New Roman"/>
          <w:sz w:val="26"/>
          <w:szCs w:val="26"/>
          <w:lang w:eastAsia="hu-HU"/>
        </w:rPr>
        <w:t>4,9</w:t>
      </w:r>
      <w:r w:rsidR="00D424B8">
        <w:rPr>
          <w:rFonts w:ascii="Times New Roman" w:hAnsi="Times New Roman" w:cs="Times New Roman"/>
          <w:sz w:val="26"/>
          <w:szCs w:val="26"/>
          <w:lang w:eastAsia="hu-HU"/>
        </w:rPr>
        <w:t> milliárd</w:t>
      </w:r>
      <w:r w:rsidR="00D424B8" w:rsidRPr="7A1FFE35">
        <w:rPr>
          <w:rFonts w:ascii="Times New Roman" w:hAnsi="Times New Roman" w:cs="Times New Roman"/>
          <w:sz w:val="26"/>
          <w:szCs w:val="26"/>
          <w:lang w:eastAsia="hu-HU"/>
        </w:rPr>
        <w:t xml:space="preserve"> forint összegű </w:t>
      </w:r>
      <w:r w:rsidR="00D424B8" w:rsidRPr="7A1FFE35">
        <w:rPr>
          <w:rFonts w:ascii="Times New Roman" w:hAnsi="Times New Roman" w:cs="Times New Roman"/>
          <w:b/>
          <w:bCs/>
          <w:sz w:val="26"/>
          <w:szCs w:val="26"/>
          <w:lang w:eastAsia="hu-HU"/>
        </w:rPr>
        <w:t>nettó</w:t>
      </w:r>
      <w:r w:rsidR="00D424B8" w:rsidRPr="7A1FFE35">
        <w:rPr>
          <w:rFonts w:ascii="Times New Roman" w:hAnsi="Times New Roman" w:cs="Times New Roman"/>
          <w:b/>
          <w:bCs/>
          <w:sz w:val="26"/>
          <w:szCs w:val="26"/>
        </w:rPr>
        <w:t xml:space="preserve"> kamatkiadás</w:t>
      </w:r>
      <w:r w:rsidR="00D424B8" w:rsidRPr="7A1FFE35">
        <w:rPr>
          <w:rFonts w:ascii="Times New Roman" w:hAnsi="Times New Roman" w:cs="Times New Roman"/>
          <w:sz w:val="26"/>
          <w:szCs w:val="26"/>
        </w:rPr>
        <w:t xml:space="preserve"> </w:t>
      </w:r>
      <w:r w:rsidR="006254A4">
        <w:rPr>
          <w:rFonts w:ascii="Times New Roman" w:hAnsi="Times New Roman" w:cs="Times New Roman"/>
          <w:sz w:val="26"/>
          <w:szCs w:val="26"/>
        </w:rPr>
        <w:t>2025-ben</w:t>
      </w:r>
      <w:r w:rsidR="00D424B8" w:rsidRPr="7A1FFE35">
        <w:rPr>
          <w:rFonts w:ascii="Times New Roman" w:hAnsi="Times New Roman" w:cs="Times New Roman"/>
          <w:sz w:val="26"/>
          <w:szCs w:val="26"/>
        </w:rPr>
        <w:t xml:space="preserve"> </w:t>
      </w:r>
      <w:r w:rsidR="00D424B8" w:rsidRPr="005B2D0F">
        <w:rPr>
          <w:rFonts w:ascii="Times New Roman" w:hAnsi="Times New Roman" w:cs="Times New Roman"/>
          <w:sz w:val="26"/>
          <w:szCs w:val="26"/>
        </w:rPr>
        <w:t>981,5</w:t>
      </w:r>
      <w:r w:rsidR="00D424B8">
        <w:rPr>
          <w:rFonts w:ascii="Times New Roman" w:hAnsi="Times New Roman" w:cs="Times New Roman"/>
          <w:sz w:val="26"/>
          <w:szCs w:val="26"/>
        </w:rPr>
        <w:t> milliárd</w:t>
      </w:r>
      <w:r w:rsidR="00D424B8" w:rsidRPr="7A1FFE35">
        <w:rPr>
          <w:rFonts w:ascii="Times New Roman" w:hAnsi="Times New Roman" w:cs="Times New Roman"/>
          <w:sz w:val="26"/>
          <w:szCs w:val="26"/>
        </w:rPr>
        <w:t xml:space="preserve"> forinttal lett magasabb az előző évhez képest, mely az előző évitől különböző hozamokkal és finanszírozási szerkezettel magyarázható</w:t>
      </w:r>
      <w:r w:rsidRPr="7A1FFE35">
        <w:rPr>
          <w:rFonts w:ascii="Times New Roman" w:hAnsi="Times New Roman" w:cs="Times New Roman"/>
          <w:sz w:val="26"/>
          <w:szCs w:val="26"/>
        </w:rPr>
        <w:t>.</w:t>
      </w:r>
    </w:p>
    <w:bookmarkEnd w:id="1"/>
    <w:p w14:paraId="1475120F" w14:textId="77777777" w:rsidR="00224E67" w:rsidRDefault="00224E67" w:rsidP="716D41F4">
      <w:pPr>
        <w:jc w:val="both"/>
        <w:rPr>
          <w:rFonts w:ascii="Times New Roman" w:hAnsi="Times New Roman" w:cs="Times New Roman"/>
          <w:sz w:val="26"/>
          <w:szCs w:val="26"/>
        </w:rPr>
      </w:pPr>
    </w:p>
    <w:p w14:paraId="12833000" w14:textId="77777777" w:rsidR="00224E67" w:rsidRDefault="00224E67" w:rsidP="716D41F4">
      <w:pPr>
        <w:jc w:val="both"/>
        <w:rPr>
          <w:rFonts w:ascii="Times New Roman" w:hAnsi="Times New Roman" w:cs="Times New Roman"/>
          <w:sz w:val="26"/>
          <w:szCs w:val="26"/>
        </w:rPr>
      </w:pPr>
    </w:p>
    <w:p w14:paraId="7B768C50" w14:textId="77777777" w:rsidR="00B155FE" w:rsidRPr="00377D59" w:rsidRDefault="00B155FE" w:rsidP="00B155FE">
      <w:pPr>
        <w:tabs>
          <w:tab w:val="left" w:pos="550"/>
        </w:tabs>
        <w:spacing w:before="120" w:after="120" w:line="240" w:lineRule="auto"/>
        <w:jc w:val="both"/>
        <w:rPr>
          <w:rFonts w:ascii="Times New Roman" w:eastAsia="Times New Roman" w:hAnsi="Times New Roman" w:cs="Times New Roman"/>
          <w:caps/>
          <w:sz w:val="26"/>
          <w:szCs w:val="20"/>
          <w:lang w:eastAsia="hu-HU"/>
        </w:rPr>
      </w:pPr>
      <w:r w:rsidRPr="00377D59">
        <w:rPr>
          <w:rFonts w:ascii="Times New Roman" w:eastAsia="Times New Roman" w:hAnsi="Times New Roman" w:cs="Times New Roman"/>
          <w:caps/>
          <w:sz w:val="26"/>
          <w:szCs w:val="20"/>
          <w:lang w:eastAsia="hu-HU"/>
        </w:rPr>
        <w:br w:type="page"/>
      </w:r>
    </w:p>
    <w:p w14:paraId="688B9DA7" w14:textId="77777777" w:rsidR="00C9408B" w:rsidRDefault="7A1FFE35" w:rsidP="7A1FFE35">
      <w:pPr>
        <w:keepNext/>
        <w:spacing w:after="120" w:line="240" w:lineRule="auto"/>
        <w:jc w:val="center"/>
        <w:outlineLvl w:val="3"/>
        <w:rPr>
          <w:rFonts w:ascii="Times New Roman" w:eastAsia="Times New Roman" w:hAnsi="Times New Roman" w:cs="Times New Roman"/>
          <w:b/>
          <w:bCs/>
          <w:caps/>
          <w:sz w:val="26"/>
          <w:szCs w:val="26"/>
          <w:lang w:eastAsia="hu-HU"/>
        </w:rPr>
      </w:pPr>
      <w:r w:rsidRPr="7A1FFE35">
        <w:rPr>
          <w:rFonts w:ascii="Times New Roman" w:eastAsia="Times New Roman" w:hAnsi="Times New Roman" w:cs="Times New Roman"/>
          <w:b/>
          <w:bCs/>
          <w:caps/>
          <w:sz w:val="26"/>
          <w:szCs w:val="26"/>
          <w:lang w:eastAsia="hu-HU"/>
        </w:rPr>
        <w:lastRenderedPageBreak/>
        <w:t>II.</w:t>
      </w:r>
    </w:p>
    <w:p w14:paraId="7B768C51" w14:textId="63BB059C" w:rsidR="00B155FE" w:rsidRPr="00377D59" w:rsidRDefault="7A1FFE35" w:rsidP="7A1FFE35">
      <w:pPr>
        <w:keepNext/>
        <w:spacing w:after="240" w:line="240" w:lineRule="auto"/>
        <w:jc w:val="center"/>
        <w:outlineLvl w:val="3"/>
        <w:rPr>
          <w:rFonts w:ascii="Times New Roman" w:eastAsia="Times New Roman" w:hAnsi="Times New Roman" w:cs="Times New Roman"/>
          <w:b/>
          <w:bCs/>
          <w:caps/>
          <w:sz w:val="26"/>
          <w:szCs w:val="26"/>
          <w:lang w:eastAsia="hu-HU"/>
        </w:rPr>
      </w:pPr>
      <w:r w:rsidRPr="7A1FFE35">
        <w:rPr>
          <w:rFonts w:ascii="Times New Roman" w:eastAsia="Times New Roman" w:hAnsi="Times New Roman" w:cs="Times New Roman"/>
          <w:b/>
          <w:bCs/>
          <w:caps/>
          <w:sz w:val="26"/>
          <w:szCs w:val="26"/>
          <w:lang w:eastAsia="hu-HU"/>
        </w:rPr>
        <w:t>Az államháztartás központi alrendszerének finanszírozása</w:t>
      </w:r>
    </w:p>
    <w:p w14:paraId="401A33AB" w14:textId="77777777" w:rsidR="00D424B8" w:rsidRPr="008E6DF0" w:rsidRDefault="00D424B8" w:rsidP="00D424B8">
      <w:pPr>
        <w:ind w:right="23"/>
        <w:jc w:val="both"/>
        <w:rPr>
          <w:rFonts w:ascii="Times New Roman" w:eastAsia="Times New Roman" w:hAnsi="Times New Roman" w:cs="Times New Roman"/>
          <w:b/>
          <w:bCs/>
          <w:sz w:val="26"/>
          <w:szCs w:val="26"/>
          <w:lang w:eastAsia="hu-HU"/>
        </w:rPr>
      </w:pPr>
      <w:r w:rsidRPr="7A1FFE35">
        <w:rPr>
          <w:rFonts w:ascii="Times New Roman" w:eastAsia="Times New Roman" w:hAnsi="Times New Roman" w:cs="Times New Roman"/>
          <w:sz w:val="26"/>
          <w:szCs w:val="26"/>
          <w:lang w:eastAsia="hu-HU"/>
        </w:rPr>
        <w:t xml:space="preserve">A központi költségvetés adóssága 2025. </w:t>
      </w:r>
      <w:r>
        <w:rPr>
          <w:rFonts w:ascii="Times New Roman" w:eastAsia="Times New Roman" w:hAnsi="Times New Roman" w:cs="Times New Roman"/>
          <w:sz w:val="26"/>
          <w:szCs w:val="26"/>
          <w:lang w:eastAsia="hu-HU"/>
        </w:rPr>
        <w:t>decem</w:t>
      </w:r>
      <w:r w:rsidRPr="7A1FFE35">
        <w:rPr>
          <w:rFonts w:ascii="Times New Roman" w:eastAsia="Times New Roman" w:hAnsi="Times New Roman" w:cs="Times New Roman"/>
          <w:sz w:val="26"/>
          <w:szCs w:val="26"/>
          <w:lang w:eastAsia="hu-HU"/>
        </w:rPr>
        <w:t xml:space="preserve">ber végéig </w:t>
      </w:r>
      <w:r>
        <w:rPr>
          <w:rFonts w:ascii="Times New Roman" w:eastAsia="Times New Roman" w:hAnsi="Times New Roman" w:cs="Times New Roman"/>
          <w:sz w:val="26"/>
          <w:szCs w:val="26"/>
          <w:lang w:eastAsia="hu-HU"/>
        </w:rPr>
        <w:t>5060,7 milliárd</w:t>
      </w:r>
      <w:r w:rsidRPr="7A1FFE35">
        <w:rPr>
          <w:rFonts w:ascii="Times New Roman" w:eastAsia="Times New Roman" w:hAnsi="Times New Roman" w:cs="Times New Roman"/>
          <w:sz w:val="26"/>
          <w:szCs w:val="26"/>
          <w:lang w:eastAsia="hu-HU"/>
        </w:rPr>
        <w:t xml:space="preserve"> forinttal növekedett a következő négy tényező eredményeképpen:</w:t>
      </w:r>
    </w:p>
    <w:p w14:paraId="483D0515" w14:textId="77777777" w:rsidR="00D424B8" w:rsidRPr="003C5470" w:rsidRDefault="00D424B8" w:rsidP="00D424B8">
      <w:pPr>
        <w:pStyle w:val="Listaszerbekezds"/>
        <w:numPr>
          <w:ilvl w:val="0"/>
          <w:numId w:val="2"/>
        </w:numPr>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b/>
          <w:bCs/>
          <w:sz w:val="26"/>
          <w:szCs w:val="26"/>
          <w:lang w:eastAsia="hu-HU"/>
        </w:rPr>
        <w:t xml:space="preserve">Az első tényező </w:t>
      </w:r>
      <w:r w:rsidRPr="7A1FFE35">
        <w:rPr>
          <w:rFonts w:ascii="Times New Roman" w:eastAsia="Times New Roman" w:hAnsi="Times New Roman" w:cs="Times New Roman"/>
          <w:sz w:val="26"/>
          <w:szCs w:val="26"/>
          <w:lang w:eastAsia="hu-HU"/>
        </w:rPr>
        <w:t xml:space="preserve">a nettó forintkibocsátás, </w:t>
      </w:r>
      <w:r w:rsidRPr="00735617">
        <w:rPr>
          <w:rFonts w:ascii="Times New Roman" w:eastAsia="Times New Roman" w:hAnsi="Times New Roman" w:cs="Times New Roman"/>
          <w:sz w:val="26"/>
          <w:szCs w:val="26"/>
          <w:lang w:eastAsia="hu-HU"/>
        </w:rPr>
        <w:t>amely 3874,</w:t>
      </w:r>
      <w:r>
        <w:rPr>
          <w:rFonts w:ascii="Times New Roman" w:eastAsia="Times New Roman" w:hAnsi="Times New Roman" w:cs="Times New Roman"/>
          <w:sz w:val="26"/>
          <w:szCs w:val="26"/>
          <w:lang w:eastAsia="hu-HU"/>
        </w:rPr>
        <w:t>3 milliárd</w:t>
      </w:r>
      <w:r w:rsidRPr="00735617">
        <w:rPr>
          <w:rFonts w:ascii="Times New Roman" w:eastAsia="Times New Roman" w:hAnsi="Times New Roman" w:cs="Times New Roman"/>
          <w:sz w:val="26"/>
          <w:szCs w:val="26"/>
          <w:lang w:eastAsia="hu-HU"/>
        </w:rPr>
        <w:t xml:space="preserve"> forinttal </w:t>
      </w:r>
      <w:r w:rsidRPr="00735617">
        <w:rPr>
          <w:rFonts w:ascii="Times New Roman" w:eastAsia="Times New Roman" w:hAnsi="Times New Roman" w:cs="Times New Roman"/>
          <w:b/>
          <w:bCs/>
          <w:sz w:val="26"/>
          <w:szCs w:val="26"/>
          <w:lang w:eastAsia="hu-HU"/>
        </w:rPr>
        <w:t>növelte</w:t>
      </w:r>
      <w:r w:rsidRPr="00735617">
        <w:rPr>
          <w:rFonts w:ascii="Times New Roman" w:eastAsia="Times New Roman" w:hAnsi="Times New Roman" w:cs="Times New Roman"/>
          <w:sz w:val="26"/>
          <w:szCs w:val="26"/>
          <w:lang w:eastAsia="hu-HU"/>
        </w:rPr>
        <w:t xml:space="preserve"> az adósságot, így segítette a költségvetési hiány egy részének finanszírozását</w:t>
      </w:r>
      <w:r w:rsidRPr="7A1FFE35">
        <w:rPr>
          <w:rFonts w:ascii="Times New Roman" w:eastAsia="Times New Roman" w:hAnsi="Times New Roman" w:cs="Times New Roman"/>
          <w:sz w:val="26"/>
          <w:szCs w:val="26"/>
          <w:lang w:eastAsia="hu-HU"/>
        </w:rPr>
        <w:t>.</w:t>
      </w:r>
    </w:p>
    <w:p w14:paraId="67F8C7ED" w14:textId="77777777" w:rsidR="00D424B8" w:rsidRPr="003C5470" w:rsidRDefault="00D424B8" w:rsidP="00D424B8">
      <w:pPr>
        <w:pStyle w:val="Listaszerbekezds"/>
        <w:numPr>
          <w:ilvl w:val="0"/>
          <w:numId w:val="2"/>
        </w:numPr>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b/>
          <w:bCs/>
          <w:sz w:val="26"/>
          <w:szCs w:val="26"/>
          <w:lang w:eastAsia="hu-HU"/>
        </w:rPr>
        <w:t>A második – szintén növelő hatású – tényező</w:t>
      </w:r>
      <w:r w:rsidRPr="7A1FFE35">
        <w:rPr>
          <w:rFonts w:ascii="Times New Roman" w:eastAsia="Times New Roman" w:hAnsi="Times New Roman" w:cs="Times New Roman"/>
          <w:sz w:val="26"/>
          <w:szCs w:val="26"/>
          <w:lang w:eastAsia="hu-HU"/>
        </w:rPr>
        <w:t xml:space="preserve"> </w:t>
      </w:r>
      <w:r w:rsidRPr="00735617">
        <w:rPr>
          <w:rFonts w:ascii="Times New Roman" w:eastAsia="Times New Roman" w:hAnsi="Times New Roman" w:cs="Times New Roman"/>
          <w:sz w:val="26"/>
          <w:szCs w:val="26"/>
          <w:lang w:eastAsia="hu-HU"/>
        </w:rPr>
        <w:t>a nettó devizakibocsátás, amely 2405,5</w:t>
      </w:r>
      <w:r>
        <w:rPr>
          <w:rFonts w:ascii="Times New Roman" w:eastAsia="Times New Roman" w:hAnsi="Times New Roman" w:cs="Times New Roman"/>
          <w:sz w:val="26"/>
          <w:szCs w:val="26"/>
          <w:lang w:eastAsia="hu-HU"/>
        </w:rPr>
        <w:t> milliárd</w:t>
      </w:r>
      <w:r w:rsidRPr="00735617">
        <w:rPr>
          <w:rFonts w:ascii="Times New Roman" w:eastAsia="Times New Roman" w:hAnsi="Times New Roman" w:cs="Times New Roman"/>
          <w:sz w:val="26"/>
          <w:szCs w:val="26"/>
          <w:lang w:eastAsia="hu-HU"/>
        </w:rPr>
        <w:t xml:space="preserve"> forint összegben hozzájárul a hiány finanszírozásához és a devizabetétállomány növekedéséhez</w:t>
      </w:r>
      <w:r w:rsidRPr="7A1FFE35">
        <w:rPr>
          <w:rFonts w:ascii="Times New Roman" w:eastAsia="Times New Roman" w:hAnsi="Times New Roman" w:cs="Times New Roman"/>
          <w:sz w:val="26"/>
          <w:szCs w:val="26"/>
          <w:lang w:eastAsia="hu-HU"/>
        </w:rPr>
        <w:t>.</w:t>
      </w:r>
    </w:p>
    <w:p w14:paraId="4E1AAC02" w14:textId="5775AF85" w:rsidR="00D424B8" w:rsidRPr="003C5470" w:rsidRDefault="00D424B8" w:rsidP="00D424B8">
      <w:pPr>
        <w:pStyle w:val="Listaszerbekezds"/>
        <w:numPr>
          <w:ilvl w:val="0"/>
          <w:numId w:val="2"/>
        </w:numPr>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b/>
          <w:bCs/>
          <w:sz w:val="26"/>
          <w:szCs w:val="26"/>
          <w:lang w:eastAsia="hu-HU"/>
        </w:rPr>
        <w:t>A harmadik</w:t>
      </w:r>
      <w:r w:rsidRPr="7A1FFE35">
        <w:rPr>
          <w:rFonts w:ascii="Times New Roman" w:eastAsia="Times New Roman" w:hAnsi="Times New Roman" w:cs="Times New Roman"/>
          <w:sz w:val="26"/>
          <w:szCs w:val="26"/>
          <w:lang w:eastAsia="hu-HU"/>
        </w:rPr>
        <w:t xml:space="preserve"> – fentiekkel ellentétes, </w:t>
      </w:r>
      <w:r w:rsidRPr="7A1FFE35">
        <w:rPr>
          <w:rFonts w:ascii="Times New Roman" w:eastAsia="Times New Roman" w:hAnsi="Times New Roman" w:cs="Times New Roman"/>
          <w:b/>
          <w:bCs/>
          <w:sz w:val="26"/>
          <w:szCs w:val="26"/>
          <w:lang w:eastAsia="hu-HU"/>
        </w:rPr>
        <w:t>csökkentő hatású – tényező</w:t>
      </w:r>
      <w:r w:rsidRPr="7A1FFE35">
        <w:rPr>
          <w:rFonts w:ascii="Times New Roman" w:eastAsia="Times New Roman" w:hAnsi="Times New Roman" w:cs="Times New Roman"/>
          <w:sz w:val="26"/>
          <w:szCs w:val="26"/>
          <w:lang w:eastAsia="hu-HU"/>
        </w:rPr>
        <w:t xml:space="preserve"> a forint</w:t>
      </w:r>
      <w:r>
        <w:rPr>
          <w:rFonts w:ascii="Times New Roman" w:eastAsia="Times New Roman" w:hAnsi="Times New Roman" w:cs="Times New Roman"/>
          <w:sz w:val="26"/>
          <w:szCs w:val="26"/>
          <w:lang w:eastAsia="hu-HU"/>
        </w:rPr>
        <w:t xml:space="preserve"> </w:t>
      </w:r>
      <w:r w:rsidRPr="00735617">
        <w:rPr>
          <w:rFonts w:ascii="Times New Roman" w:eastAsia="Times New Roman" w:hAnsi="Times New Roman" w:cs="Times New Roman"/>
          <w:sz w:val="26"/>
          <w:szCs w:val="26"/>
          <w:lang w:eastAsia="hu-HU"/>
        </w:rPr>
        <w:t>árfolyamának az elmúlt év végéhez képest bekövetkezett erősödése, amely az adósság devizában fennálló részének forintban számított nyilvántartási értékét 1153,6</w:t>
      </w:r>
      <w:r>
        <w:rPr>
          <w:rFonts w:ascii="Times New Roman" w:eastAsia="Times New Roman" w:hAnsi="Times New Roman" w:cs="Times New Roman"/>
          <w:sz w:val="26"/>
          <w:szCs w:val="26"/>
          <w:lang w:eastAsia="hu-HU"/>
        </w:rPr>
        <w:t> milliárd</w:t>
      </w:r>
      <w:r w:rsidRPr="00735617">
        <w:rPr>
          <w:rFonts w:ascii="Times New Roman" w:eastAsia="Times New Roman" w:hAnsi="Times New Roman" w:cs="Times New Roman"/>
          <w:sz w:val="26"/>
          <w:szCs w:val="26"/>
          <w:lang w:eastAsia="hu-HU"/>
        </w:rPr>
        <w:t xml:space="preserve"> forinttal mérsékelte</w:t>
      </w:r>
      <w:r w:rsidR="006254A4">
        <w:rPr>
          <w:rFonts w:ascii="Times New Roman" w:eastAsia="Times New Roman" w:hAnsi="Times New Roman" w:cs="Times New Roman"/>
          <w:sz w:val="26"/>
          <w:szCs w:val="26"/>
          <w:lang w:eastAsia="hu-HU"/>
        </w:rPr>
        <w:t>.</w:t>
      </w:r>
    </w:p>
    <w:p w14:paraId="7045AB8E" w14:textId="5DD7ED6B" w:rsidR="00D424B8" w:rsidRPr="00735617" w:rsidRDefault="00D424B8" w:rsidP="00D424B8">
      <w:pPr>
        <w:pStyle w:val="Listaszerbekezds"/>
        <w:numPr>
          <w:ilvl w:val="0"/>
          <w:numId w:val="2"/>
        </w:numPr>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b/>
          <w:bCs/>
          <w:sz w:val="26"/>
          <w:szCs w:val="26"/>
          <w:lang w:eastAsia="hu-HU"/>
        </w:rPr>
        <w:t>A negyedik – további csökkentő hatású – tényező</w:t>
      </w:r>
      <w:r w:rsidRPr="00735617">
        <w:t xml:space="preserve"> </w:t>
      </w:r>
      <w:r w:rsidRPr="00735617">
        <w:rPr>
          <w:rFonts w:ascii="Times New Roman" w:eastAsia="Times New Roman" w:hAnsi="Times New Roman" w:cs="Times New Roman"/>
          <w:sz w:val="26"/>
          <w:szCs w:val="26"/>
          <w:lang w:eastAsia="hu-HU"/>
        </w:rPr>
        <w:t>a deviza-keresztárfolyamok változása és az egyéb tényezők miatt bekövetkezett mark-</w:t>
      </w:r>
      <w:proofErr w:type="spellStart"/>
      <w:r w:rsidRPr="00735617">
        <w:rPr>
          <w:rFonts w:ascii="Times New Roman" w:eastAsia="Times New Roman" w:hAnsi="Times New Roman" w:cs="Times New Roman"/>
          <w:sz w:val="26"/>
          <w:szCs w:val="26"/>
          <w:lang w:eastAsia="hu-HU"/>
        </w:rPr>
        <w:t>to</w:t>
      </w:r>
      <w:proofErr w:type="spellEnd"/>
      <w:r w:rsidRPr="00735617">
        <w:rPr>
          <w:rFonts w:ascii="Times New Roman" w:eastAsia="Times New Roman" w:hAnsi="Times New Roman" w:cs="Times New Roman"/>
          <w:sz w:val="26"/>
          <w:szCs w:val="26"/>
          <w:lang w:eastAsia="hu-HU"/>
        </w:rPr>
        <w:t>-market betétállományok csökkenése 65,5</w:t>
      </w:r>
      <w:r>
        <w:rPr>
          <w:rFonts w:ascii="Times New Roman" w:eastAsia="Times New Roman" w:hAnsi="Times New Roman" w:cs="Times New Roman"/>
          <w:sz w:val="26"/>
          <w:szCs w:val="26"/>
          <w:lang w:eastAsia="hu-HU"/>
        </w:rPr>
        <w:t> milliárd</w:t>
      </w:r>
      <w:r w:rsidRPr="00735617">
        <w:rPr>
          <w:rFonts w:ascii="Times New Roman" w:eastAsia="Times New Roman" w:hAnsi="Times New Roman" w:cs="Times New Roman"/>
          <w:sz w:val="26"/>
          <w:szCs w:val="26"/>
          <w:lang w:eastAsia="hu-HU"/>
        </w:rPr>
        <w:t xml:space="preserve"> forint összegben</w:t>
      </w:r>
      <w:r>
        <w:rPr>
          <w:rFonts w:ascii="Times New Roman" w:eastAsia="Times New Roman" w:hAnsi="Times New Roman" w:cs="Times New Roman"/>
          <w:sz w:val="26"/>
          <w:szCs w:val="26"/>
          <w:lang w:eastAsia="hu-HU"/>
        </w:rPr>
        <w:t>.</w:t>
      </w:r>
    </w:p>
    <w:p w14:paraId="4882F075" w14:textId="17456F9F" w:rsidR="00B37A83" w:rsidRPr="00B37A83" w:rsidRDefault="00B37A83" w:rsidP="00D424B8">
      <w:pPr>
        <w:pStyle w:val="Listaszerbekezds"/>
        <w:jc w:val="both"/>
        <w:rPr>
          <w:rFonts w:ascii="Times New Roman" w:eastAsia="Times New Roman" w:hAnsi="Times New Roman" w:cs="Times New Roman"/>
          <w:sz w:val="26"/>
          <w:szCs w:val="26"/>
          <w:lang w:eastAsia="hu-HU"/>
        </w:rPr>
      </w:pPr>
    </w:p>
    <w:p w14:paraId="510E0310" w14:textId="55B98873" w:rsidR="00CE4893" w:rsidRDefault="00CE4893" w:rsidP="00224E67">
      <w:pPr>
        <w:ind w:right="23"/>
        <w:jc w:val="both"/>
        <w:rPr>
          <w:rFonts w:ascii="Times New Roman" w:eastAsia="Times New Roman" w:hAnsi="Times New Roman" w:cs="Times New Roman"/>
          <w:sz w:val="26"/>
          <w:szCs w:val="26"/>
          <w:lang w:eastAsia="hu-HU"/>
        </w:rPr>
      </w:pPr>
    </w:p>
    <w:p w14:paraId="111568C6" w14:textId="77777777" w:rsidR="007B0B76" w:rsidRDefault="007B0B76" w:rsidP="007B0B76">
      <w:pPr>
        <w:jc w:val="both"/>
        <w:rPr>
          <w:rFonts w:ascii="Times New Roman" w:eastAsia="Times New Roman" w:hAnsi="Times New Roman" w:cs="Times New Roman"/>
          <w:sz w:val="26"/>
          <w:szCs w:val="26"/>
          <w:lang w:eastAsia="hu-HU"/>
        </w:rPr>
      </w:pPr>
    </w:p>
    <w:p w14:paraId="157CBCF7" w14:textId="192A582E" w:rsidR="007B0B76" w:rsidRPr="007B0B76" w:rsidRDefault="007B0B76" w:rsidP="007B0B76">
      <w:pPr>
        <w:jc w:val="both"/>
        <w:rPr>
          <w:rFonts w:ascii="Times New Roman" w:eastAsia="Times New Roman" w:hAnsi="Times New Roman" w:cs="Times New Roman"/>
          <w:sz w:val="26"/>
          <w:szCs w:val="26"/>
          <w:lang w:eastAsia="hu-HU"/>
        </w:rPr>
        <w:sectPr w:rsidR="007B0B76" w:rsidRPr="007B0B76" w:rsidSect="007449BF">
          <w:headerReference w:type="default" r:id="rId26"/>
          <w:footerReference w:type="default" r:id="rId27"/>
          <w:footnotePr>
            <w:numRestart w:val="eachPage"/>
          </w:footnotePr>
          <w:pgSz w:w="11907" w:h="16840" w:code="9"/>
          <w:pgMar w:top="1134" w:right="1134" w:bottom="1418" w:left="1418" w:header="709" w:footer="709" w:gutter="0"/>
          <w:cols w:space="708"/>
          <w:docGrid w:linePitch="354"/>
        </w:sectPr>
      </w:pPr>
    </w:p>
    <w:p w14:paraId="7B768C5C" w14:textId="567B5AB3" w:rsidR="00B155FE" w:rsidRPr="00377D59" w:rsidRDefault="7A1FFE35" w:rsidP="7A1FFE35">
      <w:pPr>
        <w:spacing w:after="120" w:line="240" w:lineRule="auto"/>
        <w:ind w:right="23"/>
        <w:jc w:val="both"/>
        <w:rPr>
          <w:rFonts w:ascii="Times New Roman" w:eastAsia="Times New Roman" w:hAnsi="Times New Roman" w:cs="Times New Roman"/>
          <w:sz w:val="26"/>
          <w:szCs w:val="26"/>
          <w:lang w:eastAsia="hu-HU"/>
        </w:rPr>
      </w:pPr>
      <w:r w:rsidRPr="7A1FFE35">
        <w:rPr>
          <w:rFonts w:ascii="Times New Roman" w:eastAsia="Times New Roman" w:hAnsi="Times New Roman" w:cs="Times New Roman"/>
          <w:sz w:val="26"/>
          <w:szCs w:val="26"/>
          <w:lang w:eastAsia="hu-HU"/>
        </w:rPr>
        <w:lastRenderedPageBreak/>
        <w:t xml:space="preserve">Az előzetes adatok szerint 2025. </w:t>
      </w:r>
      <w:r w:rsidR="00D424B8">
        <w:rPr>
          <w:rFonts w:ascii="Times New Roman" w:eastAsia="Times New Roman" w:hAnsi="Times New Roman" w:cs="Times New Roman"/>
          <w:sz w:val="26"/>
          <w:szCs w:val="26"/>
          <w:lang w:eastAsia="hu-HU"/>
        </w:rPr>
        <w:t>dece</w:t>
      </w:r>
      <w:r w:rsidR="00D424B8" w:rsidRPr="7A1FFE35">
        <w:rPr>
          <w:rFonts w:ascii="Times New Roman" w:eastAsia="Times New Roman" w:hAnsi="Times New Roman" w:cs="Times New Roman"/>
          <w:sz w:val="26"/>
          <w:szCs w:val="26"/>
          <w:lang w:eastAsia="hu-HU"/>
        </w:rPr>
        <w:t xml:space="preserve">mber </w:t>
      </w:r>
      <w:r w:rsidRPr="7A1FFE35">
        <w:rPr>
          <w:rFonts w:ascii="Times New Roman" w:eastAsia="Times New Roman" w:hAnsi="Times New Roman" w:cs="Times New Roman"/>
          <w:sz w:val="26"/>
          <w:szCs w:val="26"/>
          <w:lang w:eastAsia="hu-HU"/>
        </w:rPr>
        <w:t xml:space="preserve">végén a </w:t>
      </w:r>
      <w:r w:rsidRPr="7A1FFE35">
        <w:rPr>
          <w:rFonts w:ascii="Times New Roman" w:eastAsia="Times New Roman" w:hAnsi="Times New Roman" w:cs="Times New Roman"/>
          <w:b/>
          <w:bCs/>
          <w:sz w:val="26"/>
          <w:szCs w:val="26"/>
          <w:lang w:eastAsia="hu-HU"/>
        </w:rPr>
        <w:t xml:space="preserve">központi költségvetés forint- és devizaadóssága </w:t>
      </w:r>
      <w:r w:rsidRPr="7A1FFE35">
        <w:rPr>
          <w:rFonts w:ascii="Times New Roman" w:eastAsia="Times New Roman" w:hAnsi="Times New Roman" w:cs="Times New Roman"/>
          <w:sz w:val="26"/>
          <w:szCs w:val="26"/>
          <w:lang w:eastAsia="hu-HU"/>
        </w:rPr>
        <w:t>az alábbiak szerint alakult:</w:t>
      </w:r>
    </w:p>
    <w:p w14:paraId="7B768C5D" w14:textId="252296E8" w:rsidR="00B155FE" w:rsidRDefault="7A1FFE35" w:rsidP="7A1FFE35">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7A1FFE35">
        <w:rPr>
          <w:rFonts w:ascii="Times New Roman" w:eastAsia="Times New Roman" w:hAnsi="Times New Roman" w:cs="Times New Roman"/>
          <w:sz w:val="26"/>
          <w:szCs w:val="26"/>
          <w:lang w:eastAsia="hu-HU"/>
        </w:rPr>
        <w:t>A központi költségvetés adósságának alakulása 2025-ben, milliárd forint</w:t>
      </w:r>
    </w:p>
    <w:p w14:paraId="31C86ED1" w14:textId="039E372F" w:rsidR="007B0B76" w:rsidRDefault="00D424B8" w:rsidP="13E847AC">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009C13CC">
        <w:rPr>
          <w:noProof/>
        </w:rPr>
        <w:drawing>
          <wp:inline distT="0" distB="0" distL="0" distR="0" wp14:anchorId="67B7B414" wp14:editId="0D845157">
            <wp:extent cx="8936355" cy="4227830"/>
            <wp:effectExtent l="0" t="0" r="0" b="1270"/>
            <wp:docPr id="137183945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36355" cy="4227830"/>
                    </a:xfrm>
                    <a:prstGeom prst="rect">
                      <a:avLst/>
                    </a:prstGeom>
                    <a:noFill/>
                    <a:ln>
                      <a:noFill/>
                    </a:ln>
                  </pic:spPr>
                </pic:pic>
              </a:graphicData>
            </a:graphic>
          </wp:inline>
        </w:drawing>
      </w:r>
    </w:p>
    <w:p w14:paraId="7B768C5F" w14:textId="77777777" w:rsidR="00B155FE" w:rsidRPr="00377D59" w:rsidRDefault="7A1FFE35" w:rsidP="7A1FFE35">
      <w:pPr>
        <w:spacing w:after="120" w:line="240" w:lineRule="auto"/>
        <w:jc w:val="both"/>
        <w:rPr>
          <w:rFonts w:ascii="Times New Roman" w:eastAsia="Times New Roman" w:hAnsi="Times New Roman" w:cs="Times New Roman"/>
          <w:sz w:val="24"/>
          <w:szCs w:val="24"/>
          <w:lang w:eastAsia="hu-HU"/>
        </w:rPr>
      </w:pPr>
      <w:r w:rsidRPr="7A1FFE35">
        <w:rPr>
          <w:rFonts w:ascii="Times New Roman" w:eastAsia="Times New Roman" w:hAnsi="Times New Roman" w:cs="Times New Roman"/>
          <w:i/>
          <w:iCs/>
          <w:sz w:val="24"/>
          <w:szCs w:val="24"/>
          <w:lang w:eastAsia="hu-HU"/>
        </w:rPr>
        <w:t>Megjegyzés: a táblában szereplő tizedes eltérések kerekítésből adódnak.</w:t>
      </w:r>
    </w:p>
    <w:p w14:paraId="67FEF71B" w14:textId="4352F928" w:rsidR="00617877" w:rsidRPr="00377D59" w:rsidRDefault="00617877" w:rsidP="00617877">
      <w:pPr>
        <w:jc w:val="center"/>
        <w:rPr>
          <w:rFonts w:ascii="Times New Roman" w:eastAsia="Times New Roman" w:hAnsi="Times New Roman" w:cs="Times New Roman"/>
          <w:sz w:val="26"/>
          <w:szCs w:val="26"/>
          <w:lang w:eastAsia="hu-HU"/>
        </w:rPr>
      </w:pPr>
    </w:p>
    <w:p w14:paraId="612D5E01" w14:textId="247C2A7A" w:rsidR="00617877" w:rsidRPr="00377D59" w:rsidRDefault="00617877" w:rsidP="00617877">
      <w:pPr>
        <w:rPr>
          <w:rFonts w:ascii="Times New Roman" w:eastAsia="Times New Roman" w:hAnsi="Times New Roman" w:cs="Times New Roman"/>
          <w:sz w:val="26"/>
          <w:szCs w:val="26"/>
          <w:lang w:eastAsia="hu-HU"/>
        </w:rPr>
      </w:pPr>
    </w:p>
    <w:p w14:paraId="4A764331" w14:textId="77777777" w:rsidR="00EA1F58" w:rsidRPr="00377D59" w:rsidRDefault="00EA1F58" w:rsidP="00617877">
      <w:pPr>
        <w:rPr>
          <w:rFonts w:ascii="Times New Roman" w:eastAsia="Times New Roman" w:hAnsi="Times New Roman" w:cs="Times New Roman"/>
          <w:sz w:val="26"/>
          <w:szCs w:val="26"/>
          <w:lang w:eastAsia="hu-HU"/>
        </w:rPr>
        <w:sectPr w:rsidR="00EA1F58" w:rsidRPr="00377D59" w:rsidSect="007449BF">
          <w:headerReference w:type="default" r:id="rId29"/>
          <w:headerReference w:type="first" r:id="rId30"/>
          <w:footnotePr>
            <w:numRestart w:val="eachPage"/>
          </w:footnotePr>
          <w:pgSz w:w="16840" w:h="11907" w:orient="landscape" w:code="9"/>
          <w:pgMar w:top="993" w:right="1134" w:bottom="1134" w:left="1418" w:header="709" w:footer="709" w:gutter="0"/>
          <w:pgNumType w:start="19"/>
          <w:cols w:space="708"/>
          <w:titlePg/>
          <w:docGrid w:linePitch="299"/>
        </w:sectPr>
      </w:pPr>
    </w:p>
    <w:p w14:paraId="6451EF65" w14:textId="77777777" w:rsidR="00D424B8" w:rsidRPr="009C13CC" w:rsidRDefault="00D424B8" w:rsidP="00D424B8">
      <w:pPr>
        <w:jc w:val="both"/>
        <w:rPr>
          <w:rFonts w:ascii="Times New Roman" w:eastAsia="Times New Roman" w:hAnsi="Times New Roman" w:cs="Times New Roman"/>
          <w:sz w:val="26"/>
          <w:szCs w:val="26"/>
          <w:lang w:eastAsia="hu-HU"/>
        </w:rPr>
      </w:pPr>
      <w:r w:rsidRPr="009C13CC">
        <w:rPr>
          <w:rFonts w:ascii="Times New Roman" w:eastAsia="Times New Roman" w:hAnsi="Times New Roman" w:cs="Times New Roman"/>
          <w:b/>
          <w:bCs/>
          <w:sz w:val="26"/>
          <w:szCs w:val="26"/>
          <w:lang w:eastAsia="hu-HU"/>
        </w:rPr>
        <w:lastRenderedPageBreak/>
        <w:t xml:space="preserve">A központi költségvetés devizaadóssága </w:t>
      </w:r>
      <w:r w:rsidRPr="009C13CC">
        <w:rPr>
          <w:rFonts w:ascii="Times New Roman" w:eastAsia="Times New Roman" w:hAnsi="Times New Roman" w:cs="Times New Roman"/>
          <w:sz w:val="26"/>
          <w:szCs w:val="26"/>
          <w:lang w:eastAsia="hu-HU"/>
        </w:rPr>
        <w:t>2025-ben 1251,9</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forinttal 17</w:t>
      </w:r>
      <w:r>
        <w:rPr>
          <w:rFonts w:ascii="Times New Roman" w:eastAsia="Times New Roman" w:hAnsi="Times New Roman" w:cs="Times New Roman"/>
          <w:sz w:val="26"/>
          <w:szCs w:val="26"/>
          <w:lang w:eastAsia="hu-HU"/>
        </w:rPr>
        <w:t> </w:t>
      </w:r>
      <w:r w:rsidRPr="009C13CC">
        <w:rPr>
          <w:rFonts w:ascii="Times New Roman" w:eastAsia="Times New Roman" w:hAnsi="Times New Roman" w:cs="Times New Roman"/>
          <w:sz w:val="26"/>
          <w:szCs w:val="26"/>
          <w:lang w:eastAsia="hu-HU"/>
        </w:rPr>
        <w:t>809,7</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forintra növekedett az elmúlt év végéhez képest. A devizaadósság részaránya a 2024. év végi 29,8%-os szintről 29,4%-os szintre mérséklődött a teljes adósságon belül.</w:t>
      </w:r>
    </w:p>
    <w:p w14:paraId="3659D766" w14:textId="2A248BBA" w:rsidR="00D424B8" w:rsidRPr="009C13CC" w:rsidRDefault="00D424B8" w:rsidP="00D424B8">
      <w:pPr>
        <w:jc w:val="both"/>
        <w:rPr>
          <w:rFonts w:ascii="Times New Roman" w:eastAsia="Times New Roman" w:hAnsi="Times New Roman" w:cs="Times New Roman"/>
          <w:sz w:val="26"/>
          <w:szCs w:val="26"/>
          <w:lang w:eastAsia="hu-HU"/>
        </w:rPr>
      </w:pPr>
      <w:r w:rsidRPr="009C13CC">
        <w:rPr>
          <w:rFonts w:ascii="Times New Roman" w:eastAsia="Times New Roman" w:hAnsi="Times New Roman" w:cs="Times New Roman"/>
          <w:sz w:val="26"/>
          <w:szCs w:val="26"/>
          <w:lang w:eastAsia="hu-HU"/>
        </w:rPr>
        <w:t>A növekedés hátterében döntően a devizakötvény-kibocsátások állnak. 2025. január 7-én sor került az idei év első nemzetközi eurókötvény-kibocsátására összesen 1035,7</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(2,5</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EUR) összegben. Két sorozat piacra vitele történt meg, egy 10 éves futamidejű hagyományos sorozat 621,4</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(1,5</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EUR) és egy 15 éves futamidejű zöld sorozat 414,3</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(1,0</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EUR) összegben. 2025. június 16-án valósult meg a második nemzetközi devizakötvénykibocsátás, összesen 1404,6</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(4</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USD) értékben. Ez három tételből állt, az 5 éves futamidejű 526,7</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(1,5</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USD) összegű, a 10 éves futamidejű 351,1</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(1</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USD) összegű és a</w:t>
      </w:r>
      <w:r w:rsidR="00974B63">
        <w:rPr>
          <w:rFonts w:ascii="Times New Roman" w:eastAsia="Times New Roman" w:hAnsi="Times New Roman" w:cs="Times New Roman"/>
          <w:sz w:val="26"/>
          <w:szCs w:val="26"/>
          <w:lang w:eastAsia="hu-HU"/>
        </w:rPr>
        <w:t> </w:t>
      </w:r>
      <w:r w:rsidRPr="009C13CC">
        <w:rPr>
          <w:rFonts w:ascii="Times New Roman" w:eastAsia="Times New Roman" w:hAnsi="Times New Roman" w:cs="Times New Roman"/>
          <w:sz w:val="26"/>
          <w:szCs w:val="26"/>
          <w:lang w:eastAsia="hu-HU"/>
        </w:rPr>
        <w:t>30</w:t>
      </w:r>
      <w:r w:rsidR="00974B63">
        <w:rPr>
          <w:rFonts w:ascii="Times New Roman" w:eastAsia="Times New Roman" w:hAnsi="Times New Roman" w:cs="Times New Roman"/>
          <w:sz w:val="26"/>
          <w:szCs w:val="26"/>
          <w:lang w:eastAsia="hu-HU"/>
        </w:rPr>
        <w:t> </w:t>
      </w:r>
      <w:r w:rsidRPr="009C13CC">
        <w:rPr>
          <w:rFonts w:ascii="Times New Roman" w:eastAsia="Times New Roman" w:hAnsi="Times New Roman" w:cs="Times New Roman"/>
          <w:sz w:val="26"/>
          <w:szCs w:val="26"/>
          <w:lang w:eastAsia="hu-HU"/>
        </w:rPr>
        <w:t>éves futamidejű 526,7</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(1,5</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USD) összegű sorozatból. 2025. július 22-én volt Magyarország idei harmadik devizakötvény kibocsátása, amely egyben hazánk ötödik Panda Kötvény kibocsátása Kínában, összesen 237,8</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(5</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CNY) összegben. Két sorozat értékesítése történt meg, egy 3 éves futamidejű 190,2</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(4</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CNY) és egy 5 éves futamidejű 47,6</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(1</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CNY) összegű. </w:t>
      </w:r>
    </w:p>
    <w:p w14:paraId="2FA93880" w14:textId="77777777" w:rsidR="00D424B8" w:rsidRPr="009C13CC" w:rsidRDefault="00D424B8" w:rsidP="00D424B8">
      <w:pPr>
        <w:jc w:val="both"/>
        <w:rPr>
          <w:rFonts w:ascii="Times New Roman" w:eastAsia="Times New Roman" w:hAnsi="Times New Roman" w:cs="Times New Roman"/>
          <w:sz w:val="26"/>
          <w:szCs w:val="26"/>
          <w:lang w:eastAsia="hu-HU"/>
        </w:rPr>
      </w:pPr>
      <w:r w:rsidRPr="009C13CC">
        <w:rPr>
          <w:rFonts w:ascii="Times New Roman" w:eastAsia="Times New Roman" w:hAnsi="Times New Roman" w:cs="Times New Roman"/>
          <w:sz w:val="26"/>
          <w:szCs w:val="26"/>
          <w:lang w:eastAsia="hu-HU"/>
        </w:rPr>
        <w:t xml:space="preserve">Az ECP (Euro </w:t>
      </w:r>
      <w:proofErr w:type="spellStart"/>
      <w:r w:rsidRPr="009C13CC">
        <w:rPr>
          <w:rFonts w:ascii="Times New Roman" w:eastAsia="Times New Roman" w:hAnsi="Times New Roman" w:cs="Times New Roman"/>
          <w:sz w:val="26"/>
          <w:szCs w:val="26"/>
          <w:lang w:eastAsia="hu-HU"/>
        </w:rPr>
        <w:t>Commercial</w:t>
      </w:r>
      <w:proofErr w:type="spellEnd"/>
      <w:r w:rsidRPr="009C13CC">
        <w:rPr>
          <w:rFonts w:ascii="Times New Roman" w:eastAsia="Times New Roman" w:hAnsi="Times New Roman" w:cs="Times New Roman"/>
          <w:sz w:val="26"/>
          <w:szCs w:val="26"/>
          <w:lang w:eastAsia="hu-HU"/>
        </w:rPr>
        <w:t xml:space="preserve"> </w:t>
      </w:r>
      <w:proofErr w:type="spellStart"/>
      <w:r w:rsidRPr="009C13CC">
        <w:rPr>
          <w:rFonts w:ascii="Times New Roman" w:eastAsia="Times New Roman" w:hAnsi="Times New Roman" w:cs="Times New Roman"/>
          <w:sz w:val="26"/>
          <w:szCs w:val="26"/>
          <w:lang w:eastAsia="hu-HU"/>
        </w:rPr>
        <w:t>Paper</w:t>
      </w:r>
      <w:proofErr w:type="spellEnd"/>
      <w:r w:rsidRPr="009C13CC">
        <w:rPr>
          <w:rFonts w:ascii="Times New Roman" w:eastAsia="Times New Roman" w:hAnsi="Times New Roman" w:cs="Times New Roman"/>
          <w:sz w:val="26"/>
          <w:szCs w:val="26"/>
          <w:lang w:eastAsia="hu-HU"/>
        </w:rPr>
        <w:t>) program keretében áprilisban kibocsátott devizaértékpapírok összege 180,1</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(500 millió USD) volt. A további devizahitel lehívások összege szintén emelte, míg az árfolyamerősödés ugyanakkor csökkentette a devizaadósság részarányát.</w:t>
      </w:r>
    </w:p>
    <w:p w14:paraId="09E9552E" w14:textId="312F5A54" w:rsidR="00D424B8" w:rsidRPr="009C13CC" w:rsidRDefault="00D424B8" w:rsidP="00D424B8">
      <w:pPr>
        <w:jc w:val="both"/>
        <w:rPr>
          <w:rFonts w:ascii="Times New Roman" w:eastAsia="Times New Roman" w:hAnsi="Times New Roman" w:cs="Times New Roman"/>
          <w:sz w:val="26"/>
          <w:szCs w:val="26"/>
          <w:lang w:eastAsia="hu-HU"/>
        </w:rPr>
      </w:pPr>
      <w:r w:rsidRPr="009C13CC">
        <w:rPr>
          <w:rFonts w:ascii="Times New Roman" w:eastAsia="Times New Roman" w:hAnsi="Times New Roman" w:cs="Times New Roman"/>
          <w:b/>
          <w:bCs/>
          <w:sz w:val="26"/>
          <w:szCs w:val="26"/>
          <w:lang w:eastAsia="hu-HU"/>
        </w:rPr>
        <w:t xml:space="preserve">A költségvetés forintadóssága </w:t>
      </w:r>
      <w:r w:rsidRPr="009C13CC">
        <w:rPr>
          <w:rFonts w:ascii="Times New Roman" w:eastAsia="Times New Roman" w:hAnsi="Times New Roman" w:cs="Times New Roman"/>
          <w:sz w:val="26"/>
          <w:szCs w:val="26"/>
          <w:lang w:eastAsia="hu-HU"/>
        </w:rPr>
        <w:t>december végéig 3874,3</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forinttal növekedett és 42</w:t>
      </w:r>
      <w:r>
        <w:rPr>
          <w:rFonts w:ascii="Times New Roman" w:eastAsia="Times New Roman" w:hAnsi="Times New Roman" w:cs="Times New Roman"/>
          <w:sz w:val="26"/>
          <w:szCs w:val="26"/>
          <w:lang w:eastAsia="hu-HU"/>
        </w:rPr>
        <w:t> </w:t>
      </w:r>
      <w:r w:rsidRPr="009C13CC">
        <w:rPr>
          <w:rFonts w:ascii="Times New Roman" w:eastAsia="Times New Roman" w:hAnsi="Times New Roman" w:cs="Times New Roman"/>
          <w:sz w:val="26"/>
          <w:szCs w:val="26"/>
          <w:lang w:eastAsia="hu-HU"/>
        </w:rPr>
        <w:t>576,0</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forintot ért el, a forint adósság a teljes államadósság 70,3%-át teszi ki. 2024</w:t>
      </w:r>
      <w:r w:rsidR="008B2C27">
        <w:rPr>
          <w:rFonts w:ascii="Times New Roman" w:eastAsia="Times New Roman" w:hAnsi="Times New Roman" w:cs="Times New Roman"/>
          <w:sz w:val="26"/>
          <w:szCs w:val="26"/>
          <w:lang w:eastAsia="hu-HU"/>
        </w:rPr>
        <w:t> </w:t>
      </w:r>
      <w:r w:rsidRPr="009C13CC">
        <w:rPr>
          <w:rFonts w:ascii="Times New Roman" w:eastAsia="Times New Roman" w:hAnsi="Times New Roman" w:cs="Times New Roman"/>
          <w:sz w:val="26"/>
          <w:szCs w:val="26"/>
          <w:lang w:eastAsia="hu-HU"/>
        </w:rPr>
        <w:t xml:space="preserve">decemberében ez az arány 69,8% volt. </w:t>
      </w:r>
    </w:p>
    <w:p w14:paraId="57756E8C" w14:textId="00A92069" w:rsidR="00D424B8" w:rsidRPr="009C13CC" w:rsidRDefault="00D424B8" w:rsidP="00D424B8">
      <w:pPr>
        <w:jc w:val="both"/>
        <w:rPr>
          <w:rFonts w:ascii="Times New Roman" w:eastAsia="Times New Roman" w:hAnsi="Times New Roman" w:cs="Times New Roman"/>
          <w:sz w:val="26"/>
          <w:szCs w:val="26"/>
          <w:lang w:eastAsia="hu-HU"/>
        </w:rPr>
      </w:pPr>
      <w:r w:rsidRPr="009C13CC">
        <w:rPr>
          <w:rFonts w:ascii="Times New Roman" w:eastAsia="Times New Roman" w:hAnsi="Times New Roman" w:cs="Times New Roman"/>
          <w:sz w:val="26"/>
          <w:szCs w:val="26"/>
          <w:lang w:eastAsia="hu-HU"/>
        </w:rPr>
        <w:t>2025. december végén a forint lakossági állampapírok állománya 11</w:t>
      </w:r>
      <w:r>
        <w:rPr>
          <w:rFonts w:ascii="Times New Roman" w:eastAsia="Times New Roman" w:hAnsi="Times New Roman" w:cs="Times New Roman"/>
          <w:sz w:val="26"/>
          <w:szCs w:val="26"/>
          <w:lang w:eastAsia="hu-HU"/>
        </w:rPr>
        <w:t> </w:t>
      </w:r>
      <w:r w:rsidRPr="009C13CC">
        <w:rPr>
          <w:rFonts w:ascii="Times New Roman" w:eastAsia="Times New Roman" w:hAnsi="Times New Roman" w:cs="Times New Roman"/>
          <w:sz w:val="26"/>
          <w:szCs w:val="26"/>
          <w:lang w:eastAsia="hu-HU"/>
        </w:rPr>
        <w:t>726,0</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forintot tett ki, ami 463,1</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növekedést jelent 2024. december vége óta. A Prémium Magyar Állampapír állománya 2025. december végére 3251,2</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forinttal csökkent, amely így 3709,8</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forintot tett ki. A Fix Magyar Állampapír állománya 2634,9</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forinttal növekedett és elérte a 3651,8</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forintot hó végén. Szintén emelkedett a Bónusz Magyar Állampapír állománya is, 861,6</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növekedést követően a hó végén 2070,6</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forintot tett ki. A Magyar Állampapír Plusz állománya, a nyomdai kibocsátású és a korábban értékesített papírokkal együtt, 385,6</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forinttal emelkedett, így hó végén 1148,2</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forintot tett ki. A lakossági állampapírok közül a Fix Magyar Állampapír értékesítése volt a legmagasabb decemberben.</w:t>
      </w:r>
    </w:p>
    <w:p w14:paraId="4F1ECA79" w14:textId="77777777" w:rsidR="00D424B8" w:rsidRPr="009C13CC" w:rsidRDefault="00D424B8" w:rsidP="00D424B8">
      <w:pPr>
        <w:jc w:val="both"/>
        <w:rPr>
          <w:rFonts w:ascii="Times New Roman" w:eastAsia="Times New Roman" w:hAnsi="Times New Roman" w:cs="Times New Roman"/>
          <w:sz w:val="26"/>
          <w:szCs w:val="26"/>
          <w:lang w:eastAsia="hu-HU"/>
        </w:rPr>
      </w:pPr>
      <w:r w:rsidRPr="009C13CC">
        <w:rPr>
          <w:rFonts w:ascii="Times New Roman" w:eastAsia="Times New Roman" w:hAnsi="Times New Roman" w:cs="Times New Roman"/>
          <w:sz w:val="26"/>
          <w:szCs w:val="26"/>
          <w:lang w:eastAsia="hu-HU"/>
        </w:rPr>
        <w:t>Az ÁKK Zrt. december hó folyamán összesen 15,6</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összegben vásárolt vissza lakossági állampapírokat a forgalmazó bankoktól. 2025 áprilisától a forgalmazóknak lehetőség nyílt saját számlájukra került lakossági állampapírok cseréjére. Ennek keretében a saját számlájukra került lakossági állampapírokat az épp értékesítés alatt álló sorozatokra válthatják be, amit a másodpiacon tovább értékesíthetnek a lakosság számára. 2026 januártól új lakossági állampapírok kerültek kibocsátásra, ezért, hogy a bankoknak lehetőség nyíljon </w:t>
      </w:r>
      <w:r w:rsidRPr="009C13CC">
        <w:rPr>
          <w:rFonts w:ascii="Times New Roman" w:eastAsia="Times New Roman" w:hAnsi="Times New Roman" w:cs="Times New Roman"/>
          <w:sz w:val="26"/>
          <w:szCs w:val="26"/>
          <w:lang w:eastAsia="hu-HU"/>
        </w:rPr>
        <w:lastRenderedPageBreak/>
        <w:t>ezeket a papírokat is figyelembe venni a csere során, a december havi csere áthúzódott január elejére, amelynek során a bankok 29,8</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összegben éltek a cserelehetőséggel.</w:t>
      </w:r>
    </w:p>
    <w:p w14:paraId="6B4A6716" w14:textId="4691D526" w:rsidR="00D424B8" w:rsidRPr="009C13CC" w:rsidRDefault="00D424B8" w:rsidP="00D424B8">
      <w:pPr>
        <w:jc w:val="both"/>
        <w:rPr>
          <w:rFonts w:ascii="Times New Roman" w:eastAsia="Times New Roman" w:hAnsi="Times New Roman" w:cs="Times New Roman"/>
          <w:sz w:val="26"/>
          <w:szCs w:val="26"/>
          <w:lang w:eastAsia="hu-HU"/>
        </w:rPr>
      </w:pPr>
      <w:r w:rsidRPr="009C13CC">
        <w:rPr>
          <w:rFonts w:ascii="Times New Roman" w:eastAsia="Times New Roman" w:hAnsi="Times New Roman" w:cs="Times New Roman"/>
          <w:b/>
          <w:bCs/>
          <w:sz w:val="26"/>
          <w:szCs w:val="26"/>
          <w:lang w:eastAsia="hu-HU"/>
        </w:rPr>
        <w:t>A külföldi befektetők</w:t>
      </w:r>
      <w:r w:rsidRPr="009C13CC">
        <w:rPr>
          <w:rFonts w:ascii="Times New Roman" w:eastAsia="Times New Roman" w:hAnsi="Times New Roman" w:cs="Times New Roman"/>
          <w:sz w:val="26"/>
          <w:szCs w:val="26"/>
          <w:lang w:eastAsia="hu-HU"/>
        </w:rPr>
        <w:t xml:space="preserve"> állampapír állománya decemberben 1659,7</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forinttal 5854,2</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forintra csökkent az előző hónaphoz képest. A külföldi állomány 99,6%-a, 5833,0</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államkötvény, 0,4%-a, 21,2</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 diszkontkincstárjegy. A</w:t>
      </w:r>
      <w:r w:rsidR="00974B63">
        <w:rPr>
          <w:rFonts w:ascii="Times New Roman" w:eastAsia="Times New Roman" w:hAnsi="Times New Roman" w:cs="Times New Roman"/>
          <w:sz w:val="26"/>
          <w:szCs w:val="26"/>
          <w:lang w:eastAsia="hu-HU"/>
        </w:rPr>
        <w:t> </w:t>
      </w:r>
      <w:r w:rsidRPr="009C13CC">
        <w:rPr>
          <w:rFonts w:ascii="Times New Roman" w:eastAsia="Times New Roman" w:hAnsi="Times New Roman" w:cs="Times New Roman"/>
          <w:sz w:val="26"/>
          <w:szCs w:val="26"/>
          <w:lang w:eastAsia="hu-HU"/>
        </w:rPr>
        <w:t>külföldi állomány átlagos hátralévő futamideje december végén 5,9 év volt.</w:t>
      </w:r>
    </w:p>
    <w:p w14:paraId="4E509B8F" w14:textId="20619CBF" w:rsidR="00CE4482" w:rsidRPr="00CE4482" w:rsidRDefault="00D424B8" w:rsidP="00D424B8">
      <w:pPr>
        <w:jc w:val="both"/>
        <w:rPr>
          <w:rFonts w:ascii="Times New Roman" w:eastAsia="Times New Roman" w:hAnsi="Times New Roman" w:cs="Times New Roman"/>
          <w:sz w:val="26"/>
          <w:szCs w:val="26"/>
          <w:lang w:eastAsia="hu-HU"/>
        </w:rPr>
      </w:pPr>
      <w:r w:rsidRPr="009C13CC">
        <w:rPr>
          <w:rFonts w:ascii="Times New Roman" w:eastAsia="Times New Roman" w:hAnsi="Times New Roman" w:cs="Times New Roman"/>
          <w:sz w:val="26"/>
          <w:szCs w:val="26"/>
          <w:lang w:eastAsia="hu-HU"/>
        </w:rPr>
        <w:t xml:space="preserve">A devizaállamadósság kockázatainak mérséklése érdekében az ÁKK Zrt. </w:t>
      </w:r>
      <w:proofErr w:type="spellStart"/>
      <w:r w:rsidRPr="009C13CC">
        <w:rPr>
          <w:rFonts w:ascii="Times New Roman" w:eastAsia="Times New Roman" w:hAnsi="Times New Roman" w:cs="Times New Roman"/>
          <w:sz w:val="26"/>
          <w:szCs w:val="26"/>
          <w:lang w:eastAsia="hu-HU"/>
        </w:rPr>
        <w:t>swapügyleteket</w:t>
      </w:r>
      <w:proofErr w:type="spellEnd"/>
      <w:r w:rsidRPr="009C13CC">
        <w:rPr>
          <w:rFonts w:ascii="Times New Roman" w:eastAsia="Times New Roman" w:hAnsi="Times New Roman" w:cs="Times New Roman"/>
          <w:sz w:val="26"/>
          <w:szCs w:val="26"/>
          <w:lang w:eastAsia="hu-HU"/>
        </w:rPr>
        <w:t xml:space="preserve"> köt. Ezen ügyletekhez kapcsolódóan az ÁKK Zrt.-nél elhelyezett fedezeti összegek (ún. mark-</w:t>
      </w:r>
      <w:proofErr w:type="spellStart"/>
      <w:r w:rsidRPr="009C13CC">
        <w:rPr>
          <w:rFonts w:ascii="Times New Roman" w:eastAsia="Times New Roman" w:hAnsi="Times New Roman" w:cs="Times New Roman"/>
          <w:sz w:val="26"/>
          <w:szCs w:val="26"/>
          <w:lang w:eastAsia="hu-HU"/>
        </w:rPr>
        <w:t>to</w:t>
      </w:r>
      <w:proofErr w:type="spellEnd"/>
      <w:r w:rsidRPr="009C13CC">
        <w:rPr>
          <w:rFonts w:ascii="Times New Roman" w:eastAsia="Times New Roman" w:hAnsi="Times New Roman" w:cs="Times New Roman"/>
          <w:sz w:val="26"/>
          <w:szCs w:val="26"/>
          <w:lang w:eastAsia="hu-HU"/>
        </w:rPr>
        <w:t>-market betétek) az adósságállomány részét képezik, és az „egyéb kötelezettségek” soron kerülnek kimutatásra. A vizsgált időszakban az egyéb kötelezettségek állománya 65,5</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forinttal csökkent. December végén az állomány 154,1</w:t>
      </w:r>
      <w:r>
        <w:rPr>
          <w:rFonts w:ascii="Times New Roman" w:eastAsia="Times New Roman" w:hAnsi="Times New Roman" w:cs="Times New Roman"/>
          <w:sz w:val="26"/>
          <w:szCs w:val="26"/>
          <w:lang w:eastAsia="hu-HU"/>
        </w:rPr>
        <w:t> milliárd</w:t>
      </w:r>
      <w:r w:rsidRPr="009C13CC">
        <w:rPr>
          <w:rFonts w:ascii="Times New Roman" w:eastAsia="Times New Roman" w:hAnsi="Times New Roman" w:cs="Times New Roman"/>
          <w:sz w:val="26"/>
          <w:szCs w:val="26"/>
          <w:lang w:eastAsia="hu-HU"/>
        </w:rPr>
        <w:t xml:space="preserve"> forintot tett ki, ami a teljes államadósság 0,3%-át jelent</w:t>
      </w:r>
      <w:r w:rsidR="7A1FFE35" w:rsidRPr="7A1FFE35">
        <w:rPr>
          <w:rFonts w:ascii="Times New Roman" w:eastAsia="Times New Roman" w:hAnsi="Times New Roman" w:cs="Times New Roman"/>
          <w:sz w:val="26"/>
          <w:szCs w:val="26"/>
          <w:lang w:eastAsia="hu-HU"/>
        </w:rPr>
        <w:t>.</w:t>
      </w:r>
    </w:p>
    <w:sectPr w:rsidR="00CE4482" w:rsidRPr="00CE4482" w:rsidSect="007449BF">
      <w:headerReference w:type="even" r:id="rId31"/>
      <w:footerReference w:type="default" r:id="rId32"/>
      <w:footerReference w:type="first" r:id="rId33"/>
      <w:pgSz w:w="11906" w:h="16838"/>
      <w:pgMar w:top="1418" w:right="1134" w:bottom="1418" w:left="1134" w:header="708" w:footer="6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A65B" w14:textId="77777777" w:rsidR="00482CC1" w:rsidRDefault="00482CC1" w:rsidP="00B155FE">
      <w:pPr>
        <w:spacing w:after="0" w:line="240" w:lineRule="auto"/>
      </w:pPr>
      <w:r>
        <w:separator/>
      </w:r>
    </w:p>
  </w:endnote>
  <w:endnote w:type="continuationSeparator" w:id="0">
    <w:p w14:paraId="1C7BD2A8" w14:textId="77777777" w:rsidR="00482CC1" w:rsidRDefault="00482CC1" w:rsidP="00B155FE">
      <w:pPr>
        <w:spacing w:after="0" w:line="240" w:lineRule="auto"/>
      </w:pPr>
      <w:r>
        <w:continuationSeparator/>
      </w:r>
    </w:p>
  </w:endnote>
  <w:endnote w:type="continuationNotice" w:id="1">
    <w:p w14:paraId="0FB7689F" w14:textId="77777777" w:rsidR="00482CC1" w:rsidRDefault="00482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2D1F" w14:textId="4DE2DC1D" w:rsidR="00473AC1" w:rsidRDefault="00473AC1">
    <w:pPr>
      <w:pStyle w:val="llb"/>
      <w:jc w:val="center"/>
    </w:pPr>
  </w:p>
  <w:p w14:paraId="41773F2F" w14:textId="77777777" w:rsidR="00473AC1" w:rsidRDefault="00473AC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154505"/>
      <w:docPartObj>
        <w:docPartGallery w:val="Page Numbers (Bottom of Page)"/>
        <w:docPartUnique/>
      </w:docPartObj>
    </w:sdtPr>
    <w:sdtEndPr>
      <w:rPr>
        <w:rFonts w:ascii="Times New Roman" w:hAnsi="Times New Roman" w:cs="Times New Roman"/>
        <w:sz w:val="24"/>
      </w:rPr>
    </w:sdtEndPr>
    <w:sdtContent>
      <w:p w14:paraId="52C756D2" w14:textId="3800D4A3" w:rsidR="00473AC1" w:rsidRPr="005A1E0F" w:rsidRDefault="00473AC1">
        <w:pPr>
          <w:pStyle w:val="llb"/>
          <w:jc w:val="center"/>
          <w:rPr>
            <w:rFonts w:ascii="Times New Roman" w:hAnsi="Times New Roman" w:cs="Times New Roman"/>
            <w:sz w:val="24"/>
          </w:rPr>
        </w:pPr>
        <w:r w:rsidRPr="005A1E0F">
          <w:rPr>
            <w:rFonts w:ascii="Times New Roman" w:hAnsi="Times New Roman" w:cs="Times New Roman"/>
          </w:rPr>
          <w:t>20</w:t>
        </w:r>
      </w:p>
    </w:sdtContent>
  </w:sdt>
  <w:p w14:paraId="64304736" w14:textId="77777777" w:rsidR="00473AC1" w:rsidRDefault="00473AC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58895"/>
      <w:docPartObj>
        <w:docPartGallery w:val="Page Numbers (Bottom of Page)"/>
        <w:docPartUnique/>
      </w:docPartObj>
    </w:sdtPr>
    <w:sdtEndPr>
      <w:rPr>
        <w:rFonts w:ascii="Times New Roman" w:hAnsi="Times New Roman" w:cs="Times New Roman"/>
        <w:sz w:val="24"/>
      </w:rPr>
    </w:sdtEndPr>
    <w:sdtContent>
      <w:p w14:paraId="10FD5F29" w14:textId="7D80A60B" w:rsidR="00473AC1" w:rsidRPr="00470868" w:rsidRDefault="00473AC1">
        <w:pPr>
          <w:pStyle w:val="llb"/>
          <w:jc w:val="center"/>
          <w:rPr>
            <w:rFonts w:ascii="Times New Roman" w:hAnsi="Times New Roman" w:cs="Times New Roman"/>
            <w:sz w:val="24"/>
          </w:rPr>
        </w:pPr>
        <w:r w:rsidRPr="00470868">
          <w:rPr>
            <w:rFonts w:ascii="Times New Roman" w:hAnsi="Times New Roman" w:cs="Times New Roman"/>
            <w:sz w:val="24"/>
          </w:rPr>
          <w:fldChar w:fldCharType="begin"/>
        </w:r>
        <w:r w:rsidRPr="00470868">
          <w:rPr>
            <w:rFonts w:ascii="Times New Roman" w:hAnsi="Times New Roman" w:cs="Times New Roman"/>
            <w:sz w:val="24"/>
          </w:rPr>
          <w:instrText>PAGE   \* MERGEFORMAT</w:instrText>
        </w:r>
        <w:r w:rsidRPr="00470868">
          <w:rPr>
            <w:rFonts w:ascii="Times New Roman" w:hAnsi="Times New Roman" w:cs="Times New Roman"/>
            <w:sz w:val="24"/>
          </w:rPr>
          <w:fldChar w:fldCharType="separate"/>
        </w:r>
        <w:r w:rsidR="007B6DF2">
          <w:rPr>
            <w:rFonts w:ascii="Times New Roman" w:hAnsi="Times New Roman" w:cs="Times New Roman"/>
            <w:noProof/>
            <w:sz w:val="24"/>
          </w:rPr>
          <w:t>19</w:t>
        </w:r>
        <w:r w:rsidRPr="00470868">
          <w:rPr>
            <w:rFonts w:ascii="Times New Roman" w:hAnsi="Times New Roman" w:cs="Times New Roman"/>
            <w:sz w:val="24"/>
          </w:rPr>
          <w:fldChar w:fldCharType="end"/>
        </w:r>
      </w:p>
    </w:sdtContent>
  </w:sdt>
  <w:p w14:paraId="17329691" w14:textId="773A5D5E" w:rsidR="00473AC1" w:rsidRPr="00556984" w:rsidRDefault="00473AC1" w:rsidP="0055698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8299"/>
      <w:docPartObj>
        <w:docPartGallery w:val="Page Numbers (Bottom of Page)"/>
        <w:docPartUnique/>
      </w:docPartObj>
    </w:sdtPr>
    <w:sdtEndPr>
      <w:rPr>
        <w:rFonts w:ascii="Times New Roman" w:hAnsi="Times New Roman" w:cs="Times New Roman"/>
        <w:sz w:val="24"/>
      </w:rPr>
    </w:sdtEndPr>
    <w:sdtContent>
      <w:p w14:paraId="7ADCE6C8" w14:textId="77777777" w:rsidR="00473AC1" w:rsidRPr="00D4148C" w:rsidRDefault="00473AC1">
        <w:pPr>
          <w:pStyle w:val="llb"/>
          <w:jc w:val="center"/>
          <w:rPr>
            <w:rFonts w:ascii="Times New Roman" w:hAnsi="Times New Roman" w:cs="Times New Roman"/>
            <w:sz w:val="24"/>
          </w:rPr>
        </w:pPr>
        <w:r>
          <w:rPr>
            <w:rFonts w:ascii="Times New Roman" w:hAnsi="Times New Roman" w:cs="Times New Roman"/>
            <w:sz w:val="24"/>
          </w:rPr>
          <w:t>22</w:t>
        </w:r>
      </w:p>
    </w:sdtContent>
  </w:sdt>
  <w:p w14:paraId="078E8FA1" w14:textId="77777777" w:rsidR="00473AC1" w:rsidRDefault="00473AC1" w:rsidP="00C74E0F">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0D1" w14:textId="0EBE225F" w:rsidR="00473AC1" w:rsidRDefault="7A1FFE35" w:rsidP="004A3001">
    <w:pPr>
      <w:pStyle w:val="llb"/>
      <w:jc w:val="center"/>
    </w:pPr>
    <w:r w:rsidRPr="7A1FFE35">
      <w:rPr>
        <w:rFonts w:ascii="Times New Roman" w:hAnsi="Times New Roman" w:cs="Times New Roman"/>
        <w:sz w:val="24"/>
        <w:szCs w:val="2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B1A9" w14:textId="77777777" w:rsidR="00482CC1" w:rsidRDefault="00482CC1" w:rsidP="00B155FE">
      <w:pPr>
        <w:spacing w:after="0" w:line="240" w:lineRule="auto"/>
      </w:pPr>
      <w:r>
        <w:separator/>
      </w:r>
    </w:p>
  </w:footnote>
  <w:footnote w:type="continuationSeparator" w:id="0">
    <w:p w14:paraId="4C795B76" w14:textId="77777777" w:rsidR="00482CC1" w:rsidRDefault="00482CC1" w:rsidP="00B155FE">
      <w:pPr>
        <w:spacing w:after="0" w:line="240" w:lineRule="auto"/>
      </w:pPr>
      <w:r>
        <w:continuationSeparator/>
      </w:r>
    </w:p>
  </w:footnote>
  <w:footnote w:type="continuationNotice" w:id="1">
    <w:p w14:paraId="093C8605" w14:textId="77777777" w:rsidR="00482CC1" w:rsidRDefault="00482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00473AC1" w14:paraId="1027336C" w14:textId="77777777" w:rsidTr="75E7E8C2">
      <w:tc>
        <w:tcPr>
          <w:tcW w:w="3118" w:type="dxa"/>
        </w:tcPr>
        <w:p w14:paraId="4C837DDD" w14:textId="79A8EEFC" w:rsidR="00473AC1" w:rsidRDefault="00473AC1" w:rsidP="75E7E8C2">
          <w:pPr>
            <w:pStyle w:val="lfej"/>
            <w:ind w:left="-115"/>
          </w:pPr>
        </w:p>
      </w:tc>
      <w:tc>
        <w:tcPr>
          <w:tcW w:w="3118" w:type="dxa"/>
        </w:tcPr>
        <w:p w14:paraId="215A5B55" w14:textId="4B5EFC16" w:rsidR="00473AC1" w:rsidRDefault="00473AC1" w:rsidP="75E7E8C2">
          <w:pPr>
            <w:pStyle w:val="lfej"/>
            <w:jc w:val="center"/>
          </w:pPr>
        </w:p>
      </w:tc>
      <w:tc>
        <w:tcPr>
          <w:tcW w:w="3118" w:type="dxa"/>
        </w:tcPr>
        <w:p w14:paraId="08CD3A76" w14:textId="283AC16D" w:rsidR="00473AC1" w:rsidRDefault="00473AC1" w:rsidP="75E7E8C2">
          <w:pPr>
            <w:pStyle w:val="lfej"/>
            <w:ind w:right="-115"/>
            <w:jc w:val="right"/>
          </w:pPr>
        </w:p>
      </w:tc>
    </w:tr>
  </w:tbl>
  <w:p w14:paraId="4176297E" w14:textId="7CD13837" w:rsidR="00473AC1" w:rsidRDefault="00473AC1" w:rsidP="75E7E8C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7D1" w14:textId="3D0DDD49" w:rsidR="00473AC1" w:rsidRDefault="00473AC1" w:rsidP="75E7E8C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6" w14:textId="77777777" w:rsidR="00473AC1" w:rsidRPr="00881044" w:rsidRDefault="00473AC1" w:rsidP="00C74E0F">
    <w:pPr>
      <w:pStyle w:val="lfej"/>
      <w:rPr>
        <w:rStyle w:val="Oldalszm"/>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7" w14:textId="77777777" w:rsidR="00473AC1" w:rsidRPr="00FE4DD1" w:rsidRDefault="00473AC1" w:rsidP="00C74E0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09518"/>
      <w:docPartObj>
        <w:docPartGallery w:val="Page Numbers (Top of Page)"/>
        <w:docPartUnique/>
      </w:docPartObj>
    </w:sdtPr>
    <w:sdtEndPr>
      <w:rPr>
        <w:noProof/>
      </w:rPr>
    </w:sdtEndPr>
    <w:sdtContent>
      <w:p w14:paraId="2CB15785" w14:textId="77777777" w:rsidR="00473AC1" w:rsidRDefault="00473AC1">
        <w:pPr>
          <w:pStyle w:val="lfej"/>
          <w:jc w:val="center"/>
        </w:pPr>
        <w:r>
          <w:fldChar w:fldCharType="begin"/>
        </w:r>
        <w:r>
          <w:instrText xml:space="preserve"> PAGE   \* MERGEFORMAT </w:instrText>
        </w:r>
        <w:r>
          <w:fldChar w:fldCharType="separate"/>
        </w:r>
        <w:r>
          <w:rPr>
            <w:noProof/>
          </w:rPr>
          <w:t>20</w:t>
        </w:r>
        <w:r>
          <w:rPr>
            <w:noProof/>
          </w:rPr>
          <w:fldChar w:fldCharType="end"/>
        </w:r>
      </w:p>
    </w:sdtContent>
  </w:sdt>
  <w:p w14:paraId="2A775F7D" w14:textId="77777777" w:rsidR="00473AC1" w:rsidRDefault="00473AC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298"/>
    <w:multiLevelType w:val="hybridMultilevel"/>
    <w:tmpl w:val="44CCC2AC"/>
    <w:lvl w:ilvl="0" w:tplc="08783BEC">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602D43"/>
    <w:multiLevelType w:val="hybridMultilevel"/>
    <w:tmpl w:val="390E53F2"/>
    <w:lvl w:ilvl="0" w:tplc="F872D380">
      <w:start w:val="1"/>
      <w:numFmt w:val="bullet"/>
      <w:lvlText w:val=""/>
      <w:lvlJc w:val="left"/>
      <w:pPr>
        <w:ind w:left="720" w:hanging="360"/>
      </w:pPr>
      <w:rPr>
        <w:rFonts w:ascii="Symbol" w:hAnsi="Symbol" w:hint="default"/>
      </w:rPr>
    </w:lvl>
    <w:lvl w:ilvl="1" w:tplc="86BC4448">
      <w:start w:val="1"/>
      <w:numFmt w:val="bullet"/>
      <w:lvlText w:val="o"/>
      <w:lvlJc w:val="left"/>
      <w:pPr>
        <w:ind w:left="1440" w:hanging="360"/>
      </w:pPr>
      <w:rPr>
        <w:rFonts w:ascii="Courier New" w:hAnsi="Courier New" w:hint="default"/>
      </w:rPr>
    </w:lvl>
    <w:lvl w:ilvl="2" w:tplc="F05C9352">
      <w:start w:val="1"/>
      <w:numFmt w:val="bullet"/>
      <w:lvlText w:val=""/>
      <w:lvlJc w:val="left"/>
      <w:pPr>
        <w:ind w:left="2160" w:hanging="360"/>
      </w:pPr>
      <w:rPr>
        <w:rFonts w:ascii="Wingdings" w:hAnsi="Wingdings" w:hint="default"/>
      </w:rPr>
    </w:lvl>
    <w:lvl w:ilvl="3" w:tplc="232EF98C">
      <w:start w:val="1"/>
      <w:numFmt w:val="bullet"/>
      <w:lvlText w:val=""/>
      <w:lvlJc w:val="left"/>
      <w:pPr>
        <w:ind w:left="2880" w:hanging="360"/>
      </w:pPr>
      <w:rPr>
        <w:rFonts w:ascii="Symbol" w:hAnsi="Symbol" w:hint="default"/>
      </w:rPr>
    </w:lvl>
    <w:lvl w:ilvl="4" w:tplc="03066B72">
      <w:start w:val="1"/>
      <w:numFmt w:val="bullet"/>
      <w:lvlText w:val="o"/>
      <w:lvlJc w:val="left"/>
      <w:pPr>
        <w:ind w:left="3600" w:hanging="360"/>
      </w:pPr>
      <w:rPr>
        <w:rFonts w:ascii="Courier New" w:hAnsi="Courier New" w:hint="default"/>
      </w:rPr>
    </w:lvl>
    <w:lvl w:ilvl="5" w:tplc="7A906010">
      <w:start w:val="1"/>
      <w:numFmt w:val="bullet"/>
      <w:lvlText w:val=""/>
      <w:lvlJc w:val="left"/>
      <w:pPr>
        <w:ind w:left="4320" w:hanging="360"/>
      </w:pPr>
      <w:rPr>
        <w:rFonts w:ascii="Wingdings" w:hAnsi="Wingdings" w:hint="default"/>
      </w:rPr>
    </w:lvl>
    <w:lvl w:ilvl="6" w:tplc="9F6A3F04">
      <w:start w:val="1"/>
      <w:numFmt w:val="bullet"/>
      <w:lvlText w:val=""/>
      <w:lvlJc w:val="left"/>
      <w:pPr>
        <w:ind w:left="5040" w:hanging="360"/>
      </w:pPr>
      <w:rPr>
        <w:rFonts w:ascii="Symbol" w:hAnsi="Symbol" w:hint="default"/>
      </w:rPr>
    </w:lvl>
    <w:lvl w:ilvl="7" w:tplc="D5603E42">
      <w:start w:val="1"/>
      <w:numFmt w:val="bullet"/>
      <w:lvlText w:val="o"/>
      <w:lvlJc w:val="left"/>
      <w:pPr>
        <w:ind w:left="5760" w:hanging="360"/>
      </w:pPr>
      <w:rPr>
        <w:rFonts w:ascii="Courier New" w:hAnsi="Courier New" w:hint="default"/>
      </w:rPr>
    </w:lvl>
    <w:lvl w:ilvl="8" w:tplc="F1D4D0F8">
      <w:start w:val="1"/>
      <w:numFmt w:val="bullet"/>
      <w:lvlText w:val=""/>
      <w:lvlJc w:val="left"/>
      <w:pPr>
        <w:ind w:left="6480" w:hanging="360"/>
      </w:pPr>
      <w:rPr>
        <w:rFonts w:ascii="Wingdings" w:hAnsi="Wingdings" w:hint="default"/>
      </w:rPr>
    </w:lvl>
  </w:abstractNum>
  <w:abstractNum w:abstractNumId="2" w15:restartNumberingAfterBreak="0">
    <w:nsid w:val="3CC7670D"/>
    <w:multiLevelType w:val="hybridMultilevel"/>
    <w:tmpl w:val="FDDC7674"/>
    <w:lvl w:ilvl="0" w:tplc="9120DF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1033469"/>
    <w:multiLevelType w:val="hybridMultilevel"/>
    <w:tmpl w:val="D612FE54"/>
    <w:lvl w:ilvl="0" w:tplc="85BCE940">
      <w:start w:val="1"/>
      <w:numFmt w:val="bullet"/>
      <w:lvlText w:val=""/>
      <w:lvlJc w:val="left"/>
      <w:pPr>
        <w:ind w:left="720" w:hanging="360"/>
      </w:pPr>
      <w:rPr>
        <w:rFonts w:ascii="Symbol" w:hAnsi="Symbol" w:hint="default"/>
      </w:rPr>
    </w:lvl>
    <w:lvl w:ilvl="1" w:tplc="EDE89D4A">
      <w:start w:val="1"/>
      <w:numFmt w:val="bullet"/>
      <w:lvlText w:val="o"/>
      <w:lvlJc w:val="left"/>
      <w:pPr>
        <w:ind w:left="1440" w:hanging="360"/>
      </w:pPr>
      <w:rPr>
        <w:rFonts w:ascii="Courier New" w:hAnsi="Courier New" w:hint="default"/>
      </w:rPr>
    </w:lvl>
    <w:lvl w:ilvl="2" w:tplc="91061732">
      <w:start w:val="1"/>
      <w:numFmt w:val="bullet"/>
      <w:lvlText w:val=""/>
      <w:lvlJc w:val="left"/>
      <w:pPr>
        <w:ind w:left="2160" w:hanging="360"/>
      </w:pPr>
      <w:rPr>
        <w:rFonts w:ascii="Wingdings" w:hAnsi="Wingdings" w:hint="default"/>
      </w:rPr>
    </w:lvl>
    <w:lvl w:ilvl="3" w:tplc="5D04C974">
      <w:start w:val="1"/>
      <w:numFmt w:val="bullet"/>
      <w:lvlText w:val=""/>
      <w:lvlJc w:val="left"/>
      <w:pPr>
        <w:ind w:left="2880" w:hanging="360"/>
      </w:pPr>
      <w:rPr>
        <w:rFonts w:ascii="Symbol" w:hAnsi="Symbol" w:hint="default"/>
      </w:rPr>
    </w:lvl>
    <w:lvl w:ilvl="4" w:tplc="1C648E36">
      <w:start w:val="1"/>
      <w:numFmt w:val="bullet"/>
      <w:lvlText w:val="o"/>
      <w:lvlJc w:val="left"/>
      <w:pPr>
        <w:ind w:left="3600" w:hanging="360"/>
      </w:pPr>
      <w:rPr>
        <w:rFonts w:ascii="Courier New" w:hAnsi="Courier New" w:hint="default"/>
      </w:rPr>
    </w:lvl>
    <w:lvl w:ilvl="5" w:tplc="2DB00CB0">
      <w:start w:val="1"/>
      <w:numFmt w:val="bullet"/>
      <w:lvlText w:val=""/>
      <w:lvlJc w:val="left"/>
      <w:pPr>
        <w:ind w:left="4320" w:hanging="360"/>
      </w:pPr>
      <w:rPr>
        <w:rFonts w:ascii="Wingdings" w:hAnsi="Wingdings" w:hint="default"/>
      </w:rPr>
    </w:lvl>
    <w:lvl w:ilvl="6" w:tplc="3C9E0854">
      <w:start w:val="1"/>
      <w:numFmt w:val="bullet"/>
      <w:lvlText w:val=""/>
      <w:lvlJc w:val="left"/>
      <w:pPr>
        <w:ind w:left="5040" w:hanging="360"/>
      </w:pPr>
      <w:rPr>
        <w:rFonts w:ascii="Symbol" w:hAnsi="Symbol" w:hint="default"/>
      </w:rPr>
    </w:lvl>
    <w:lvl w:ilvl="7" w:tplc="EF2AE296">
      <w:start w:val="1"/>
      <w:numFmt w:val="bullet"/>
      <w:lvlText w:val="o"/>
      <w:lvlJc w:val="left"/>
      <w:pPr>
        <w:ind w:left="5760" w:hanging="360"/>
      </w:pPr>
      <w:rPr>
        <w:rFonts w:ascii="Courier New" w:hAnsi="Courier New" w:hint="default"/>
      </w:rPr>
    </w:lvl>
    <w:lvl w:ilvl="8" w:tplc="1B7CE0FC">
      <w:start w:val="1"/>
      <w:numFmt w:val="bullet"/>
      <w:lvlText w:val=""/>
      <w:lvlJc w:val="left"/>
      <w:pPr>
        <w:ind w:left="6480" w:hanging="360"/>
      </w:pPr>
      <w:rPr>
        <w:rFonts w:ascii="Wingdings" w:hAnsi="Wingdings" w:hint="default"/>
      </w:rPr>
    </w:lvl>
  </w:abstractNum>
  <w:abstractNum w:abstractNumId="4" w15:restartNumberingAfterBreak="0">
    <w:nsid w:val="5573523A"/>
    <w:multiLevelType w:val="hybridMultilevel"/>
    <w:tmpl w:val="92D45DA0"/>
    <w:lvl w:ilvl="0" w:tplc="5E429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0F720B"/>
    <w:multiLevelType w:val="hybridMultilevel"/>
    <w:tmpl w:val="9D346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47603289">
    <w:abstractNumId w:val="3"/>
  </w:num>
  <w:num w:numId="2" w16cid:durableId="1171026080">
    <w:abstractNumId w:val="4"/>
  </w:num>
  <w:num w:numId="3" w16cid:durableId="1245341741">
    <w:abstractNumId w:val="0"/>
  </w:num>
  <w:num w:numId="4" w16cid:durableId="1549414595">
    <w:abstractNumId w:val="5"/>
  </w:num>
  <w:num w:numId="5" w16cid:durableId="993993450">
    <w:abstractNumId w:val="2"/>
  </w:num>
  <w:num w:numId="6" w16cid:durableId="89535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FE"/>
    <w:rsid w:val="00000517"/>
    <w:rsid w:val="0000169C"/>
    <w:rsid w:val="000017BD"/>
    <w:rsid w:val="00001DDD"/>
    <w:rsid w:val="00001F08"/>
    <w:rsid w:val="000044C3"/>
    <w:rsid w:val="00007D4A"/>
    <w:rsid w:val="00007DB5"/>
    <w:rsid w:val="000103E9"/>
    <w:rsid w:val="000118DE"/>
    <w:rsid w:val="00015558"/>
    <w:rsid w:val="00015945"/>
    <w:rsid w:val="0001644C"/>
    <w:rsid w:val="00020D17"/>
    <w:rsid w:val="0002105A"/>
    <w:rsid w:val="00022205"/>
    <w:rsid w:val="00022974"/>
    <w:rsid w:val="000237EA"/>
    <w:rsid w:val="00024158"/>
    <w:rsid w:val="0002586B"/>
    <w:rsid w:val="00025889"/>
    <w:rsid w:val="00026266"/>
    <w:rsid w:val="0002674A"/>
    <w:rsid w:val="000302F3"/>
    <w:rsid w:val="00031896"/>
    <w:rsid w:val="00031C82"/>
    <w:rsid w:val="00031C9D"/>
    <w:rsid w:val="00034760"/>
    <w:rsid w:val="000365DC"/>
    <w:rsid w:val="0003668B"/>
    <w:rsid w:val="0003701E"/>
    <w:rsid w:val="000401EE"/>
    <w:rsid w:val="0004032B"/>
    <w:rsid w:val="000407DB"/>
    <w:rsid w:val="00042512"/>
    <w:rsid w:val="00043E49"/>
    <w:rsid w:val="00044042"/>
    <w:rsid w:val="000458BD"/>
    <w:rsid w:val="00045DF7"/>
    <w:rsid w:val="000471E4"/>
    <w:rsid w:val="000512BB"/>
    <w:rsid w:val="00051E9B"/>
    <w:rsid w:val="0005236D"/>
    <w:rsid w:val="00052502"/>
    <w:rsid w:val="0005250F"/>
    <w:rsid w:val="00052554"/>
    <w:rsid w:val="00052E4F"/>
    <w:rsid w:val="00054358"/>
    <w:rsid w:val="00054CDA"/>
    <w:rsid w:val="00055632"/>
    <w:rsid w:val="00057916"/>
    <w:rsid w:val="000611EC"/>
    <w:rsid w:val="000617B7"/>
    <w:rsid w:val="00064521"/>
    <w:rsid w:val="0006496D"/>
    <w:rsid w:val="00064D6A"/>
    <w:rsid w:val="00064E2A"/>
    <w:rsid w:val="00065E19"/>
    <w:rsid w:val="00067A57"/>
    <w:rsid w:val="00070EAC"/>
    <w:rsid w:val="00071FA3"/>
    <w:rsid w:val="00072A58"/>
    <w:rsid w:val="0007336F"/>
    <w:rsid w:val="0007525D"/>
    <w:rsid w:val="000770F3"/>
    <w:rsid w:val="00077440"/>
    <w:rsid w:val="0008062F"/>
    <w:rsid w:val="000809B3"/>
    <w:rsid w:val="00081A0C"/>
    <w:rsid w:val="00081A16"/>
    <w:rsid w:val="00081FF0"/>
    <w:rsid w:val="00082ADE"/>
    <w:rsid w:val="000846A7"/>
    <w:rsid w:val="00085B09"/>
    <w:rsid w:val="00085C37"/>
    <w:rsid w:val="00085DCC"/>
    <w:rsid w:val="000874F4"/>
    <w:rsid w:val="00087C75"/>
    <w:rsid w:val="00090E70"/>
    <w:rsid w:val="00091B18"/>
    <w:rsid w:val="00091F16"/>
    <w:rsid w:val="0009484D"/>
    <w:rsid w:val="00095983"/>
    <w:rsid w:val="00095C95"/>
    <w:rsid w:val="00096300"/>
    <w:rsid w:val="000A0A88"/>
    <w:rsid w:val="000A0C4E"/>
    <w:rsid w:val="000A18F9"/>
    <w:rsid w:val="000A19F4"/>
    <w:rsid w:val="000A1F24"/>
    <w:rsid w:val="000A2818"/>
    <w:rsid w:val="000A296F"/>
    <w:rsid w:val="000A2EAB"/>
    <w:rsid w:val="000A4669"/>
    <w:rsid w:val="000A4732"/>
    <w:rsid w:val="000A4839"/>
    <w:rsid w:val="000A531B"/>
    <w:rsid w:val="000A7964"/>
    <w:rsid w:val="000A7B53"/>
    <w:rsid w:val="000B1235"/>
    <w:rsid w:val="000B2569"/>
    <w:rsid w:val="000B49AE"/>
    <w:rsid w:val="000B58F0"/>
    <w:rsid w:val="000B6723"/>
    <w:rsid w:val="000B6BE0"/>
    <w:rsid w:val="000B7018"/>
    <w:rsid w:val="000C1105"/>
    <w:rsid w:val="000C13F2"/>
    <w:rsid w:val="000C1781"/>
    <w:rsid w:val="000C1B6F"/>
    <w:rsid w:val="000C20F7"/>
    <w:rsid w:val="000C2BFE"/>
    <w:rsid w:val="000C31E5"/>
    <w:rsid w:val="000C3D4C"/>
    <w:rsid w:val="000C46F3"/>
    <w:rsid w:val="000C7CC7"/>
    <w:rsid w:val="000D074C"/>
    <w:rsid w:val="000D1BA8"/>
    <w:rsid w:val="000D39EE"/>
    <w:rsid w:val="000D4A41"/>
    <w:rsid w:val="000D4E21"/>
    <w:rsid w:val="000D59E2"/>
    <w:rsid w:val="000D5A5C"/>
    <w:rsid w:val="000D6C88"/>
    <w:rsid w:val="000D76F4"/>
    <w:rsid w:val="000D7836"/>
    <w:rsid w:val="000D7C83"/>
    <w:rsid w:val="000D7EFD"/>
    <w:rsid w:val="000E08FE"/>
    <w:rsid w:val="000E3639"/>
    <w:rsid w:val="000E4202"/>
    <w:rsid w:val="000E4745"/>
    <w:rsid w:val="000E488F"/>
    <w:rsid w:val="000E4A68"/>
    <w:rsid w:val="000E4B01"/>
    <w:rsid w:val="000E4BA6"/>
    <w:rsid w:val="000E4F73"/>
    <w:rsid w:val="000E5868"/>
    <w:rsid w:val="000E5AA8"/>
    <w:rsid w:val="000E690A"/>
    <w:rsid w:val="000E78FE"/>
    <w:rsid w:val="000F046E"/>
    <w:rsid w:val="000F13BA"/>
    <w:rsid w:val="000F63B6"/>
    <w:rsid w:val="000F765C"/>
    <w:rsid w:val="0010108E"/>
    <w:rsid w:val="00101618"/>
    <w:rsid w:val="001023AC"/>
    <w:rsid w:val="00103FE9"/>
    <w:rsid w:val="00104A6A"/>
    <w:rsid w:val="001074A1"/>
    <w:rsid w:val="0010753C"/>
    <w:rsid w:val="00110C6D"/>
    <w:rsid w:val="00113105"/>
    <w:rsid w:val="001135FA"/>
    <w:rsid w:val="001138B8"/>
    <w:rsid w:val="0011423A"/>
    <w:rsid w:val="00115834"/>
    <w:rsid w:val="00115AF5"/>
    <w:rsid w:val="00117E64"/>
    <w:rsid w:val="001209E7"/>
    <w:rsid w:val="00120B53"/>
    <w:rsid w:val="001215DC"/>
    <w:rsid w:val="001229C6"/>
    <w:rsid w:val="0012490F"/>
    <w:rsid w:val="00125040"/>
    <w:rsid w:val="0012611D"/>
    <w:rsid w:val="001266D5"/>
    <w:rsid w:val="00126D53"/>
    <w:rsid w:val="00127579"/>
    <w:rsid w:val="00130472"/>
    <w:rsid w:val="00131103"/>
    <w:rsid w:val="00133EE6"/>
    <w:rsid w:val="0013421A"/>
    <w:rsid w:val="0013434A"/>
    <w:rsid w:val="00134BE6"/>
    <w:rsid w:val="00134EEA"/>
    <w:rsid w:val="001357E1"/>
    <w:rsid w:val="0013596C"/>
    <w:rsid w:val="00135EA3"/>
    <w:rsid w:val="00136087"/>
    <w:rsid w:val="001366F9"/>
    <w:rsid w:val="001378AC"/>
    <w:rsid w:val="00142F01"/>
    <w:rsid w:val="00146517"/>
    <w:rsid w:val="00147C0E"/>
    <w:rsid w:val="00150CCD"/>
    <w:rsid w:val="0015200F"/>
    <w:rsid w:val="0015256A"/>
    <w:rsid w:val="00153722"/>
    <w:rsid w:val="0015385C"/>
    <w:rsid w:val="00153C19"/>
    <w:rsid w:val="00155283"/>
    <w:rsid w:val="001552F0"/>
    <w:rsid w:val="00155301"/>
    <w:rsid w:val="00155BD4"/>
    <w:rsid w:val="00156079"/>
    <w:rsid w:val="001615DE"/>
    <w:rsid w:val="00161C4F"/>
    <w:rsid w:val="00162178"/>
    <w:rsid w:val="00163233"/>
    <w:rsid w:val="00167874"/>
    <w:rsid w:val="00170E23"/>
    <w:rsid w:val="001722D8"/>
    <w:rsid w:val="00174A9A"/>
    <w:rsid w:val="001765F3"/>
    <w:rsid w:val="00180316"/>
    <w:rsid w:val="00180337"/>
    <w:rsid w:val="00182D6E"/>
    <w:rsid w:val="00182EA1"/>
    <w:rsid w:val="00183D4C"/>
    <w:rsid w:val="001849A2"/>
    <w:rsid w:val="00185268"/>
    <w:rsid w:val="001855C0"/>
    <w:rsid w:val="0018560D"/>
    <w:rsid w:val="00186B09"/>
    <w:rsid w:val="0019060B"/>
    <w:rsid w:val="00190E21"/>
    <w:rsid w:val="0019257A"/>
    <w:rsid w:val="00193514"/>
    <w:rsid w:val="001936BE"/>
    <w:rsid w:val="00193DF7"/>
    <w:rsid w:val="00194065"/>
    <w:rsid w:val="00194E8F"/>
    <w:rsid w:val="00194EEE"/>
    <w:rsid w:val="001962B3"/>
    <w:rsid w:val="001967FC"/>
    <w:rsid w:val="001970FB"/>
    <w:rsid w:val="00197516"/>
    <w:rsid w:val="001A025E"/>
    <w:rsid w:val="001A2835"/>
    <w:rsid w:val="001A36F0"/>
    <w:rsid w:val="001A4175"/>
    <w:rsid w:val="001A4E5E"/>
    <w:rsid w:val="001A57FD"/>
    <w:rsid w:val="001A5B43"/>
    <w:rsid w:val="001A5BE2"/>
    <w:rsid w:val="001A6222"/>
    <w:rsid w:val="001A7E0B"/>
    <w:rsid w:val="001B0DB1"/>
    <w:rsid w:val="001B307C"/>
    <w:rsid w:val="001B389C"/>
    <w:rsid w:val="001B3F56"/>
    <w:rsid w:val="001B4158"/>
    <w:rsid w:val="001B416B"/>
    <w:rsid w:val="001B4DF1"/>
    <w:rsid w:val="001B50D2"/>
    <w:rsid w:val="001B6F61"/>
    <w:rsid w:val="001C0209"/>
    <w:rsid w:val="001C1935"/>
    <w:rsid w:val="001C21CA"/>
    <w:rsid w:val="001C456C"/>
    <w:rsid w:val="001D04A8"/>
    <w:rsid w:val="001D04FF"/>
    <w:rsid w:val="001D17F4"/>
    <w:rsid w:val="001D1FEA"/>
    <w:rsid w:val="001D22D6"/>
    <w:rsid w:val="001D42E6"/>
    <w:rsid w:val="001D4975"/>
    <w:rsid w:val="001D49AD"/>
    <w:rsid w:val="001D6BA0"/>
    <w:rsid w:val="001D701F"/>
    <w:rsid w:val="001D709B"/>
    <w:rsid w:val="001D7FB5"/>
    <w:rsid w:val="001E0CF6"/>
    <w:rsid w:val="001E2D1E"/>
    <w:rsid w:val="001E3BA9"/>
    <w:rsid w:val="001E4B4D"/>
    <w:rsid w:val="001E4C57"/>
    <w:rsid w:val="001E6717"/>
    <w:rsid w:val="001E6750"/>
    <w:rsid w:val="001E689B"/>
    <w:rsid w:val="001E7243"/>
    <w:rsid w:val="001E7C1C"/>
    <w:rsid w:val="001F0233"/>
    <w:rsid w:val="001F10C2"/>
    <w:rsid w:val="001F14EB"/>
    <w:rsid w:val="001F4D95"/>
    <w:rsid w:val="001F7400"/>
    <w:rsid w:val="001F7BB0"/>
    <w:rsid w:val="001F7CA7"/>
    <w:rsid w:val="00201050"/>
    <w:rsid w:val="00201886"/>
    <w:rsid w:val="00201D91"/>
    <w:rsid w:val="00202A40"/>
    <w:rsid w:val="00203266"/>
    <w:rsid w:val="0020367E"/>
    <w:rsid w:val="0020471C"/>
    <w:rsid w:val="00204D0A"/>
    <w:rsid w:val="00204EA6"/>
    <w:rsid w:val="0020759E"/>
    <w:rsid w:val="00210593"/>
    <w:rsid w:val="002107FF"/>
    <w:rsid w:val="00210B1E"/>
    <w:rsid w:val="00212111"/>
    <w:rsid w:val="00213E49"/>
    <w:rsid w:val="002147CD"/>
    <w:rsid w:val="00215B35"/>
    <w:rsid w:val="00215F73"/>
    <w:rsid w:val="00217D8B"/>
    <w:rsid w:val="0022104D"/>
    <w:rsid w:val="00221916"/>
    <w:rsid w:val="0022196A"/>
    <w:rsid w:val="00221A06"/>
    <w:rsid w:val="002223AF"/>
    <w:rsid w:val="00224466"/>
    <w:rsid w:val="0022447A"/>
    <w:rsid w:val="00224692"/>
    <w:rsid w:val="00224714"/>
    <w:rsid w:val="002247AD"/>
    <w:rsid w:val="00224E67"/>
    <w:rsid w:val="002260BF"/>
    <w:rsid w:val="002267D0"/>
    <w:rsid w:val="00226A85"/>
    <w:rsid w:val="002276A7"/>
    <w:rsid w:val="0022DF0C"/>
    <w:rsid w:val="002310C9"/>
    <w:rsid w:val="00232288"/>
    <w:rsid w:val="00232FCD"/>
    <w:rsid w:val="00235F55"/>
    <w:rsid w:val="0023693F"/>
    <w:rsid w:val="00236BF8"/>
    <w:rsid w:val="0024009D"/>
    <w:rsid w:val="002400E5"/>
    <w:rsid w:val="002409BB"/>
    <w:rsid w:val="00241A82"/>
    <w:rsid w:val="00241E69"/>
    <w:rsid w:val="0024232D"/>
    <w:rsid w:val="0024454E"/>
    <w:rsid w:val="0024586E"/>
    <w:rsid w:val="0025038B"/>
    <w:rsid w:val="00250E1F"/>
    <w:rsid w:val="0025229C"/>
    <w:rsid w:val="00252EE5"/>
    <w:rsid w:val="00255506"/>
    <w:rsid w:val="002564C4"/>
    <w:rsid w:val="00256C78"/>
    <w:rsid w:val="00257190"/>
    <w:rsid w:val="00261221"/>
    <w:rsid w:val="0026130A"/>
    <w:rsid w:val="00261F15"/>
    <w:rsid w:val="00262041"/>
    <w:rsid w:val="0026208D"/>
    <w:rsid w:val="002655BB"/>
    <w:rsid w:val="00265E51"/>
    <w:rsid w:val="00266768"/>
    <w:rsid w:val="002678FB"/>
    <w:rsid w:val="00271066"/>
    <w:rsid w:val="002725E9"/>
    <w:rsid w:val="00272765"/>
    <w:rsid w:val="00272CF0"/>
    <w:rsid w:val="002734B7"/>
    <w:rsid w:val="002736E9"/>
    <w:rsid w:val="0027381C"/>
    <w:rsid w:val="00275CF5"/>
    <w:rsid w:val="002763AE"/>
    <w:rsid w:val="00280C09"/>
    <w:rsid w:val="00280E99"/>
    <w:rsid w:val="00281CE8"/>
    <w:rsid w:val="0028274C"/>
    <w:rsid w:val="002827DF"/>
    <w:rsid w:val="00282A85"/>
    <w:rsid w:val="00284631"/>
    <w:rsid w:val="00285866"/>
    <w:rsid w:val="00286170"/>
    <w:rsid w:val="0028671F"/>
    <w:rsid w:val="00290289"/>
    <w:rsid w:val="002910F0"/>
    <w:rsid w:val="0029176A"/>
    <w:rsid w:val="002921A1"/>
    <w:rsid w:val="0029251A"/>
    <w:rsid w:val="0029365F"/>
    <w:rsid w:val="00293965"/>
    <w:rsid w:val="00293BB0"/>
    <w:rsid w:val="00295391"/>
    <w:rsid w:val="002954AA"/>
    <w:rsid w:val="00295EBB"/>
    <w:rsid w:val="002975B9"/>
    <w:rsid w:val="002A11AD"/>
    <w:rsid w:val="002A1BCD"/>
    <w:rsid w:val="002A34E6"/>
    <w:rsid w:val="002A41A8"/>
    <w:rsid w:val="002A4B97"/>
    <w:rsid w:val="002A4F7A"/>
    <w:rsid w:val="002A6144"/>
    <w:rsid w:val="002B0545"/>
    <w:rsid w:val="002B09F4"/>
    <w:rsid w:val="002B1FE2"/>
    <w:rsid w:val="002B2B83"/>
    <w:rsid w:val="002B39F8"/>
    <w:rsid w:val="002B3F6F"/>
    <w:rsid w:val="002B492B"/>
    <w:rsid w:val="002B4E58"/>
    <w:rsid w:val="002B5961"/>
    <w:rsid w:val="002B7BB9"/>
    <w:rsid w:val="002B7C36"/>
    <w:rsid w:val="002C11E9"/>
    <w:rsid w:val="002C1531"/>
    <w:rsid w:val="002C25D3"/>
    <w:rsid w:val="002C34B8"/>
    <w:rsid w:val="002C4EE9"/>
    <w:rsid w:val="002C5F14"/>
    <w:rsid w:val="002C6300"/>
    <w:rsid w:val="002C688F"/>
    <w:rsid w:val="002C6917"/>
    <w:rsid w:val="002C6B74"/>
    <w:rsid w:val="002C6F14"/>
    <w:rsid w:val="002D04D3"/>
    <w:rsid w:val="002D0677"/>
    <w:rsid w:val="002D1B11"/>
    <w:rsid w:val="002D20E7"/>
    <w:rsid w:val="002D387C"/>
    <w:rsid w:val="002D4984"/>
    <w:rsid w:val="002D4BD2"/>
    <w:rsid w:val="002D56EC"/>
    <w:rsid w:val="002D6497"/>
    <w:rsid w:val="002D6802"/>
    <w:rsid w:val="002D7478"/>
    <w:rsid w:val="002D7CCE"/>
    <w:rsid w:val="002D7D55"/>
    <w:rsid w:val="002E08A7"/>
    <w:rsid w:val="002E1C57"/>
    <w:rsid w:val="002E2022"/>
    <w:rsid w:val="002E23EC"/>
    <w:rsid w:val="002E2D79"/>
    <w:rsid w:val="002E31EF"/>
    <w:rsid w:val="002E401D"/>
    <w:rsid w:val="002E4CE9"/>
    <w:rsid w:val="002E4E83"/>
    <w:rsid w:val="002E502E"/>
    <w:rsid w:val="002E589F"/>
    <w:rsid w:val="002E5FBF"/>
    <w:rsid w:val="002E70D5"/>
    <w:rsid w:val="002E75A7"/>
    <w:rsid w:val="002E7744"/>
    <w:rsid w:val="002E7EAD"/>
    <w:rsid w:val="002F0795"/>
    <w:rsid w:val="002F0E70"/>
    <w:rsid w:val="002F150D"/>
    <w:rsid w:val="002F2521"/>
    <w:rsid w:val="002F25C3"/>
    <w:rsid w:val="002F3D61"/>
    <w:rsid w:val="002F4854"/>
    <w:rsid w:val="002F4E3B"/>
    <w:rsid w:val="002F5E69"/>
    <w:rsid w:val="002F6126"/>
    <w:rsid w:val="002F6DDD"/>
    <w:rsid w:val="002F7F1A"/>
    <w:rsid w:val="00300C27"/>
    <w:rsid w:val="0030136A"/>
    <w:rsid w:val="003016AA"/>
    <w:rsid w:val="003018B0"/>
    <w:rsid w:val="00303306"/>
    <w:rsid w:val="003050ED"/>
    <w:rsid w:val="00306C97"/>
    <w:rsid w:val="00306EFA"/>
    <w:rsid w:val="00307C4F"/>
    <w:rsid w:val="003100A2"/>
    <w:rsid w:val="003112A9"/>
    <w:rsid w:val="0031139E"/>
    <w:rsid w:val="00311E85"/>
    <w:rsid w:val="003138FC"/>
    <w:rsid w:val="00313E8A"/>
    <w:rsid w:val="00314245"/>
    <w:rsid w:val="0031468F"/>
    <w:rsid w:val="0031479F"/>
    <w:rsid w:val="00315E40"/>
    <w:rsid w:val="00316788"/>
    <w:rsid w:val="00316DCC"/>
    <w:rsid w:val="003208C8"/>
    <w:rsid w:val="00322101"/>
    <w:rsid w:val="0032261D"/>
    <w:rsid w:val="00323B30"/>
    <w:rsid w:val="00324B1E"/>
    <w:rsid w:val="0032514C"/>
    <w:rsid w:val="00326644"/>
    <w:rsid w:val="00327378"/>
    <w:rsid w:val="00327D30"/>
    <w:rsid w:val="003310E3"/>
    <w:rsid w:val="00331938"/>
    <w:rsid w:val="00331B23"/>
    <w:rsid w:val="00331DCD"/>
    <w:rsid w:val="00333A2D"/>
    <w:rsid w:val="00334321"/>
    <w:rsid w:val="0033462C"/>
    <w:rsid w:val="00334D9F"/>
    <w:rsid w:val="00334DE1"/>
    <w:rsid w:val="00336B23"/>
    <w:rsid w:val="00336E30"/>
    <w:rsid w:val="0034134A"/>
    <w:rsid w:val="003415FE"/>
    <w:rsid w:val="0034232F"/>
    <w:rsid w:val="00343A3D"/>
    <w:rsid w:val="00343F69"/>
    <w:rsid w:val="00345686"/>
    <w:rsid w:val="00346073"/>
    <w:rsid w:val="00346908"/>
    <w:rsid w:val="0034721A"/>
    <w:rsid w:val="00347F4F"/>
    <w:rsid w:val="00350210"/>
    <w:rsid w:val="00350F76"/>
    <w:rsid w:val="00351743"/>
    <w:rsid w:val="003517A3"/>
    <w:rsid w:val="00351831"/>
    <w:rsid w:val="00351B39"/>
    <w:rsid w:val="00351D59"/>
    <w:rsid w:val="003524B0"/>
    <w:rsid w:val="003526BB"/>
    <w:rsid w:val="003550F2"/>
    <w:rsid w:val="003558B8"/>
    <w:rsid w:val="003559D3"/>
    <w:rsid w:val="00356959"/>
    <w:rsid w:val="0035701C"/>
    <w:rsid w:val="00360024"/>
    <w:rsid w:val="00362276"/>
    <w:rsid w:val="003632EE"/>
    <w:rsid w:val="00364745"/>
    <w:rsid w:val="0036497A"/>
    <w:rsid w:val="00366359"/>
    <w:rsid w:val="00370B57"/>
    <w:rsid w:val="00370CD6"/>
    <w:rsid w:val="00371825"/>
    <w:rsid w:val="0037227B"/>
    <w:rsid w:val="00373612"/>
    <w:rsid w:val="0037378C"/>
    <w:rsid w:val="00374988"/>
    <w:rsid w:val="003754BF"/>
    <w:rsid w:val="00375C19"/>
    <w:rsid w:val="0037705D"/>
    <w:rsid w:val="003772C6"/>
    <w:rsid w:val="00377D59"/>
    <w:rsid w:val="003804A3"/>
    <w:rsid w:val="00380D8A"/>
    <w:rsid w:val="00381A54"/>
    <w:rsid w:val="003824FA"/>
    <w:rsid w:val="00382EE1"/>
    <w:rsid w:val="003847D8"/>
    <w:rsid w:val="00384AA3"/>
    <w:rsid w:val="00385EC8"/>
    <w:rsid w:val="003865FB"/>
    <w:rsid w:val="00387FF8"/>
    <w:rsid w:val="00390A19"/>
    <w:rsid w:val="00390D71"/>
    <w:rsid w:val="0039133A"/>
    <w:rsid w:val="00391ACC"/>
    <w:rsid w:val="003942C9"/>
    <w:rsid w:val="003943D5"/>
    <w:rsid w:val="00395832"/>
    <w:rsid w:val="003979AE"/>
    <w:rsid w:val="00397C7F"/>
    <w:rsid w:val="003A0943"/>
    <w:rsid w:val="003A0BA1"/>
    <w:rsid w:val="003A2419"/>
    <w:rsid w:val="003A4B83"/>
    <w:rsid w:val="003A4D97"/>
    <w:rsid w:val="003A5C78"/>
    <w:rsid w:val="003A6B84"/>
    <w:rsid w:val="003A7E2F"/>
    <w:rsid w:val="003A7F3F"/>
    <w:rsid w:val="003B04CA"/>
    <w:rsid w:val="003B2E1F"/>
    <w:rsid w:val="003B356C"/>
    <w:rsid w:val="003B53B6"/>
    <w:rsid w:val="003B55AB"/>
    <w:rsid w:val="003B5A9A"/>
    <w:rsid w:val="003C09EA"/>
    <w:rsid w:val="003C1306"/>
    <w:rsid w:val="003C13C6"/>
    <w:rsid w:val="003C1F7C"/>
    <w:rsid w:val="003C20B2"/>
    <w:rsid w:val="003C2D6B"/>
    <w:rsid w:val="003C391B"/>
    <w:rsid w:val="003C501E"/>
    <w:rsid w:val="003C5470"/>
    <w:rsid w:val="003C57BB"/>
    <w:rsid w:val="003C6F64"/>
    <w:rsid w:val="003D0602"/>
    <w:rsid w:val="003D16B4"/>
    <w:rsid w:val="003D21B5"/>
    <w:rsid w:val="003D27F6"/>
    <w:rsid w:val="003D4300"/>
    <w:rsid w:val="003D5132"/>
    <w:rsid w:val="003D61A8"/>
    <w:rsid w:val="003E2A67"/>
    <w:rsid w:val="003E46ED"/>
    <w:rsid w:val="003E4A11"/>
    <w:rsid w:val="003E4A41"/>
    <w:rsid w:val="003E508C"/>
    <w:rsid w:val="003E622C"/>
    <w:rsid w:val="003E634A"/>
    <w:rsid w:val="003E7547"/>
    <w:rsid w:val="003F1571"/>
    <w:rsid w:val="003F15D4"/>
    <w:rsid w:val="003F18A4"/>
    <w:rsid w:val="003F267F"/>
    <w:rsid w:val="003F3149"/>
    <w:rsid w:val="003F3151"/>
    <w:rsid w:val="003F354B"/>
    <w:rsid w:val="003F417E"/>
    <w:rsid w:val="003F4F73"/>
    <w:rsid w:val="00400149"/>
    <w:rsid w:val="004003D1"/>
    <w:rsid w:val="00401229"/>
    <w:rsid w:val="004012A0"/>
    <w:rsid w:val="00401B4D"/>
    <w:rsid w:val="00402B47"/>
    <w:rsid w:val="00403D7E"/>
    <w:rsid w:val="00404793"/>
    <w:rsid w:val="0040704D"/>
    <w:rsid w:val="00411AC0"/>
    <w:rsid w:val="00411BDD"/>
    <w:rsid w:val="00414CDD"/>
    <w:rsid w:val="004163D7"/>
    <w:rsid w:val="004206D8"/>
    <w:rsid w:val="00421775"/>
    <w:rsid w:val="004220DE"/>
    <w:rsid w:val="00422213"/>
    <w:rsid w:val="00422A0B"/>
    <w:rsid w:val="0042380D"/>
    <w:rsid w:val="004269CF"/>
    <w:rsid w:val="00427EF9"/>
    <w:rsid w:val="00427F34"/>
    <w:rsid w:val="00427FBF"/>
    <w:rsid w:val="0043012E"/>
    <w:rsid w:val="00430812"/>
    <w:rsid w:val="00430D26"/>
    <w:rsid w:val="00433316"/>
    <w:rsid w:val="00433577"/>
    <w:rsid w:val="0043393D"/>
    <w:rsid w:val="00436C3A"/>
    <w:rsid w:val="004412D5"/>
    <w:rsid w:val="0044233D"/>
    <w:rsid w:val="00442993"/>
    <w:rsid w:val="0044396F"/>
    <w:rsid w:val="00444303"/>
    <w:rsid w:val="00444554"/>
    <w:rsid w:val="00444BD9"/>
    <w:rsid w:val="0044587B"/>
    <w:rsid w:val="00446026"/>
    <w:rsid w:val="004478CA"/>
    <w:rsid w:val="004523FE"/>
    <w:rsid w:val="00452639"/>
    <w:rsid w:val="00453786"/>
    <w:rsid w:val="00455A9C"/>
    <w:rsid w:val="004561EE"/>
    <w:rsid w:val="0045694E"/>
    <w:rsid w:val="00456EAE"/>
    <w:rsid w:val="00457124"/>
    <w:rsid w:val="00457711"/>
    <w:rsid w:val="00457918"/>
    <w:rsid w:val="00457950"/>
    <w:rsid w:val="004603AD"/>
    <w:rsid w:val="004605F2"/>
    <w:rsid w:val="00461216"/>
    <w:rsid w:val="00462EDD"/>
    <w:rsid w:val="00463BF1"/>
    <w:rsid w:val="00464ADF"/>
    <w:rsid w:val="00464B6D"/>
    <w:rsid w:val="00464D42"/>
    <w:rsid w:val="00465074"/>
    <w:rsid w:val="00466164"/>
    <w:rsid w:val="00466390"/>
    <w:rsid w:val="00466A47"/>
    <w:rsid w:val="00466C80"/>
    <w:rsid w:val="00467A58"/>
    <w:rsid w:val="00467BD6"/>
    <w:rsid w:val="00470868"/>
    <w:rsid w:val="004726B3"/>
    <w:rsid w:val="004727C2"/>
    <w:rsid w:val="004730BE"/>
    <w:rsid w:val="00473AC1"/>
    <w:rsid w:val="00474AC8"/>
    <w:rsid w:val="00477B37"/>
    <w:rsid w:val="004816C1"/>
    <w:rsid w:val="00482908"/>
    <w:rsid w:val="00482CC1"/>
    <w:rsid w:val="0048361E"/>
    <w:rsid w:val="004837DC"/>
    <w:rsid w:val="00484365"/>
    <w:rsid w:val="0048484D"/>
    <w:rsid w:val="00485019"/>
    <w:rsid w:val="004854D3"/>
    <w:rsid w:val="00485E1E"/>
    <w:rsid w:val="004879B8"/>
    <w:rsid w:val="00490330"/>
    <w:rsid w:val="0049287F"/>
    <w:rsid w:val="00492CAB"/>
    <w:rsid w:val="00494B89"/>
    <w:rsid w:val="00494D4B"/>
    <w:rsid w:val="004951E8"/>
    <w:rsid w:val="004966FE"/>
    <w:rsid w:val="00496C75"/>
    <w:rsid w:val="00496EAA"/>
    <w:rsid w:val="004971F1"/>
    <w:rsid w:val="004A0A15"/>
    <w:rsid w:val="004A2974"/>
    <w:rsid w:val="004A3001"/>
    <w:rsid w:val="004A3258"/>
    <w:rsid w:val="004A6A8F"/>
    <w:rsid w:val="004A6DD1"/>
    <w:rsid w:val="004B0F31"/>
    <w:rsid w:val="004B1132"/>
    <w:rsid w:val="004B1AF1"/>
    <w:rsid w:val="004B2192"/>
    <w:rsid w:val="004B2CAC"/>
    <w:rsid w:val="004B2DC3"/>
    <w:rsid w:val="004B30A3"/>
    <w:rsid w:val="004B3295"/>
    <w:rsid w:val="004B33EA"/>
    <w:rsid w:val="004B3704"/>
    <w:rsid w:val="004B391E"/>
    <w:rsid w:val="004B60A5"/>
    <w:rsid w:val="004B7931"/>
    <w:rsid w:val="004B7DC9"/>
    <w:rsid w:val="004C0575"/>
    <w:rsid w:val="004C0F47"/>
    <w:rsid w:val="004C1AE7"/>
    <w:rsid w:val="004C1B57"/>
    <w:rsid w:val="004C2BB5"/>
    <w:rsid w:val="004C31EB"/>
    <w:rsid w:val="004C3A05"/>
    <w:rsid w:val="004C3E54"/>
    <w:rsid w:val="004C5206"/>
    <w:rsid w:val="004C5E84"/>
    <w:rsid w:val="004C64E7"/>
    <w:rsid w:val="004C6BF5"/>
    <w:rsid w:val="004C73AF"/>
    <w:rsid w:val="004C74F8"/>
    <w:rsid w:val="004D06BA"/>
    <w:rsid w:val="004D0EEC"/>
    <w:rsid w:val="004D32C3"/>
    <w:rsid w:val="004D3C6E"/>
    <w:rsid w:val="004D50F6"/>
    <w:rsid w:val="004D5146"/>
    <w:rsid w:val="004D549E"/>
    <w:rsid w:val="004D72BB"/>
    <w:rsid w:val="004D7623"/>
    <w:rsid w:val="004E069E"/>
    <w:rsid w:val="004E12D4"/>
    <w:rsid w:val="004E13F6"/>
    <w:rsid w:val="004E141D"/>
    <w:rsid w:val="004E1DC8"/>
    <w:rsid w:val="004E1FF6"/>
    <w:rsid w:val="004E23DD"/>
    <w:rsid w:val="004E259E"/>
    <w:rsid w:val="004E504E"/>
    <w:rsid w:val="004E5F60"/>
    <w:rsid w:val="004E6FA2"/>
    <w:rsid w:val="004E7487"/>
    <w:rsid w:val="004F2496"/>
    <w:rsid w:val="004F25F4"/>
    <w:rsid w:val="004F277F"/>
    <w:rsid w:val="004F3641"/>
    <w:rsid w:val="004F3AFD"/>
    <w:rsid w:val="004F3B57"/>
    <w:rsid w:val="004F3F73"/>
    <w:rsid w:val="004F41FE"/>
    <w:rsid w:val="004F4571"/>
    <w:rsid w:val="004F6040"/>
    <w:rsid w:val="004F63CD"/>
    <w:rsid w:val="00502998"/>
    <w:rsid w:val="00504A64"/>
    <w:rsid w:val="00504F0B"/>
    <w:rsid w:val="0050611B"/>
    <w:rsid w:val="00507BC3"/>
    <w:rsid w:val="0051029C"/>
    <w:rsid w:val="00510390"/>
    <w:rsid w:val="00510655"/>
    <w:rsid w:val="005106CA"/>
    <w:rsid w:val="00512E06"/>
    <w:rsid w:val="00512F67"/>
    <w:rsid w:val="00515112"/>
    <w:rsid w:val="005171E0"/>
    <w:rsid w:val="005173AB"/>
    <w:rsid w:val="00520DE7"/>
    <w:rsid w:val="00521BEE"/>
    <w:rsid w:val="00522350"/>
    <w:rsid w:val="00523670"/>
    <w:rsid w:val="00523772"/>
    <w:rsid w:val="00523C26"/>
    <w:rsid w:val="005246B0"/>
    <w:rsid w:val="00525D74"/>
    <w:rsid w:val="00526D67"/>
    <w:rsid w:val="005271DC"/>
    <w:rsid w:val="005278BA"/>
    <w:rsid w:val="00527BF5"/>
    <w:rsid w:val="0053032B"/>
    <w:rsid w:val="00530561"/>
    <w:rsid w:val="00530DB0"/>
    <w:rsid w:val="0053190B"/>
    <w:rsid w:val="00531A41"/>
    <w:rsid w:val="00531E11"/>
    <w:rsid w:val="00533CAF"/>
    <w:rsid w:val="005349A5"/>
    <w:rsid w:val="00540FF8"/>
    <w:rsid w:val="00541866"/>
    <w:rsid w:val="00541988"/>
    <w:rsid w:val="00541D66"/>
    <w:rsid w:val="00543F6A"/>
    <w:rsid w:val="00545562"/>
    <w:rsid w:val="00545BAB"/>
    <w:rsid w:val="0054669C"/>
    <w:rsid w:val="00546DC0"/>
    <w:rsid w:val="00547A9D"/>
    <w:rsid w:val="00547E18"/>
    <w:rsid w:val="0055132B"/>
    <w:rsid w:val="005518E4"/>
    <w:rsid w:val="005521BE"/>
    <w:rsid w:val="00553319"/>
    <w:rsid w:val="005535B5"/>
    <w:rsid w:val="00556984"/>
    <w:rsid w:val="00556EC4"/>
    <w:rsid w:val="0055711F"/>
    <w:rsid w:val="00557FA3"/>
    <w:rsid w:val="0056020F"/>
    <w:rsid w:val="00560E0A"/>
    <w:rsid w:val="0056202F"/>
    <w:rsid w:val="005635A9"/>
    <w:rsid w:val="005652EE"/>
    <w:rsid w:val="00565662"/>
    <w:rsid w:val="00567CCD"/>
    <w:rsid w:val="00570628"/>
    <w:rsid w:val="005710F5"/>
    <w:rsid w:val="00572182"/>
    <w:rsid w:val="00577309"/>
    <w:rsid w:val="0057753A"/>
    <w:rsid w:val="00577BC5"/>
    <w:rsid w:val="005824F1"/>
    <w:rsid w:val="00584382"/>
    <w:rsid w:val="00584DFC"/>
    <w:rsid w:val="005854D3"/>
    <w:rsid w:val="00585F22"/>
    <w:rsid w:val="005861AE"/>
    <w:rsid w:val="005865EE"/>
    <w:rsid w:val="00587EF6"/>
    <w:rsid w:val="00590630"/>
    <w:rsid w:val="00590E73"/>
    <w:rsid w:val="005916AF"/>
    <w:rsid w:val="00591D8B"/>
    <w:rsid w:val="00591E27"/>
    <w:rsid w:val="005920CB"/>
    <w:rsid w:val="0059272E"/>
    <w:rsid w:val="005933D0"/>
    <w:rsid w:val="00595277"/>
    <w:rsid w:val="005961B9"/>
    <w:rsid w:val="00597117"/>
    <w:rsid w:val="005971AF"/>
    <w:rsid w:val="00597EA7"/>
    <w:rsid w:val="005A0706"/>
    <w:rsid w:val="005A0AFC"/>
    <w:rsid w:val="005A1631"/>
    <w:rsid w:val="005A1E0F"/>
    <w:rsid w:val="005A246F"/>
    <w:rsid w:val="005A29CC"/>
    <w:rsid w:val="005A2C54"/>
    <w:rsid w:val="005A2FAA"/>
    <w:rsid w:val="005A34A7"/>
    <w:rsid w:val="005A684D"/>
    <w:rsid w:val="005A799B"/>
    <w:rsid w:val="005B053D"/>
    <w:rsid w:val="005B0833"/>
    <w:rsid w:val="005B0D1F"/>
    <w:rsid w:val="005B2320"/>
    <w:rsid w:val="005B2606"/>
    <w:rsid w:val="005B269A"/>
    <w:rsid w:val="005B326D"/>
    <w:rsid w:val="005B3CDC"/>
    <w:rsid w:val="005B3D58"/>
    <w:rsid w:val="005B4611"/>
    <w:rsid w:val="005B5A7D"/>
    <w:rsid w:val="005C0096"/>
    <w:rsid w:val="005C08A1"/>
    <w:rsid w:val="005C15F7"/>
    <w:rsid w:val="005C1AC5"/>
    <w:rsid w:val="005C32F3"/>
    <w:rsid w:val="005C34CA"/>
    <w:rsid w:val="005C3CF0"/>
    <w:rsid w:val="005C3E1F"/>
    <w:rsid w:val="005C3ECD"/>
    <w:rsid w:val="005C4E5A"/>
    <w:rsid w:val="005C78B3"/>
    <w:rsid w:val="005D02FC"/>
    <w:rsid w:val="005D119B"/>
    <w:rsid w:val="005D2900"/>
    <w:rsid w:val="005D3512"/>
    <w:rsid w:val="005D3B78"/>
    <w:rsid w:val="005D3E59"/>
    <w:rsid w:val="005D42A9"/>
    <w:rsid w:val="005D513C"/>
    <w:rsid w:val="005D5304"/>
    <w:rsid w:val="005E0C48"/>
    <w:rsid w:val="005E1651"/>
    <w:rsid w:val="005E1A83"/>
    <w:rsid w:val="005E31AC"/>
    <w:rsid w:val="005E34FD"/>
    <w:rsid w:val="005E45B0"/>
    <w:rsid w:val="005E5043"/>
    <w:rsid w:val="005E58C2"/>
    <w:rsid w:val="005F0581"/>
    <w:rsid w:val="005F1EEB"/>
    <w:rsid w:val="005F252F"/>
    <w:rsid w:val="005F5EDA"/>
    <w:rsid w:val="005F608E"/>
    <w:rsid w:val="005F7D0D"/>
    <w:rsid w:val="006013D2"/>
    <w:rsid w:val="00601C5A"/>
    <w:rsid w:val="00602E3C"/>
    <w:rsid w:val="00603461"/>
    <w:rsid w:val="006068B4"/>
    <w:rsid w:val="006079B4"/>
    <w:rsid w:val="00607B0F"/>
    <w:rsid w:val="00607C87"/>
    <w:rsid w:val="006106CD"/>
    <w:rsid w:val="006116FE"/>
    <w:rsid w:val="00611B90"/>
    <w:rsid w:val="00614293"/>
    <w:rsid w:val="00614FF0"/>
    <w:rsid w:val="00616AB4"/>
    <w:rsid w:val="00617877"/>
    <w:rsid w:val="00617ED1"/>
    <w:rsid w:val="006200F6"/>
    <w:rsid w:val="00620CC0"/>
    <w:rsid w:val="00621840"/>
    <w:rsid w:val="006222FA"/>
    <w:rsid w:val="006224FC"/>
    <w:rsid w:val="006246EB"/>
    <w:rsid w:val="006254A4"/>
    <w:rsid w:val="00625A7C"/>
    <w:rsid w:val="006260BC"/>
    <w:rsid w:val="00626339"/>
    <w:rsid w:val="00626577"/>
    <w:rsid w:val="0063002E"/>
    <w:rsid w:val="006314BC"/>
    <w:rsid w:val="00631F76"/>
    <w:rsid w:val="006320E9"/>
    <w:rsid w:val="00632B6F"/>
    <w:rsid w:val="006330AD"/>
    <w:rsid w:val="00635CE2"/>
    <w:rsid w:val="00637245"/>
    <w:rsid w:val="0063782C"/>
    <w:rsid w:val="00637F9C"/>
    <w:rsid w:val="00640595"/>
    <w:rsid w:val="00641968"/>
    <w:rsid w:val="00644395"/>
    <w:rsid w:val="006449C9"/>
    <w:rsid w:val="006461FB"/>
    <w:rsid w:val="00650D65"/>
    <w:rsid w:val="00650D9E"/>
    <w:rsid w:val="00656077"/>
    <w:rsid w:val="006569D7"/>
    <w:rsid w:val="00656DFE"/>
    <w:rsid w:val="00656E38"/>
    <w:rsid w:val="00657D8D"/>
    <w:rsid w:val="00660576"/>
    <w:rsid w:val="0066185B"/>
    <w:rsid w:val="0066786F"/>
    <w:rsid w:val="00667FF1"/>
    <w:rsid w:val="00670A50"/>
    <w:rsid w:val="0067190E"/>
    <w:rsid w:val="006737F6"/>
    <w:rsid w:val="00673E4A"/>
    <w:rsid w:val="006750CB"/>
    <w:rsid w:val="00675784"/>
    <w:rsid w:val="006757CD"/>
    <w:rsid w:val="00676F5C"/>
    <w:rsid w:val="0067747F"/>
    <w:rsid w:val="00677483"/>
    <w:rsid w:val="006777EF"/>
    <w:rsid w:val="006817A6"/>
    <w:rsid w:val="006818BE"/>
    <w:rsid w:val="0068195E"/>
    <w:rsid w:val="00681D20"/>
    <w:rsid w:val="00681D46"/>
    <w:rsid w:val="00681D62"/>
    <w:rsid w:val="00681ED2"/>
    <w:rsid w:val="006821C2"/>
    <w:rsid w:val="006829CF"/>
    <w:rsid w:val="00684395"/>
    <w:rsid w:val="006843D1"/>
    <w:rsid w:val="00684D06"/>
    <w:rsid w:val="0068535B"/>
    <w:rsid w:val="00685DCD"/>
    <w:rsid w:val="00686075"/>
    <w:rsid w:val="00686E44"/>
    <w:rsid w:val="0068706A"/>
    <w:rsid w:val="00687159"/>
    <w:rsid w:val="006879C8"/>
    <w:rsid w:val="0068D30D"/>
    <w:rsid w:val="006909E9"/>
    <w:rsid w:val="0069214F"/>
    <w:rsid w:val="006921DD"/>
    <w:rsid w:val="00692C42"/>
    <w:rsid w:val="0069385B"/>
    <w:rsid w:val="006949BB"/>
    <w:rsid w:val="00695394"/>
    <w:rsid w:val="00695B1B"/>
    <w:rsid w:val="0069615E"/>
    <w:rsid w:val="00696F46"/>
    <w:rsid w:val="006A0D78"/>
    <w:rsid w:val="006A18B3"/>
    <w:rsid w:val="006A36E4"/>
    <w:rsid w:val="006A38AE"/>
    <w:rsid w:val="006A486D"/>
    <w:rsid w:val="006A4AFD"/>
    <w:rsid w:val="006A624D"/>
    <w:rsid w:val="006A6F7F"/>
    <w:rsid w:val="006B0D06"/>
    <w:rsid w:val="006B0E36"/>
    <w:rsid w:val="006B0F2B"/>
    <w:rsid w:val="006B1170"/>
    <w:rsid w:val="006B2682"/>
    <w:rsid w:val="006B3F67"/>
    <w:rsid w:val="006B5076"/>
    <w:rsid w:val="006B50D4"/>
    <w:rsid w:val="006B6C1C"/>
    <w:rsid w:val="006B7816"/>
    <w:rsid w:val="006C1AFA"/>
    <w:rsid w:val="006C240C"/>
    <w:rsid w:val="006C2769"/>
    <w:rsid w:val="006C2DF5"/>
    <w:rsid w:val="006C3879"/>
    <w:rsid w:val="006C5291"/>
    <w:rsid w:val="006C5426"/>
    <w:rsid w:val="006C7878"/>
    <w:rsid w:val="006C7960"/>
    <w:rsid w:val="006C7B4D"/>
    <w:rsid w:val="006D0DB6"/>
    <w:rsid w:val="006D25BB"/>
    <w:rsid w:val="006D304F"/>
    <w:rsid w:val="006D363A"/>
    <w:rsid w:val="006D3BF5"/>
    <w:rsid w:val="006D5492"/>
    <w:rsid w:val="006D57FF"/>
    <w:rsid w:val="006D626D"/>
    <w:rsid w:val="006D67B9"/>
    <w:rsid w:val="006D7645"/>
    <w:rsid w:val="006D7D00"/>
    <w:rsid w:val="006E045D"/>
    <w:rsid w:val="006E12D4"/>
    <w:rsid w:val="006E1380"/>
    <w:rsid w:val="006E1E70"/>
    <w:rsid w:val="006E311E"/>
    <w:rsid w:val="006E3762"/>
    <w:rsid w:val="006E3821"/>
    <w:rsid w:val="006E5181"/>
    <w:rsid w:val="006E690D"/>
    <w:rsid w:val="006E789B"/>
    <w:rsid w:val="006E7C4E"/>
    <w:rsid w:val="006F0156"/>
    <w:rsid w:val="006F0DD1"/>
    <w:rsid w:val="006F1C22"/>
    <w:rsid w:val="006F1CEC"/>
    <w:rsid w:val="006F2528"/>
    <w:rsid w:val="006F263E"/>
    <w:rsid w:val="006F2D56"/>
    <w:rsid w:val="006F326F"/>
    <w:rsid w:val="006F6524"/>
    <w:rsid w:val="006F7D2B"/>
    <w:rsid w:val="0070016B"/>
    <w:rsid w:val="007007A3"/>
    <w:rsid w:val="00700FD8"/>
    <w:rsid w:val="007031B7"/>
    <w:rsid w:val="007046C5"/>
    <w:rsid w:val="0070715D"/>
    <w:rsid w:val="00710A26"/>
    <w:rsid w:val="00711792"/>
    <w:rsid w:val="00712607"/>
    <w:rsid w:val="00712EB6"/>
    <w:rsid w:val="00713E95"/>
    <w:rsid w:val="00714BC4"/>
    <w:rsid w:val="00715220"/>
    <w:rsid w:val="00715222"/>
    <w:rsid w:val="0071549A"/>
    <w:rsid w:val="00716A54"/>
    <w:rsid w:val="007173BC"/>
    <w:rsid w:val="007176FE"/>
    <w:rsid w:val="0072076F"/>
    <w:rsid w:val="007211BE"/>
    <w:rsid w:val="00721D27"/>
    <w:rsid w:val="007224D4"/>
    <w:rsid w:val="007225C9"/>
    <w:rsid w:val="007229B6"/>
    <w:rsid w:val="00723659"/>
    <w:rsid w:val="007247B7"/>
    <w:rsid w:val="00725531"/>
    <w:rsid w:val="00726F02"/>
    <w:rsid w:val="00727AFB"/>
    <w:rsid w:val="00727F10"/>
    <w:rsid w:val="00727FE7"/>
    <w:rsid w:val="007308FE"/>
    <w:rsid w:val="007310D9"/>
    <w:rsid w:val="007316D3"/>
    <w:rsid w:val="00731A13"/>
    <w:rsid w:val="007342E3"/>
    <w:rsid w:val="00734D72"/>
    <w:rsid w:val="00735480"/>
    <w:rsid w:val="007359C7"/>
    <w:rsid w:val="00736977"/>
    <w:rsid w:val="0073772C"/>
    <w:rsid w:val="00741A5C"/>
    <w:rsid w:val="00742B4A"/>
    <w:rsid w:val="007449BF"/>
    <w:rsid w:val="00745FE6"/>
    <w:rsid w:val="0074788C"/>
    <w:rsid w:val="00751A9D"/>
    <w:rsid w:val="00752242"/>
    <w:rsid w:val="007535E7"/>
    <w:rsid w:val="00753A39"/>
    <w:rsid w:val="00755595"/>
    <w:rsid w:val="007557AF"/>
    <w:rsid w:val="00756037"/>
    <w:rsid w:val="00757FD8"/>
    <w:rsid w:val="007600C9"/>
    <w:rsid w:val="00761C71"/>
    <w:rsid w:val="007627B9"/>
    <w:rsid w:val="00762DDE"/>
    <w:rsid w:val="00763ED2"/>
    <w:rsid w:val="00763F5B"/>
    <w:rsid w:val="00766F20"/>
    <w:rsid w:val="00767472"/>
    <w:rsid w:val="00767A63"/>
    <w:rsid w:val="00767D38"/>
    <w:rsid w:val="00770976"/>
    <w:rsid w:val="00772B2E"/>
    <w:rsid w:val="00775995"/>
    <w:rsid w:val="00776277"/>
    <w:rsid w:val="0077698F"/>
    <w:rsid w:val="007770BD"/>
    <w:rsid w:val="007804BF"/>
    <w:rsid w:val="00780E0D"/>
    <w:rsid w:val="0078168D"/>
    <w:rsid w:val="00781776"/>
    <w:rsid w:val="00783764"/>
    <w:rsid w:val="00783E66"/>
    <w:rsid w:val="007847A7"/>
    <w:rsid w:val="00785089"/>
    <w:rsid w:val="0078542D"/>
    <w:rsid w:val="00785DD9"/>
    <w:rsid w:val="007870CF"/>
    <w:rsid w:val="0078755A"/>
    <w:rsid w:val="00787E89"/>
    <w:rsid w:val="007946EA"/>
    <w:rsid w:val="00794A5E"/>
    <w:rsid w:val="0079570B"/>
    <w:rsid w:val="00796589"/>
    <w:rsid w:val="00796D93"/>
    <w:rsid w:val="00797CE0"/>
    <w:rsid w:val="007A45B7"/>
    <w:rsid w:val="007A4DC5"/>
    <w:rsid w:val="007A6AE5"/>
    <w:rsid w:val="007A6D89"/>
    <w:rsid w:val="007B0346"/>
    <w:rsid w:val="007B0B76"/>
    <w:rsid w:val="007B18F1"/>
    <w:rsid w:val="007B2A80"/>
    <w:rsid w:val="007B2B9E"/>
    <w:rsid w:val="007B2E0D"/>
    <w:rsid w:val="007B3143"/>
    <w:rsid w:val="007B3563"/>
    <w:rsid w:val="007B6DF2"/>
    <w:rsid w:val="007B6E5B"/>
    <w:rsid w:val="007C2B68"/>
    <w:rsid w:val="007C4EF2"/>
    <w:rsid w:val="007C6787"/>
    <w:rsid w:val="007C7FEB"/>
    <w:rsid w:val="007D0565"/>
    <w:rsid w:val="007D310A"/>
    <w:rsid w:val="007D3F8F"/>
    <w:rsid w:val="007D418C"/>
    <w:rsid w:val="007D43AE"/>
    <w:rsid w:val="007D7E03"/>
    <w:rsid w:val="007E1135"/>
    <w:rsid w:val="007E123A"/>
    <w:rsid w:val="007E13DB"/>
    <w:rsid w:val="007E22F7"/>
    <w:rsid w:val="007E2E82"/>
    <w:rsid w:val="007E4009"/>
    <w:rsid w:val="007E43EC"/>
    <w:rsid w:val="007E6FFE"/>
    <w:rsid w:val="007F08CB"/>
    <w:rsid w:val="007F0DE2"/>
    <w:rsid w:val="007F11EA"/>
    <w:rsid w:val="007F131A"/>
    <w:rsid w:val="007F13C6"/>
    <w:rsid w:val="007F13D1"/>
    <w:rsid w:val="007F1E17"/>
    <w:rsid w:val="007F2661"/>
    <w:rsid w:val="007F3642"/>
    <w:rsid w:val="007F3648"/>
    <w:rsid w:val="007F3717"/>
    <w:rsid w:val="007F3D0C"/>
    <w:rsid w:val="007F418D"/>
    <w:rsid w:val="007F45B4"/>
    <w:rsid w:val="007F5DD2"/>
    <w:rsid w:val="007F6469"/>
    <w:rsid w:val="007F76C4"/>
    <w:rsid w:val="007F778F"/>
    <w:rsid w:val="00800328"/>
    <w:rsid w:val="0080136A"/>
    <w:rsid w:val="00801AAF"/>
    <w:rsid w:val="00801B64"/>
    <w:rsid w:val="0080295F"/>
    <w:rsid w:val="00802964"/>
    <w:rsid w:val="00802AA9"/>
    <w:rsid w:val="00803666"/>
    <w:rsid w:val="0080387B"/>
    <w:rsid w:val="00803A01"/>
    <w:rsid w:val="00804029"/>
    <w:rsid w:val="0080426C"/>
    <w:rsid w:val="008042C5"/>
    <w:rsid w:val="0080528F"/>
    <w:rsid w:val="0080731D"/>
    <w:rsid w:val="00807A87"/>
    <w:rsid w:val="00812402"/>
    <w:rsid w:val="00812D11"/>
    <w:rsid w:val="00815AAA"/>
    <w:rsid w:val="00815E8F"/>
    <w:rsid w:val="008206F1"/>
    <w:rsid w:val="0082381D"/>
    <w:rsid w:val="008275C6"/>
    <w:rsid w:val="00827CAD"/>
    <w:rsid w:val="00827E74"/>
    <w:rsid w:val="008303AC"/>
    <w:rsid w:val="008317C5"/>
    <w:rsid w:val="00831975"/>
    <w:rsid w:val="00832955"/>
    <w:rsid w:val="008343F0"/>
    <w:rsid w:val="00834482"/>
    <w:rsid w:val="00835E74"/>
    <w:rsid w:val="00836208"/>
    <w:rsid w:val="0083681E"/>
    <w:rsid w:val="00837F7C"/>
    <w:rsid w:val="008408B4"/>
    <w:rsid w:val="00841ABD"/>
    <w:rsid w:val="0084253B"/>
    <w:rsid w:val="0084330A"/>
    <w:rsid w:val="00843640"/>
    <w:rsid w:val="00844879"/>
    <w:rsid w:val="008467BD"/>
    <w:rsid w:val="00847DD0"/>
    <w:rsid w:val="00852731"/>
    <w:rsid w:val="00856A6C"/>
    <w:rsid w:val="00856DEE"/>
    <w:rsid w:val="0086123B"/>
    <w:rsid w:val="00861563"/>
    <w:rsid w:val="008618F5"/>
    <w:rsid w:val="00863CDD"/>
    <w:rsid w:val="008642C6"/>
    <w:rsid w:val="008647C5"/>
    <w:rsid w:val="00865224"/>
    <w:rsid w:val="008655FB"/>
    <w:rsid w:val="00865CA2"/>
    <w:rsid w:val="00867A22"/>
    <w:rsid w:val="00872377"/>
    <w:rsid w:val="008728FD"/>
    <w:rsid w:val="008735A6"/>
    <w:rsid w:val="00873644"/>
    <w:rsid w:val="00873BD8"/>
    <w:rsid w:val="00873F9F"/>
    <w:rsid w:val="00875487"/>
    <w:rsid w:val="00880C11"/>
    <w:rsid w:val="00880D1C"/>
    <w:rsid w:val="00884EDC"/>
    <w:rsid w:val="00885FCD"/>
    <w:rsid w:val="008877C7"/>
    <w:rsid w:val="00890030"/>
    <w:rsid w:val="00890B2A"/>
    <w:rsid w:val="00890C69"/>
    <w:rsid w:val="008916DB"/>
    <w:rsid w:val="00892166"/>
    <w:rsid w:val="0089371E"/>
    <w:rsid w:val="00893728"/>
    <w:rsid w:val="00897EAF"/>
    <w:rsid w:val="008A20E7"/>
    <w:rsid w:val="008A2877"/>
    <w:rsid w:val="008A3B0D"/>
    <w:rsid w:val="008A3C12"/>
    <w:rsid w:val="008A4DB8"/>
    <w:rsid w:val="008A524B"/>
    <w:rsid w:val="008A5892"/>
    <w:rsid w:val="008A66DB"/>
    <w:rsid w:val="008A6C91"/>
    <w:rsid w:val="008A7027"/>
    <w:rsid w:val="008A7D1D"/>
    <w:rsid w:val="008A7E51"/>
    <w:rsid w:val="008B047F"/>
    <w:rsid w:val="008B0614"/>
    <w:rsid w:val="008B14E9"/>
    <w:rsid w:val="008B2A36"/>
    <w:rsid w:val="008B2C27"/>
    <w:rsid w:val="008B4734"/>
    <w:rsid w:val="008B5D03"/>
    <w:rsid w:val="008B685D"/>
    <w:rsid w:val="008B75B5"/>
    <w:rsid w:val="008C06B6"/>
    <w:rsid w:val="008C1B69"/>
    <w:rsid w:val="008C22A1"/>
    <w:rsid w:val="008C2CFF"/>
    <w:rsid w:val="008C3359"/>
    <w:rsid w:val="008C355E"/>
    <w:rsid w:val="008C3E79"/>
    <w:rsid w:val="008C6211"/>
    <w:rsid w:val="008C74F0"/>
    <w:rsid w:val="008D01C3"/>
    <w:rsid w:val="008D0B8A"/>
    <w:rsid w:val="008D1089"/>
    <w:rsid w:val="008D17C3"/>
    <w:rsid w:val="008D1D54"/>
    <w:rsid w:val="008D1FFF"/>
    <w:rsid w:val="008D26F8"/>
    <w:rsid w:val="008D2842"/>
    <w:rsid w:val="008D2C21"/>
    <w:rsid w:val="008D3E76"/>
    <w:rsid w:val="008D41C5"/>
    <w:rsid w:val="008D6609"/>
    <w:rsid w:val="008D7836"/>
    <w:rsid w:val="008E0260"/>
    <w:rsid w:val="008E0435"/>
    <w:rsid w:val="008E1BBA"/>
    <w:rsid w:val="008E232B"/>
    <w:rsid w:val="008E2BC7"/>
    <w:rsid w:val="008E322E"/>
    <w:rsid w:val="008E34AF"/>
    <w:rsid w:val="008E5197"/>
    <w:rsid w:val="008E5513"/>
    <w:rsid w:val="008E5FE2"/>
    <w:rsid w:val="008E647E"/>
    <w:rsid w:val="008E6833"/>
    <w:rsid w:val="008E6A94"/>
    <w:rsid w:val="008E6DF0"/>
    <w:rsid w:val="008E727C"/>
    <w:rsid w:val="008F0603"/>
    <w:rsid w:val="008F1384"/>
    <w:rsid w:val="008F18AC"/>
    <w:rsid w:val="008F2C57"/>
    <w:rsid w:val="008F4B41"/>
    <w:rsid w:val="008F506C"/>
    <w:rsid w:val="008F511B"/>
    <w:rsid w:val="008F7D2C"/>
    <w:rsid w:val="009009EC"/>
    <w:rsid w:val="00901531"/>
    <w:rsid w:val="00902688"/>
    <w:rsid w:val="009033C0"/>
    <w:rsid w:val="00903806"/>
    <w:rsid w:val="00904BD8"/>
    <w:rsid w:val="00906285"/>
    <w:rsid w:val="0090700E"/>
    <w:rsid w:val="00907735"/>
    <w:rsid w:val="00911ADC"/>
    <w:rsid w:val="00911D45"/>
    <w:rsid w:val="009120C5"/>
    <w:rsid w:val="00916791"/>
    <w:rsid w:val="00917632"/>
    <w:rsid w:val="00920B37"/>
    <w:rsid w:val="00920F4D"/>
    <w:rsid w:val="009221A4"/>
    <w:rsid w:val="00922213"/>
    <w:rsid w:val="00924572"/>
    <w:rsid w:val="0092636F"/>
    <w:rsid w:val="009267C3"/>
    <w:rsid w:val="009278F9"/>
    <w:rsid w:val="00927CAB"/>
    <w:rsid w:val="00930092"/>
    <w:rsid w:val="0093390F"/>
    <w:rsid w:val="00933DA0"/>
    <w:rsid w:val="0093422D"/>
    <w:rsid w:val="00935118"/>
    <w:rsid w:val="009353CC"/>
    <w:rsid w:val="00935683"/>
    <w:rsid w:val="00936F84"/>
    <w:rsid w:val="009371F3"/>
    <w:rsid w:val="009422F9"/>
    <w:rsid w:val="009430F8"/>
    <w:rsid w:val="00943165"/>
    <w:rsid w:val="009440B1"/>
    <w:rsid w:val="00945147"/>
    <w:rsid w:val="009454E1"/>
    <w:rsid w:val="00945CE5"/>
    <w:rsid w:val="00945E04"/>
    <w:rsid w:val="00946E3A"/>
    <w:rsid w:val="00947C6B"/>
    <w:rsid w:val="00947DAB"/>
    <w:rsid w:val="0095149A"/>
    <w:rsid w:val="009521B4"/>
    <w:rsid w:val="0095373F"/>
    <w:rsid w:val="0095423E"/>
    <w:rsid w:val="00955BAE"/>
    <w:rsid w:val="00960E81"/>
    <w:rsid w:val="009621AE"/>
    <w:rsid w:val="00964981"/>
    <w:rsid w:val="00964AB3"/>
    <w:rsid w:val="00964C0D"/>
    <w:rsid w:val="00964F0D"/>
    <w:rsid w:val="009657EE"/>
    <w:rsid w:val="00970181"/>
    <w:rsid w:val="009704FA"/>
    <w:rsid w:val="00970EE4"/>
    <w:rsid w:val="00971B20"/>
    <w:rsid w:val="0097271E"/>
    <w:rsid w:val="0097327C"/>
    <w:rsid w:val="0097329F"/>
    <w:rsid w:val="0097449A"/>
    <w:rsid w:val="00974B63"/>
    <w:rsid w:val="009756D7"/>
    <w:rsid w:val="00975C2C"/>
    <w:rsid w:val="00976E1E"/>
    <w:rsid w:val="009778E0"/>
    <w:rsid w:val="00980084"/>
    <w:rsid w:val="00980E46"/>
    <w:rsid w:val="00980E56"/>
    <w:rsid w:val="0098157F"/>
    <w:rsid w:val="00984C17"/>
    <w:rsid w:val="009866E5"/>
    <w:rsid w:val="0098678C"/>
    <w:rsid w:val="00987B39"/>
    <w:rsid w:val="00990B2B"/>
    <w:rsid w:val="00990E48"/>
    <w:rsid w:val="00990E75"/>
    <w:rsid w:val="00991169"/>
    <w:rsid w:val="00991946"/>
    <w:rsid w:val="009926FC"/>
    <w:rsid w:val="00993321"/>
    <w:rsid w:val="00993967"/>
    <w:rsid w:val="009946F7"/>
    <w:rsid w:val="00994856"/>
    <w:rsid w:val="00995845"/>
    <w:rsid w:val="00996332"/>
    <w:rsid w:val="009969A9"/>
    <w:rsid w:val="00996A51"/>
    <w:rsid w:val="00996BA2"/>
    <w:rsid w:val="009A0101"/>
    <w:rsid w:val="009A069E"/>
    <w:rsid w:val="009A0B96"/>
    <w:rsid w:val="009A1DD5"/>
    <w:rsid w:val="009A20F3"/>
    <w:rsid w:val="009A3D4A"/>
    <w:rsid w:val="009A65D0"/>
    <w:rsid w:val="009A7DCA"/>
    <w:rsid w:val="009A7F54"/>
    <w:rsid w:val="009B1108"/>
    <w:rsid w:val="009B15B4"/>
    <w:rsid w:val="009B5E5D"/>
    <w:rsid w:val="009B5E74"/>
    <w:rsid w:val="009B7BB9"/>
    <w:rsid w:val="009C33A4"/>
    <w:rsid w:val="009C40EA"/>
    <w:rsid w:val="009C49CC"/>
    <w:rsid w:val="009C4C6C"/>
    <w:rsid w:val="009C73F5"/>
    <w:rsid w:val="009C7BDF"/>
    <w:rsid w:val="009D0583"/>
    <w:rsid w:val="009D0F61"/>
    <w:rsid w:val="009D353C"/>
    <w:rsid w:val="009D533D"/>
    <w:rsid w:val="009D55B4"/>
    <w:rsid w:val="009D64CC"/>
    <w:rsid w:val="009D6E6F"/>
    <w:rsid w:val="009D7D92"/>
    <w:rsid w:val="009E34AE"/>
    <w:rsid w:val="009E3E8D"/>
    <w:rsid w:val="009E4399"/>
    <w:rsid w:val="009E48A8"/>
    <w:rsid w:val="009E49CA"/>
    <w:rsid w:val="009E4A66"/>
    <w:rsid w:val="009E60E7"/>
    <w:rsid w:val="009E65F5"/>
    <w:rsid w:val="009E6FFE"/>
    <w:rsid w:val="009F019D"/>
    <w:rsid w:val="009F0426"/>
    <w:rsid w:val="009F4052"/>
    <w:rsid w:val="009F5DC5"/>
    <w:rsid w:val="009F5EE4"/>
    <w:rsid w:val="009F665B"/>
    <w:rsid w:val="009F66DB"/>
    <w:rsid w:val="009F7C5E"/>
    <w:rsid w:val="00A01580"/>
    <w:rsid w:val="00A01BFF"/>
    <w:rsid w:val="00A01D51"/>
    <w:rsid w:val="00A023F8"/>
    <w:rsid w:val="00A0268E"/>
    <w:rsid w:val="00A02DDD"/>
    <w:rsid w:val="00A0423B"/>
    <w:rsid w:val="00A0698F"/>
    <w:rsid w:val="00A069FE"/>
    <w:rsid w:val="00A07653"/>
    <w:rsid w:val="00A10571"/>
    <w:rsid w:val="00A1161C"/>
    <w:rsid w:val="00A12022"/>
    <w:rsid w:val="00A13316"/>
    <w:rsid w:val="00A136DD"/>
    <w:rsid w:val="00A14C8C"/>
    <w:rsid w:val="00A161A8"/>
    <w:rsid w:val="00A20692"/>
    <w:rsid w:val="00A23458"/>
    <w:rsid w:val="00A24316"/>
    <w:rsid w:val="00A24B83"/>
    <w:rsid w:val="00A25365"/>
    <w:rsid w:val="00A254CF"/>
    <w:rsid w:val="00A26E31"/>
    <w:rsid w:val="00A3167F"/>
    <w:rsid w:val="00A31F84"/>
    <w:rsid w:val="00A3350E"/>
    <w:rsid w:val="00A349BC"/>
    <w:rsid w:val="00A3501B"/>
    <w:rsid w:val="00A358EC"/>
    <w:rsid w:val="00A36579"/>
    <w:rsid w:val="00A36ED5"/>
    <w:rsid w:val="00A37B00"/>
    <w:rsid w:val="00A37FE5"/>
    <w:rsid w:val="00A40C03"/>
    <w:rsid w:val="00A40F40"/>
    <w:rsid w:val="00A41272"/>
    <w:rsid w:val="00A42B5B"/>
    <w:rsid w:val="00A43A0F"/>
    <w:rsid w:val="00A47DF6"/>
    <w:rsid w:val="00A5012D"/>
    <w:rsid w:val="00A50271"/>
    <w:rsid w:val="00A5085A"/>
    <w:rsid w:val="00A50F8A"/>
    <w:rsid w:val="00A54466"/>
    <w:rsid w:val="00A54ACF"/>
    <w:rsid w:val="00A55AA0"/>
    <w:rsid w:val="00A601F9"/>
    <w:rsid w:val="00A60BB8"/>
    <w:rsid w:val="00A61551"/>
    <w:rsid w:val="00A61DE1"/>
    <w:rsid w:val="00A62128"/>
    <w:rsid w:val="00A623E0"/>
    <w:rsid w:val="00A62991"/>
    <w:rsid w:val="00A62B93"/>
    <w:rsid w:val="00A6446F"/>
    <w:rsid w:val="00A64CED"/>
    <w:rsid w:val="00A650E2"/>
    <w:rsid w:val="00A658A3"/>
    <w:rsid w:val="00A66196"/>
    <w:rsid w:val="00A66651"/>
    <w:rsid w:val="00A673CC"/>
    <w:rsid w:val="00A67AF0"/>
    <w:rsid w:val="00A67F78"/>
    <w:rsid w:val="00A70976"/>
    <w:rsid w:val="00A71CD2"/>
    <w:rsid w:val="00A7235E"/>
    <w:rsid w:val="00A724B2"/>
    <w:rsid w:val="00A734E7"/>
    <w:rsid w:val="00A76FE3"/>
    <w:rsid w:val="00A77FE7"/>
    <w:rsid w:val="00A80FCF"/>
    <w:rsid w:val="00A813D3"/>
    <w:rsid w:val="00A82B69"/>
    <w:rsid w:val="00A82F6B"/>
    <w:rsid w:val="00A8723E"/>
    <w:rsid w:val="00A8797E"/>
    <w:rsid w:val="00A90161"/>
    <w:rsid w:val="00A90970"/>
    <w:rsid w:val="00A928FF"/>
    <w:rsid w:val="00A94005"/>
    <w:rsid w:val="00A9433D"/>
    <w:rsid w:val="00A94EFE"/>
    <w:rsid w:val="00A95CB6"/>
    <w:rsid w:val="00A95D1D"/>
    <w:rsid w:val="00A966B1"/>
    <w:rsid w:val="00A96796"/>
    <w:rsid w:val="00A9789C"/>
    <w:rsid w:val="00AA038F"/>
    <w:rsid w:val="00AA137D"/>
    <w:rsid w:val="00AA1864"/>
    <w:rsid w:val="00AA21D3"/>
    <w:rsid w:val="00AA21F5"/>
    <w:rsid w:val="00AA22CB"/>
    <w:rsid w:val="00AA2D82"/>
    <w:rsid w:val="00AA3374"/>
    <w:rsid w:val="00AA3A5B"/>
    <w:rsid w:val="00AA5008"/>
    <w:rsid w:val="00AA5A9A"/>
    <w:rsid w:val="00AA7C1B"/>
    <w:rsid w:val="00AB083F"/>
    <w:rsid w:val="00AB129C"/>
    <w:rsid w:val="00AB3613"/>
    <w:rsid w:val="00AB3A4C"/>
    <w:rsid w:val="00AB56DC"/>
    <w:rsid w:val="00AB7A63"/>
    <w:rsid w:val="00AC0CBB"/>
    <w:rsid w:val="00AC2A80"/>
    <w:rsid w:val="00AC34DA"/>
    <w:rsid w:val="00AC5231"/>
    <w:rsid w:val="00AC5E67"/>
    <w:rsid w:val="00AC64A0"/>
    <w:rsid w:val="00AD034A"/>
    <w:rsid w:val="00AD1243"/>
    <w:rsid w:val="00AD169C"/>
    <w:rsid w:val="00AD2450"/>
    <w:rsid w:val="00AD2E40"/>
    <w:rsid w:val="00AD5904"/>
    <w:rsid w:val="00AD65BE"/>
    <w:rsid w:val="00AD6A38"/>
    <w:rsid w:val="00AD72B4"/>
    <w:rsid w:val="00AD7AA1"/>
    <w:rsid w:val="00AE3104"/>
    <w:rsid w:val="00AE43AD"/>
    <w:rsid w:val="00AE43BB"/>
    <w:rsid w:val="00AE4815"/>
    <w:rsid w:val="00AE53A6"/>
    <w:rsid w:val="00AE6B64"/>
    <w:rsid w:val="00AE6BB5"/>
    <w:rsid w:val="00AE73DC"/>
    <w:rsid w:val="00AE7710"/>
    <w:rsid w:val="00AF189B"/>
    <w:rsid w:val="00AF2CE8"/>
    <w:rsid w:val="00AF704D"/>
    <w:rsid w:val="00AF70F9"/>
    <w:rsid w:val="00AF7CEE"/>
    <w:rsid w:val="00AF7F6F"/>
    <w:rsid w:val="00B00CC3"/>
    <w:rsid w:val="00B0265A"/>
    <w:rsid w:val="00B04A14"/>
    <w:rsid w:val="00B05053"/>
    <w:rsid w:val="00B056CC"/>
    <w:rsid w:val="00B058B6"/>
    <w:rsid w:val="00B075D7"/>
    <w:rsid w:val="00B13AB1"/>
    <w:rsid w:val="00B14AB5"/>
    <w:rsid w:val="00B14D9C"/>
    <w:rsid w:val="00B155FE"/>
    <w:rsid w:val="00B15A4C"/>
    <w:rsid w:val="00B15CA6"/>
    <w:rsid w:val="00B15F8D"/>
    <w:rsid w:val="00B17819"/>
    <w:rsid w:val="00B206C1"/>
    <w:rsid w:val="00B2202B"/>
    <w:rsid w:val="00B221B5"/>
    <w:rsid w:val="00B22BD9"/>
    <w:rsid w:val="00B2454C"/>
    <w:rsid w:val="00B247F2"/>
    <w:rsid w:val="00B2544B"/>
    <w:rsid w:val="00B2734A"/>
    <w:rsid w:val="00B3244C"/>
    <w:rsid w:val="00B325C4"/>
    <w:rsid w:val="00B32682"/>
    <w:rsid w:val="00B33638"/>
    <w:rsid w:val="00B33C05"/>
    <w:rsid w:val="00B3469B"/>
    <w:rsid w:val="00B34A94"/>
    <w:rsid w:val="00B35B95"/>
    <w:rsid w:val="00B36150"/>
    <w:rsid w:val="00B37A83"/>
    <w:rsid w:val="00B40D0E"/>
    <w:rsid w:val="00B41B58"/>
    <w:rsid w:val="00B43A9F"/>
    <w:rsid w:val="00B44127"/>
    <w:rsid w:val="00B44CBF"/>
    <w:rsid w:val="00B44EBE"/>
    <w:rsid w:val="00B461A6"/>
    <w:rsid w:val="00B46352"/>
    <w:rsid w:val="00B50B25"/>
    <w:rsid w:val="00B51261"/>
    <w:rsid w:val="00B54171"/>
    <w:rsid w:val="00B5600F"/>
    <w:rsid w:val="00B56CB1"/>
    <w:rsid w:val="00B60534"/>
    <w:rsid w:val="00B60C2E"/>
    <w:rsid w:val="00B6124E"/>
    <w:rsid w:val="00B622E5"/>
    <w:rsid w:val="00B62D08"/>
    <w:rsid w:val="00B63DA3"/>
    <w:rsid w:val="00B63EBC"/>
    <w:rsid w:val="00B64063"/>
    <w:rsid w:val="00B6763B"/>
    <w:rsid w:val="00B705F2"/>
    <w:rsid w:val="00B70AB8"/>
    <w:rsid w:val="00B70FE4"/>
    <w:rsid w:val="00B72569"/>
    <w:rsid w:val="00B728C5"/>
    <w:rsid w:val="00B72FDD"/>
    <w:rsid w:val="00B7456C"/>
    <w:rsid w:val="00B7458D"/>
    <w:rsid w:val="00B745F4"/>
    <w:rsid w:val="00B74F8E"/>
    <w:rsid w:val="00B75545"/>
    <w:rsid w:val="00B762E2"/>
    <w:rsid w:val="00B76645"/>
    <w:rsid w:val="00B771CD"/>
    <w:rsid w:val="00B81C0A"/>
    <w:rsid w:val="00B8241D"/>
    <w:rsid w:val="00B83F74"/>
    <w:rsid w:val="00B843B9"/>
    <w:rsid w:val="00B8447F"/>
    <w:rsid w:val="00B844B7"/>
    <w:rsid w:val="00B84AD1"/>
    <w:rsid w:val="00B850B8"/>
    <w:rsid w:val="00B85AD1"/>
    <w:rsid w:val="00B91104"/>
    <w:rsid w:val="00B91ABD"/>
    <w:rsid w:val="00B92DCF"/>
    <w:rsid w:val="00B94CCA"/>
    <w:rsid w:val="00B95AD8"/>
    <w:rsid w:val="00B9640C"/>
    <w:rsid w:val="00B9670A"/>
    <w:rsid w:val="00B9709B"/>
    <w:rsid w:val="00B9738E"/>
    <w:rsid w:val="00B97A62"/>
    <w:rsid w:val="00BA016E"/>
    <w:rsid w:val="00BA04EA"/>
    <w:rsid w:val="00BA246F"/>
    <w:rsid w:val="00BA35CC"/>
    <w:rsid w:val="00BA38F7"/>
    <w:rsid w:val="00BA3B98"/>
    <w:rsid w:val="00BA415E"/>
    <w:rsid w:val="00BA5D1C"/>
    <w:rsid w:val="00BA60BB"/>
    <w:rsid w:val="00BA62C3"/>
    <w:rsid w:val="00BA6D82"/>
    <w:rsid w:val="00BB0472"/>
    <w:rsid w:val="00BB10E1"/>
    <w:rsid w:val="00BB12FE"/>
    <w:rsid w:val="00BB1BA6"/>
    <w:rsid w:val="00BB259D"/>
    <w:rsid w:val="00BB2A34"/>
    <w:rsid w:val="00BB4D90"/>
    <w:rsid w:val="00BB5D94"/>
    <w:rsid w:val="00BB5DF6"/>
    <w:rsid w:val="00BB75BE"/>
    <w:rsid w:val="00BB79F6"/>
    <w:rsid w:val="00BC03B1"/>
    <w:rsid w:val="00BC19CC"/>
    <w:rsid w:val="00BC2001"/>
    <w:rsid w:val="00BC24BF"/>
    <w:rsid w:val="00BC33ED"/>
    <w:rsid w:val="00BC4B9F"/>
    <w:rsid w:val="00BC6D2B"/>
    <w:rsid w:val="00BC74C4"/>
    <w:rsid w:val="00BD0DD5"/>
    <w:rsid w:val="00BD1758"/>
    <w:rsid w:val="00BD2A9C"/>
    <w:rsid w:val="00BD2D3C"/>
    <w:rsid w:val="00BD2E25"/>
    <w:rsid w:val="00BD37C8"/>
    <w:rsid w:val="00BD3CEA"/>
    <w:rsid w:val="00BD4776"/>
    <w:rsid w:val="00BD63FF"/>
    <w:rsid w:val="00BD6602"/>
    <w:rsid w:val="00BD6AF3"/>
    <w:rsid w:val="00BD70ED"/>
    <w:rsid w:val="00BD7229"/>
    <w:rsid w:val="00BD7C49"/>
    <w:rsid w:val="00BD7F31"/>
    <w:rsid w:val="00BE00CC"/>
    <w:rsid w:val="00BE055D"/>
    <w:rsid w:val="00BE0A4E"/>
    <w:rsid w:val="00BE0DA4"/>
    <w:rsid w:val="00BE0F9D"/>
    <w:rsid w:val="00BE2602"/>
    <w:rsid w:val="00BE3243"/>
    <w:rsid w:val="00BE354F"/>
    <w:rsid w:val="00BE3FC6"/>
    <w:rsid w:val="00BE4BAC"/>
    <w:rsid w:val="00BE530F"/>
    <w:rsid w:val="00BE5712"/>
    <w:rsid w:val="00BE7750"/>
    <w:rsid w:val="00BE7819"/>
    <w:rsid w:val="00BE7A65"/>
    <w:rsid w:val="00BF007B"/>
    <w:rsid w:val="00BF099A"/>
    <w:rsid w:val="00BF4035"/>
    <w:rsid w:val="00BF48C3"/>
    <w:rsid w:val="00BF5E09"/>
    <w:rsid w:val="00BF6A95"/>
    <w:rsid w:val="00BF7707"/>
    <w:rsid w:val="00C00710"/>
    <w:rsid w:val="00C012D1"/>
    <w:rsid w:val="00C01545"/>
    <w:rsid w:val="00C0256F"/>
    <w:rsid w:val="00C02772"/>
    <w:rsid w:val="00C03376"/>
    <w:rsid w:val="00C03BE7"/>
    <w:rsid w:val="00C05249"/>
    <w:rsid w:val="00C063C3"/>
    <w:rsid w:val="00C07E8E"/>
    <w:rsid w:val="00C10ED3"/>
    <w:rsid w:val="00C1143E"/>
    <w:rsid w:val="00C11612"/>
    <w:rsid w:val="00C11940"/>
    <w:rsid w:val="00C127DE"/>
    <w:rsid w:val="00C12BFF"/>
    <w:rsid w:val="00C13291"/>
    <w:rsid w:val="00C13FAE"/>
    <w:rsid w:val="00C1582A"/>
    <w:rsid w:val="00C16149"/>
    <w:rsid w:val="00C178E3"/>
    <w:rsid w:val="00C21016"/>
    <w:rsid w:val="00C21761"/>
    <w:rsid w:val="00C2238F"/>
    <w:rsid w:val="00C224F5"/>
    <w:rsid w:val="00C24948"/>
    <w:rsid w:val="00C261DC"/>
    <w:rsid w:val="00C268BB"/>
    <w:rsid w:val="00C268F4"/>
    <w:rsid w:val="00C27041"/>
    <w:rsid w:val="00C27BFB"/>
    <w:rsid w:val="00C27DF5"/>
    <w:rsid w:val="00C302BC"/>
    <w:rsid w:val="00C326EB"/>
    <w:rsid w:val="00C32924"/>
    <w:rsid w:val="00C32D53"/>
    <w:rsid w:val="00C35CE2"/>
    <w:rsid w:val="00C35E13"/>
    <w:rsid w:val="00C36894"/>
    <w:rsid w:val="00C36A62"/>
    <w:rsid w:val="00C45E7A"/>
    <w:rsid w:val="00C46F63"/>
    <w:rsid w:val="00C4762E"/>
    <w:rsid w:val="00C50404"/>
    <w:rsid w:val="00C5054A"/>
    <w:rsid w:val="00C52FED"/>
    <w:rsid w:val="00C5351F"/>
    <w:rsid w:val="00C53734"/>
    <w:rsid w:val="00C539FB"/>
    <w:rsid w:val="00C53C2A"/>
    <w:rsid w:val="00C54B21"/>
    <w:rsid w:val="00C561BC"/>
    <w:rsid w:val="00C566FB"/>
    <w:rsid w:val="00C56FEF"/>
    <w:rsid w:val="00C56FF4"/>
    <w:rsid w:val="00C61227"/>
    <w:rsid w:val="00C6157D"/>
    <w:rsid w:val="00C61D07"/>
    <w:rsid w:val="00C62668"/>
    <w:rsid w:val="00C63C88"/>
    <w:rsid w:val="00C63F26"/>
    <w:rsid w:val="00C64C54"/>
    <w:rsid w:val="00C65238"/>
    <w:rsid w:val="00C70F04"/>
    <w:rsid w:val="00C72068"/>
    <w:rsid w:val="00C74E0F"/>
    <w:rsid w:val="00C75D5A"/>
    <w:rsid w:val="00C75E27"/>
    <w:rsid w:val="00C75EE6"/>
    <w:rsid w:val="00C7666C"/>
    <w:rsid w:val="00C768D3"/>
    <w:rsid w:val="00C770F2"/>
    <w:rsid w:val="00C7762C"/>
    <w:rsid w:val="00C776A0"/>
    <w:rsid w:val="00C8266F"/>
    <w:rsid w:val="00C83548"/>
    <w:rsid w:val="00C859BE"/>
    <w:rsid w:val="00C86437"/>
    <w:rsid w:val="00C86618"/>
    <w:rsid w:val="00C86EA4"/>
    <w:rsid w:val="00C87225"/>
    <w:rsid w:val="00C872F4"/>
    <w:rsid w:val="00C87909"/>
    <w:rsid w:val="00C91648"/>
    <w:rsid w:val="00C9408B"/>
    <w:rsid w:val="00C948F5"/>
    <w:rsid w:val="00C94EDE"/>
    <w:rsid w:val="00C950DD"/>
    <w:rsid w:val="00C95900"/>
    <w:rsid w:val="00C9659F"/>
    <w:rsid w:val="00C97255"/>
    <w:rsid w:val="00C97321"/>
    <w:rsid w:val="00CA0692"/>
    <w:rsid w:val="00CA0CD3"/>
    <w:rsid w:val="00CA0CEB"/>
    <w:rsid w:val="00CA1438"/>
    <w:rsid w:val="00CA1C2C"/>
    <w:rsid w:val="00CA3468"/>
    <w:rsid w:val="00CA629D"/>
    <w:rsid w:val="00CA6D70"/>
    <w:rsid w:val="00CA7B88"/>
    <w:rsid w:val="00CB01DA"/>
    <w:rsid w:val="00CB07DE"/>
    <w:rsid w:val="00CB09E7"/>
    <w:rsid w:val="00CB1A82"/>
    <w:rsid w:val="00CB1AB8"/>
    <w:rsid w:val="00CB3696"/>
    <w:rsid w:val="00CB4082"/>
    <w:rsid w:val="00CB459B"/>
    <w:rsid w:val="00CB571B"/>
    <w:rsid w:val="00CB6C6E"/>
    <w:rsid w:val="00CB6F27"/>
    <w:rsid w:val="00CB7E48"/>
    <w:rsid w:val="00CB7FE1"/>
    <w:rsid w:val="00CC075B"/>
    <w:rsid w:val="00CC0866"/>
    <w:rsid w:val="00CC0CAD"/>
    <w:rsid w:val="00CC0F4E"/>
    <w:rsid w:val="00CC11BD"/>
    <w:rsid w:val="00CC18D6"/>
    <w:rsid w:val="00CC24D0"/>
    <w:rsid w:val="00CC4689"/>
    <w:rsid w:val="00CC5289"/>
    <w:rsid w:val="00CC54EB"/>
    <w:rsid w:val="00CC703F"/>
    <w:rsid w:val="00CC706B"/>
    <w:rsid w:val="00CC73DD"/>
    <w:rsid w:val="00CC7777"/>
    <w:rsid w:val="00CD0671"/>
    <w:rsid w:val="00CD06BE"/>
    <w:rsid w:val="00CD0F03"/>
    <w:rsid w:val="00CD1AC2"/>
    <w:rsid w:val="00CD1AD4"/>
    <w:rsid w:val="00CD1BD7"/>
    <w:rsid w:val="00CD1DE1"/>
    <w:rsid w:val="00CD2095"/>
    <w:rsid w:val="00CD426F"/>
    <w:rsid w:val="00CD45B0"/>
    <w:rsid w:val="00CE01FC"/>
    <w:rsid w:val="00CE0C34"/>
    <w:rsid w:val="00CE0CA4"/>
    <w:rsid w:val="00CE0F40"/>
    <w:rsid w:val="00CE12F5"/>
    <w:rsid w:val="00CE1608"/>
    <w:rsid w:val="00CE1DF7"/>
    <w:rsid w:val="00CE4482"/>
    <w:rsid w:val="00CE4893"/>
    <w:rsid w:val="00CE4C8C"/>
    <w:rsid w:val="00CE5744"/>
    <w:rsid w:val="00CE7F07"/>
    <w:rsid w:val="00CF0DB6"/>
    <w:rsid w:val="00CF15E7"/>
    <w:rsid w:val="00CF1732"/>
    <w:rsid w:val="00CF533D"/>
    <w:rsid w:val="00CF551C"/>
    <w:rsid w:val="00CF5F2A"/>
    <w:rsid w:val="00CF667E"/>
    <w:rsid w:val="00CF75FB"/>
    <w:rsid w:val="00CF7986"/>
    <w:rsid w:val="00D008E3"/>
    <w:rsid w:val="00D00FFE"/>
    <w:rsid w:val="00D05101"/>
    <w:rsid w:val="00D0533C"/>
    <w:rsid w:val="00D06976"/>
    <w:rsid w:val="00D07BD8"/>
    <w:rsid w:val="00D07EA5"/>
    <w:rsid w:val="00D10EA2"/>
    <w:rsid w:val="00D11009"/>
    <w:rsid w:val="00D119C2"/>
    <w:rsid w:val="00D12DA6"/>
    <w:rsid w:val="00D14F38"/>
    <w:rsid w:val="00D1616F"/>
    <w:rsid w:val="00D16D89"/>
    <w:rsid w:val="00D21BAC"/>
    <w:rsid w:val="00D21C70"/>
    <w:rsid w:val="00D226F1"/>
    <w:rsid w:val="00D22ED2"/>
    <w:rsid w:val="00D23D8F"/>
    <w:rsid w:val="00D23FEB"/>
    <w:rsid w:val="00D23FED"/>
    <w:rsid w:val="00D258D9"/>
    <w:rsid w:val="00D25B6E"/>
    <w:rsid w:val="00D3076A"/>
    <w:rsid w:val="00D30DEE"/>
    <w:rsid w:val="00D31737"/>
    <w:rsid w:val="00D33705"/>
    <w:rsid w:val="00D33920"/>
    <w:rsid w:val="00D33A8A"/>
    <w:rsid w:val="00D33B8F"/>
    <w:rsid w:val="00D34CD7"/>
    <w:rsid w:val="00D35813"/>
    <w:rsid w:val="00D36123"/>
    <w:rsid w:val="00D3672D"/>
    <w:rsid w:val="00D371DA"/>
    <w:rsid w:val="00D4148C"/>
    <w:rsid w:val="00D41A00"/>
    <w:rsid w:val="00D424B8"/>
    <w:rsid w:val="00D436B8"/>
    <w:rsid w:val="00D4434A"/>
    <w:rsid w:val="00D44A68"/>
    <w:rsid w:val="00D45ADC"/>
    <w:rsid w:val="00D479D4"/>
    <w:rsid w:val="00D503EA"/>
    <w:rsid w:val="00D5055E"/>
    <w:rsid w:val="00D50A39"/>
    <w:rsid w:val="00D50A45"/>
    <w:rsid w:val="00D511E9"/>
    <w:rsid w:val="00D51456"/>
    <w:rsid w:val="00D515C5"/>
    <w:rsid w:val="00D545F7"/>
    <w:rsid w:val="00D557C7"/>
    <w:rsid w:val="00D5594E"/>
    <w:rsid w:val="00D55A78"/>
    <w:rsid w:val="00D5677F"/>
    <w:rsid w:val="00D569CA"/>
    <w:rsid w:val="00D57B63"/>
    <w:rsid w:val="00D6008D"/>
    <w:rsid w:val="00D615EC"/>
    <w:rsid w:val="00D6274C"/>
    <w:rsid w:val="00D62835"/>
    <w:rsid w:val="00D63897"/>
    <w:rsid w:val="00D63A8A"/>
    <w:rsid w:val="00D6549E"/>
    <w:rsid w:val="00D65C55"/>
    <w:rsid w:val="00D661F0"/>
    <w:rsid w:val="00D6691A"/>
    <w:rsid w:val="00D67277"/>
    <w:rsid w:val="00D7202A"/>
    <w:rsid w:val="00D72777"/>
    <w:rsid w:val="00D7299C"/>
    <w:rsid w:val="00D73002"/>
    <w:rsid w:val="00D7302C"/>
    <w:rsid w:val="00D754E0"/>
    <w:rsid w:val="00D76BD4"/>
    <w:rsid w:val="00D77DDB"/>
    <w:rsid w:val="00D80FC9"/>
    <w:rsid w:val="00D81D3D"/>
    <w:rsid w:val="00D81D97"/>
    <w:rsid w:val="00D8222A"/>
    <w:rsid w:val="00D843D9"/>
    <w:rsid w:val="00D84846"/>
    <w:rsid w:val="00D86367"/>
    <w:rsid w:val="00D86A94"/>
    <w:rsid w:val="00D870CF"/>
    <w:rsid w:val="00D877E7"/>
    <w:rsid w:val="00D87F61"/>
    <w:rsid w:val="00D90B5A"/>
    <w:rsid w:val="00D916FA"/>
    <w:rsid w:val="00D91A99"/>
    <w:rsid w:val="00D92214"/>
    <w:rsid w:val="00D92384"/>
    <w:rsid w:val="00D925F7"/>
    <w:rsid w:val="00D9414C"/>
    <w:rsid w:val="00D96195"/>
    <w:rsid w:val="00D968BE"/>
    <w:rsid w:val="00DA143F"/>
    <w:rsid w:val="00DA15B5"/>
    <w:rsid w:val="00DA1682"/>
    <w:rsid w:val="00DA1C11"/>
    <w:rsid w:val="00DA30F4"/>
    <w:rsid w:val="00DA363F"/>
    <w:rsid w:val="00DA4434"/>
    <w:rsid w:val="00DA488F"/>
    <w:rsid w:val="00DA4FBC"/>
    <w:rsid w:val="00DA541C"/>
    <w:rsid w:val="00DA547D"/>
    <w:rsid w:val="00DA6CEE"/>
    <w:rsid w:val="00DA72D2"/>
    <w:rsid w:val="00DA7965"/>
    <w:rsid w:val="00DB02A9"/>
    <w:rsid w:val="00DB07FB"/>
    <w:rsid w:val="00DB12ED"/>
    <w:rsid w:val="00DB1326"/>
    <w:rsid w:val="00DB2547"/>
    <w:rsid w:val="00DB3DD8"/>
    <w:rsid w:val="00DB6953"/>
    <w:rsid w:val="00DB7DE0"/>
    <w:rsid w:val="00DC0B89"/>
    <w:rsid w:val="00DC15E6"/>
    <w:rsid w:val="00DC1F02"/>
    <w:rsid w:val="00DC22D9"/>
    <w:rsid w:val="00DC31DE"/>
    <w:rsid w:val="00DC46C9"/>
    <w:rsid w:val="00DC4E7F"/>
    <w:rsid w:val="00DC5639"/>
    <w:rsid w:val="00DD0EAE"/>
    <w:rsid w:val="00DD1BB1"/>
    <w:rsid w:val="00DD1EE7"/>
    <w:rsid w:val="00DD25C1"/>
    <w:rsid w:val="00DD30E6"/>
    <w:rsid w:val="00DD3916"/>
    <w:rsid w:val="00DD6B24"/>
    <w:rsid w:val="00DD7C34"/>
    <w:rsid w:val="00DD7FD1"/>
    <w:rsid w:val="00DE084E"/>
    <w:rsid w:val="00DE1B2C"/>
    <w:rsid w:val="00DE4C96"/>
    <w:rsid w:val="00DE7A5C"/>
    <w:rsid w:val="00DE7C03"/>
    <w:rsid w:val="00DF0A34"/>
    <w:rsid w:val="00DF1268"/>
    <w:rsid w:val="00DF1E55"/>
    <w:rsid w:val="00DF5152"/>
    <w:rsid w:val="00DF5E25"/>
    <w:rsid w:val="00DF63FB"/>
    <w:rsid w:val="00DF745B"/>
    <w:rsid w:val="00DF7F4C"/>
    <w:rsid w:val="00E012DF"/>
    <w:rsid w:val="00E022A9"/>
    <w:rsid w:val="00E02497"/>
    <w:rsid w:val="00E02EEE"/>
    <w:rsid w:val="00E0335A"/>
    <w:rsid w:val="00E03905"/>
    <w:rsid w:val="00E039B7"/>
    <w:rsid w:val="00E03AA3"/>
    <w:rsid w:val="00E049D4"/>
    <w:rsid w:val="00E04BAA"/>
    <w:rsid w:val="00E055C2"/>
    <w:rsid w:val="00E07128"/>
    <w:rsid w:val="00E12802"/>
    <w:rsid w:val="00E12F87"/>
    <w:rsid w:val="00E13207"/>
    <w:rsid w:val="00E14619"/>
    <w:rsid w:val="00E1527D"/>
    <w:rsid w:val="00E16566"/>
    <w:rsid w:val="00E166FB"/>
    <w:rsid w:val="00E167FF"/>
    <w:rsid w:val="00E17A94"/>
    <w:rsid w:val="00E2147C"/>
    <w:rsid w:val="00E23C29"/>
    <w:rsid w:val="00E23EA4"/>
    <w:rsid w:val="00E23FFC"/>
    <w:rsid w:val="00E26F1E"/>
    <w:rsid w:val="00E27C2A"/>
    <w:rsid w:val="00E27C42"/>
    <w:rsid w:val="00E301CF"/>
    <w:rsid w:val="00E31F7A"/>
    <w:rsid w:val="00E3367D"/>
    <w:rsid w:val="00E36984"/>
    <w:rsid w:val="00E373AC"/>
    <w:rsid w:val="00E37BB5"/>
    <w:rsid w:val="00E37F8C"/>
    <w:rsid w:val="00E4062F"/>
    <w:rsid w:val="00E4131E"/>
    <w:rsid w:val="00E41BFB"/>
    <w:rsid w:val="00E42061"/>
    <w:rsid w:val="00E424F3"/>
    <w:rsid w:val="00E4406D"/>
    <w:rsid w:val="00E440AB"/>
    <w:rsid w:val="00E449FD"/>
    <w:rsid w:val="00E45B6C"/>
    <w:rsid w:val="00E46055"/>
    <w:rsid w:val="00E46CB1"/>
    <w:rsid w:val="00E501C9"/>
    <w:rsid w:val="00E519BA"/>
    <w:rsid w:val="00E53B23"/>
    <w:rsid w:val="00E5484A"/>
    <w:rsid w:val="00E55CD7"/>
    <w:rsid w:val="00E561AD"/>
    <w:rsid w:val="00E56767"/>
    <w:rsid w:val="00E56F21"/>
    <w:rsid w:val="00E601EF"/>
    <w:rsid w:val="00E60670"/>
    <w:rsid w:val="00E60EB9"/>
    <w:rsid w:val="00E61389"/>
    <w:rsid w:val="00E632CB"/>
    <w:rsid w:val="00E63B72"/>
    <w:rsid w:val="00E63B79"/>
    <w:rsid w:val="00E66F43"/>
    <w:rsid w:val="00E67620"/>
    <w:rsid w:val="00E702C2"/>
    <w:rsid w:val="00E71F61"/>
    <w:rsid w:val="00E72811"/>
    <w:rsid w:val="00E72CB2"/>
    <w:rsid w:val="00E73AD4"/>
    <w:rsid w:val="00E80093"/>
    <w:rsid w:val="00E81967"/>
    <w:rsid w:val="00E82306"/>
    <w:rsid w:val="00E823A7"/>
    <w:rsid w:val="00E83065"/>
    <w:rsid w:val="00E832D7"/>
    <w:rsid w:val="00E838BF"/>
    <w:rsid w:val="00E83D72"/>
    <w:rsid w:val="00E8589D"/>
    <w:rsid w:val="00E86C99"/>
    <w:rsid w:val="00E86D49"/>
    <w:rsid w:val="00E8721F"/>
    <w:rsid w:val="00E87537"/>
    <w:rsid w:val="00E92BE7"/>
    <w:rsid w:val="00E942CF"/>
    <w:rsid w:val="00E943EC"/>
    <w:rsid w:val="00E94D1D"/>
    <w:rsid w:val="00E95EB8"/>
    <w:rsid w:val="00E96D02"/>
    <w:rsid w:val="00E97147"/>
    <w:rsid w:val="00E97430"/>
    <w:rsid w:val="00E978B6"/>
    <w:rsid w:val="00E97B76"/>
    <w:rsid w:val="00EA0D4A"/>
    <w:rsid w:val="00EA0EF7"/>
    <w:rsid w:val="00EA1037"/>
    <w:rsid w:val="00EA1F58"/>
    <w:rsid w:val="00EA29C4"/>
    <w:rsid w:val="00EA2D3A"/>
    <w:rsid w:val="00EA2DF8"/>
    <w:rsid w:val="00EA3422"/>
    <w:rsid w:val="00EA375F"/>
    <w:rsid w:val="00EA435E"/>
    <w:rsid w:val="00EA5289"/>
    <w:rsid w:val="00EA52A9"/>
    <w:rsid w:val="00EA5C30"/>
    <w:rsid w:val="00EA626E"/>
    <w:rsid w:val="00EA7832"/>
    <w:rsid w:val="00EB1850"/>
    <w:rsid w:val="00EB26A0"/>
    <w:rsid w:val="00EB382B"/>
    <w:rsid w:val="00EB5F9F"/>
    <w:rsid w:val="00EB7ACF"/>
    <w:rsid w:val="00EC00A2"/>
    <w:rsid w:val="00EC0376"/>
    <w:rsid w:val="00EC0C4A"/>
    <w:rsid w:val="00EC2203"/>
    <w:rsid w:val="00EC3394"/>
    <w:rsid w:val="00EC3951"/>
    <w:rsid w:val="00EC3CCC"/>
    <w:rsid w:val="00EC421A"/>
    <w:rsid w:val="00EC589B"/>
    <w:rsid w:val="00EC69BA"/>
    <w:rsid w:val="00ED0EA7"/>
    <w:rsid w:val="00ED1137"/>
    <w:rsid w:val="00ED17C4"/>
    <w:rsid w:val="00ED1AEF"/>
    <w:rsid w:val="00ED219E"/>
    <w:rsid w:val="00ED2D97"/>
    <w:rsid w:val="00ED40C7"/>
    <w:rsid w:val="00ED4A6F"/>
    <w:rsid w:val="00ED57BA"/>
    <w:rsid w:val="00ED6136"/>
    <w:rsid w:val="00ED79CF"/>
    <w:rsid w:val="00EE0057"/>
    <w:rsid w:val="00EE1DAE"/>
    <w:rsid w:val="00EE1E12"/>
    <w:rsid w:val="00EE2213"/>
    <w:rsid w:val="00EE3119"/>
    <w:rsid w:val="00EE34BB"/>
    <w:rsid w:val="00EE3EB9"/>
    <w:rsid w:val="00EE444B"/>
    <w:rsid w:val="00EE5EA4"/>
    <w:rsid w:val="00EF002E"/>
    <w:rsid w:val="00EF11DF"/>
    <w:rsid w:val="00EF14BD"/>
    <w:rsid w:val="00EF1F5B"/>
    <w:rsid w:val="00EF22AA"/>
    <w:rsid w:val="00EF31E7"/>
    <w:rsid w:val="00EF497F"/>
    <w:rsid w:val="00EF4EF8"/>
    <w:rsid w:val="00EF5F48"/>
    <w:rsid w:val="00EF6267"/>
    <w:rsid w:val="00EF6820"/>
    <w:rsid w:val="00EF717B"/>
    <w:rsid w:val="00F01437"/>
    <w:rsid w:val="00F01A63"/>
    <w:rsid w:val="00F01C3C"/>
    <w:rsid w:val="00F030E1"/>
    <w:rsid w:val="00F03965"/>
    <w:rsid w:val="00F05220"/>
    <w:rsid w:val="00F05815"/>
    <w:rsid w:val="00F06549"/>
    <w:rsid w:val="00F07044"/>
    <w:rsid w:val="00F07986"/>
    <w:rsid w:val="00F1118B"/>
    <w:rsid w:val="00F11762"/>
    <w:rsid w:val="00F153EF"/>
    <w:rsid w:val="00F22077"/>
    <w:rsid w:val="00F224A0"/>
    <w:rsid w:val="00F22614"/>
    <w:rsid w:val="00F249DA"/>
    <w:rsid w:val="00F26244"/>
    <w:rsid w:val="00F26645"/>
    <w:rsid w:val="00F27EFB"/>
    <w:rsid w:val="00F30362"/>
    <w:rsid w:val="00F314E1"/>
    <w:rsid w:val="00F33AE7"/>
    <w:rsid w:val="00F34521"/>
    <w:rsid w:val="00F3505B"/>
    <w:rsid w:val="00F35767"/>
    <w:rsid w:val="00F357B2"/>
    <w:rsid w:val="00F3632E"/>
    <w:rsid w:val="00F37865"/>
    <w:rsid w:val="00F37E95"/>
    <w:rsid w:val="00F40920"/>
    <w:rsid w:val="00F40BBC"/>
    <w:rsid w:val="00F410C0"/>
    <w:rsid w:val="00F41577"/>
    <w:rsid w:val="00F4169D"/>
    <w:rsid w:val="00F43D33"/>
    <w:rsid w:val="00F46F72"/>
    <w:rsid w:val="00F46F83"/>
    <w:rsid w:val="00F47184"/>
    <w:rsid w:val="00F50CFA"/>
    <w:rsid w:val="00F514AA"/>
    <w:rsid w:val="00F51BBF"/>
    <w:rsid w:val="00F53DB5"/>
    <w:rsid w:val="00F5521A"/>
    <w:rsid w:val="00F56068"/>
    <w:rsid w:val="00F57CC6"/>
    <w:rsid w:val="00F6044E"/>
    <w:rsid w:val="00F6258B"/>
    <w:rsid w:val="00F62EC5"/>
    <w:rsid w:val="00F632DF"/>
    <w:rsid w:val="00F63F2A"/>
    <w:rsid w:val="00F6478D"/>
    <w:rsid w:val="00F67501"/>
    <w:rsid w:val="00F71CAC"/>
    <w:rsid w:val="00F71FDE"/>
    <w:rsid w:val="00F72867"/>
    <w:rsid w:val="00F73CB9"/>
    <w:rsid w:val="00F748ED"/>
    <w:rsid w:val="00F7556A"/>
    <w:rsid w:val="00F75868"/>
    <w:rsid w:val="00F76EE9"/>
    <w:rsid w:val="00F805AE"/>
    <w:rsid w:val="00F80AB9"/>
    <w:rsid w:val="00F8132B"/>
    <w:rsid w:val="00F840EB"/>
    <w:rsid w:val="00F8490D"/>
    <w:rsid w:val="00F859E0"/>
    <w:rsid w:val="00F90893"/>
    <w:rsid w:val="00F92C4C"/>
    <w:rsid w:val="00F93A93"/>
    <w:rsid w:val="00F9424C"/>
    <w:rsid w:val="00F946AB"/>
    <w:rsid w:val="00F95FB2"/>
    <w:rsid w:val="00F97910"/>
    <w:rsid w:val="00F97A64"/>
    <w:rsid w:val="00FA054E"/>
    <w:rsid w:val="00FA0C97"/>
    <w:rsid w:val="00FA16EC"/>
    <w:rsid w:val="00FA31A9"/>
    <w:rsid w:val="00FA3BFF"/>
    <w:rsid w:val="00FA4634"/>
    <w:rsid w:val="00FA4EE4"/>
    <w:rsid w:val="00FA5AA9"/>
    <w:rsid w:val="00FA5E77"/>
    <w:rsid w:val="00FA6A81"/>
    <w:rsid w:val="00FA7FDB"/>
    <w:rsid w:val="00FB114C"/>
    <w:rsid w:val="00FB1921"/>
    <w:rsid w:val="00FB23DF"/>
    <w:rsid w:val="00FB287A"/>
    <w:rsid w:val="00FB28BD"/>
    <w:rsid w:val="00FB35A4"/>
    <w:rsid w:val="00FB4A1D"/>
    <w:rsid w:val="00FB59DC"/>
    <w:rsid w:val="00FB7355"/>
    <w:rsid w:val="00FC0D58"/>
    <w:rsid w:val="00FC114E"/>
    <w:rsid w:val="00FC2081"/>
    <w:rsid w:val="00FC4076"/>
    <w:rsid w:val="00FC49F4"/>
    <w:rsid w:val="00FC4CD2"/>
    <w:rsid w:val="00FC4CF0"/>
    <w:rsid w:val="00FC4EDF"/>
    <w:rsid w:val="00FC4F7E"/>
    <w:rsid w:val="00FC6530"/>
    <w:rsid w:val="00FC73A6"/>
    <w:rsid w:val="00FC7D15"/>
    <w:rsid w:val="00FC7DF0"/>
    <w:rsid w:val="00FD0226"/>
    <w:rsid w:val="00FD0BA2"/>
    <w:rsid w:val="00FD1735"/>
    <w:rsid w:val="00FD2910"/>
    <w:rsid w:val="00FD3C21"/>
    <w:rsid w:val="00FD3F05"/>
    <w:rsid w:val="00FD426A"/>
    <w:rsid w:val="00FD465B"/>
    <w:rsid w:val="00FD46EE"/>
    <w:rsid w:val="00FD65B4"/>
    <w:rsid w:val="00FD7247"/>
    <w:rsid w:val="00FD77E6"/>
    <w:rsid w:val="00FE0ACB"/>
    <w:rsid w:val="00FE0CFB"/>
    <w:rsid w:val="00FE12D5"/>
    <w:rsid w:val="00FE2CD2"/>
    <w:rsid w:val="00FE30F2"/>
    <w:rsid w:val="00FE32C3"/>
    <w:rsid w:val="00FE3E03"/>
    <w:rsid w:val="00FE5F63"/>
    <w:rsid w:val="00FE6B69"/>
    <w:rsid w:val="00FE6C0F"/>
    <w:rsid w:val="00FE7686"/>
    <w:rsid w:val="00FE7FA2"/>
    <w:rsid w:val="00FF0720"/>
    <w:rsid w:val="00FF13AD"/>
    <w:rsid w:val="00FF17E5"/>
    <w:rsid w:val="00FF1D39"/>
    <w:rsid w:val="00FF30FF"/>
    <w:rsid w:val="00FF3A69"/>
    <w:rsid w:val="00FF50AB"/>
    <w:rsid w:val="00FF5AD9"/>
    <w:rsid w:val="00FF603C"/>
    <w:rsid w:val="00FF6CB2"/>
    <w:rsid w:val="00FF7D48"/>
    <w:rsid w:val="010C1112"/>
    <w:rsid w:val="021DF365"/>
    <w:rsid w:val="029C2633"/>
    <w:rsid w:val="03532116"/>
    <w:rsid w:val="03E3A3E9"/>
    <w:rsid w:val="03F51677"/>
    <w:rsid w:val="03F69F1A"/>
    <w:rsid w:val="0510334F"/>
    <w:rsid w:val="051ACFCD"/>
    <w:rsid w:val="05919A2D"/>
    <w:rsid w:val="05E9152B"/>
    <w:rsid w:val="06379433"/>
    <w:rsid w:val="063D6843"/>
    <w:rsid w:val="066432AC"/>
    <w:rsid w:val="069B7ADC"/>
    <w:rsid w:val="069D33D9"/>
    <w:rsid w:val="06BE6BE2"/>
    <w:rsid w:val="06FE8B66"/>
    <w:rsid w:val="0739E6C6"/>
    <w:rsid w:val="0763136A"/>
    <w:rsid w:val="07A6191C"/>
    <w:rsid w:val="07ABBEBB"/>
    <w:rsid w:val="07BA705A"/>
    <w:rsid w:val="081F19BD"/>
    <w:rsid w:val="0907052C"/>
    <w:rsid w:val="098051AA"/>
    <w:rsid w:val="0A24B9C4"/>
    <w:rsid w:val="0A613950"/>
    <w:rsid w:val="0A700B55"/>
    <w:rsid w:val="0B0022D9"/>
    <w:rsid w:val="0B48D58A"/>
    <w:rsid w:val="0B7151BD"/>
    <w:rsid w:val="0C5E71B7"/>
    <w:rsid w:val="0C689E27"/>
    <w:rsid w:val="0C6C4946"/>
    <w:rsid w:val="0C85BE5D"/>
    <w:rsid w:val="0C9FAC85"/>
    <w:rsid w:val="0CB1253A"/>
    <w:rsid w:val="0DCFF88F"/>
    <w:rsid w:val="0DE04A9F"/>
    <w:rsid w:val="0E6BB81D"/>
    <w:rsid w:val="0E967858"/>
    <w:rsid w:val="0F03D9E1"/>
    <w:rsid w:val="0F3B75E8"/>
    <w:rsid w:val="0F95990C"/>
    <w:rsid w:val="0FD4C9D7"/>
    <w:rsid w:val="102F500D"/>
    <w:rsid w:val="10A4A11E"/>
    <w:rsid w:val="10FB2C97"/>
    <w:rsid w:val="1112F309"/>
    <w:rsid w:val="1114BA4E"/>
    <w:rsid w:val="112C6B7A"/>
    <w:rsid w:val="1198BEFD"/>
    <w:rsid w:val="11DD2B83"/>
    <w:rsid w:val="12008149"/>
    <w:rsid w:val="123EFD2F"/>
    <w:rsid w:val="12F4B78A"/>
    <w:rsid w:val="1323E382"/>
    <w:rsid w:val="13A3A09E"/>
    <w:rsid w:val="13A79940"/>
    <w:rsid w:val="13E847AC"/>
    <w:rsid w:val="13F426FA"/>
    <w:rsid w:val="142D8494"/>
    <w:rsid w:val="1486A01F"/>
    <w:rsid w:val="15270E72"/>
    <w:rsid w:val="154090C5"/>
    <w:rsid w:val="1561100D"/>
    <w:rsid w:val="15A58401"/>
    <w:rsid w:val="16287004"/>
    <w:rsid w:val="166F4922"/>
    <w:rsid w:val="17131A31"/>
    <w:rsid w:val="17C27382"/>
    <w:rsid w:val="17DC55AF"/>
    <w:rsid w:val="17FEF9E5"/>
    <w:rsid w:val="185526A6"/>
    <w:rsid w:val="18B57E3D"/>
    <w:rsid w:val="18CE3240"/>
    <w:rsid w:val="19667954"/>
    <w:rsid w:val="198A79AC"/>
    <w:rsid w:val="19DEEE96"/>
    <w:rsid w:val="19E6C14B"/>
    <w:rsid w:val="1A4348F7"/>
    <w:rsid w:val="1A7FDCA6"/>
    <w:rsid w:val="1A9A6D24"/>
    <w:rsid w:val="1AC17C3A"/>
    <w:rsid w:val="1ADA31FC"/>
    <w:rsid w:val="1B284C5D"/>
    <w:rsid w:val="1B597A7E"/>
    <w:rsid w:val="1BB71A66"/>
    <w:rsid w:val="1BD611AD"/>
    <w:rsid w:val="1CAE500B"/>
    <w:rsid w:val="1CE469A7"/>
    <w:rsid w:val="1D481232"/>
    <w:rsid w:val="1DD9EF3C"/>
    <w:rsid w:val="1DF69EC9"/>
    <w:rsid w:val="1E25FE9E"/>
    <w:rsid w:val="1EBF714E"/>
    <w:rsid w:val="1EE22F19"/>
    <w:rsid w:val="1F152BF5"/>
    <w:rsid w:val="1F6DAFD8"/>
    <w:rsid w:val="1F84CC11"/>
    <w:rsid w:val="1FFBA893"/>
    <w:rsid w:val="20BD1B28"/>
    <w:rsid w:val="218F7423"/>
    <w:rsid w:val="21A055E4"/>
    <w:rsid w:val="21CD325D"/>
    <w:rsid w:val="21F176C3"/>
    <w:rsid w:val="2252F5EA"/>
    <w:rsid w:val="22B2E273"/>
    <w:rsid w:val="235944A0"/>
    <w:rsid w:val="239528D4"/>
    <w:rsid w:val="242A3B97"/>
    <w:rsid w:val="244B8BA3"/>
    <w:rsid w:val="247593E9"/>
    <w:rsid w:val="2482AB30"/>
    <w:rsid w:val="24866881"/>
    <w:rsid w:val="248FB11B"/>
    <w:rsid w:val="24CA6B4B"/>
    <w:rsid w:val="25167A99"/>
    <w:rsid w:val="251DAD54"/>
    <w:rsid w:val="256E7D1F"/>
    <w:rsid w:val="263C3F53"/>
    <w:rsid w:val="265D5CEA"/>
    <w:rsid w:val="266D0E36"/>
    <w:rsid w:val="2705F438"/>
    <w:rsid w:val="2803C688"/>
    <w:rsid w:val="286F61AF"/>
    <w:rsid w:val="29171280"/>
    <w:rsid w:val="291EB04C"/>
    <w:rsid w:val="29AF17E1"/>
    <w:rsid w:val="29E24B52"/>
    <w:rsid w:val="2AB2F450"/>
    <w:rsid w:val="2AB70C23"/>
    <w:rsid w:val="2AEB4A54"/>
    <w:rsid w:val="2B04FDB1"/>
    <w:rsid w:val="2B1AC7DC"/>
    <w:rsid w:val="2BEF2B23"/>
    <w:rsid w:val="2BF1899A"/>
    <w:rsid w:val="2C3D54C4"/>
    <w:rsid w:val="2CC507A0"/>
    <w:rsid w:val="2CE0FEC2"/>
    <w:rsid w:val="2CF1AE67"/>
    <w:rsid w:val="2D12A1D9"/>
    <w:rsid w:val="2D9251E6"/>
    <w:rsid w:val="2D99E544"/>
    <w:rsid w:val="2DEB2C8A"/>
    <w:rsid w:val="2E2AB90F"/>
    <w:rsid w:val="2E3CCF42"/>
    <w:rsid w:val="2E8E4643"/>
    <w:rsid w:val="2E8E7D31"/>
    <w:rsid w:val="2EE8C294"/>
    <w:rsid w:val="2F7661F3"/>
    <w:rsid w:val="2FA6F2C0"/>
    <w:rsid w:val="30B89212"/>
    <w:rsid w:val="30EDBFC2"/>
    <w:rsid w:val="30F97C62"/>
    <w:rsid w:val="30FC3356"/>
    <w:rsid w:val="3192DD79"/>
    <w:rsid w:val="3205A40E"/>
    <w:rsid w:val="320BC70F"/>
    <w:rsid w:val="32158470"/>
    <w:rsid w:val="3268830B"/>
    <w:rsid w:val="32C1C859"/>
    <w:rsid w:val="32F6F98A"/>
    <w:rsid w:val="33059570"/>
    <w:rsid w:val="33985B12"/>
    <w:rsid w:val="33E5B4FB"/>
    <w:rsid w:val="34DFCB06"/>
    <w:rsid w:val="34E998B1"/>
    <w:rsid w:val="34F06E92"/>
    <w:rsid w:val="3518770D"/>
    <w:rsid w:val="351F2960"/>
    <w:rsid w:val="3569ECBC"/>
    <w:rsid w:val="35821FBB"/>
    <w:rsid w:val="358BCD3F"/>
    <w:rsid w:val="35A59737"/>
    <w:rsid w:val="3630E3D9"/>
    <w:rsid w:val="36C1AD60"/>
    <w:rsid w:val="36E718BD"/>
    <w:rsid w:val="372DFBD6"/>
    <w:rsid w:val="375E6B6B"/>
    <w:rsid w:val="3782F5BA"/>
    <w:rsid w:val="381054FE"/>
    <w:rsid w:val="382BB0E4"/>
    <w:rsid w:val="38303276"/>
    <w:rsid w:val="38D94B9A"/>
    <w:rsid w:val="39728167"/>
    <w:rsid w:val="397FF86C"/>
    <w:rsid w:val="39F787EA"/>
    <w:rsid w:val="3A1863B5"/>
    <w:rsid w:val="3A252E23"/>
    <w:rsid w:val="3AC975C0"/>
    <w:rsid w:val="3AE1C658"/>
    <w:rsid w:val="3AE87F4D"/>
    <w:rsid w:val="3B3759A5"/>
    <w:rsid w:val="3B799BCC"/>
    <w:rsid w:val="3B983095"/>
    <w:rsid w:val="3BBDEFDF"/>
    <w:rsid w:val="3C09902F"/>
    <w:rsid w:val="3C205190"/>
    <w:rsid w:val="3C415B41"/>
    <w:rsid w:val="3C637521"/>
    <w:rsid w:val="3C87A00B"/>
    <w:rsid w:val="3D1B7E88"/>
    <w:rsid w:val="3D23032C"/>
    <w:rsid w:val="3DF4D5B1"/>
    <w:rsid w:val="3E0BD2A6"/>
    <w:rsid w:val="3E587F8E"/>
    <w:rsid w:val="3EEBE81C"/>
    <w:rsid w:val="3F8285E0"/>
    <w:rsid w:val="3FC738EB"/>
    <w:rsid w:val="3FF7CE88"/>
    <w:rsid w:val="404A42F7"/>
    <w:rsid w:val="405C61C0"/>
    <w:rsid w:val="40CDF8D1"/>
    <w:rsid w:val="4131F494"/>
    <w:rsid w:val="41531929"/>
    <w:rsid w:val="41B4A28C"/>
    <w:rsid w:val="4254DCC1"/>
    <w:rsid w:val="42EDEF6D"/>
    <w:rsid w:val="43768F17"/>
    <w:rsid w:val="451C38B0"/>
    <w:rsid w:val="457E80E2"/>
    <w:rsid w:val="45866D16"/>
    <w:rsid w:val="46186346"/>
    <w:rsid w:val="464F45A7"/>
    <w:rsid w:val="4660B91A"/>
    <w:rsid w:val="46D68B46"/>
    <w:rsid w:val="4734A752"/>
    <w:rsid w:val="475F3A1A"/>
    <w:rsid w:val="47C26FF6"/>
    <w:rsid w:val="47CA3E1F"/>
    <w:rsid w:val="4816A654"/>
    <w:rsid w:val="481A0B18"/>
    <w:rsid w:val="48375772"/>
    <w:rsid w:val="487623C5"/>
    <w:rsid w:val="4909FF02"/>
    <w:rsid w:val="4936E5BF"/>
    <w:rsid w:val="4959E051"/>
    <w:rsid w:val="4A1DDAEB"/>
    <w:rsid w:val="4A4DD050"/>
    <w:rsid w:val="4AA1AE5E"/>
    <w:rsid w:val="4B71E956"/>
    <w:rsid w:val="4C05280B"/>
    <w:rsid w:val="4C2A1218"/>
    <w:rsid w:val="4C8918ED"/>
    <w:rsid w:val="4D05D725"/>
    <w:rsid w:val="4D0967CF"/>
    <w:rsid w:val="4D65BC3A"/>
    <w:rsid w:val="4D8EC441"/>
    <w:rsid w:val="4DBA415A"/>
    <w:rsid w:val="4DE0175B"/>
    <w:rsid w:val="4E12A658"/>
    <w:rsid w:val="4E2B0E51"/>
    <w:rsid w:val="4EDF1A41"/>
    <w:rsid w:val="4EF92727"/>
    <w:rsid w:val="4EFA7888"/>
    <w:rsid w:val="4F35BA93"/>
    <w:rsid w:val="4F76BD83"/>
    <w:rsid w:val="4F9EA472"/>
    <w:rsid w:val="4FCC0AD1"/>
    <w:rsid w:val="5018C294"/>
    <w:rsid w:val="510D766F"/>
    <w:rsid w:val="51115786"/>
    <w:rsid w:val="5170D769"/>
    <w:rsid w:val="526362D6"/>
    <w:rsid w:val="527DC273"/>
    <w:rsid w:val="52CC3B59"/>
    <w:rsid w:val="5369F3F4"/>
    <w:rsid w:val="537A5530"/>
    <w:rsid w:val="537B7A8F"/>
    <w:rsid w:val="547A2D94"/>
    <w:rsid w:val="547CDDA0"/>
    <w:rsid w:val="54ACA371"/>
    <w:rsid w:val="550BC2F9"/>
    <w:rsid w:val="558BDF90"/>
    <w:rsid w:val="559D80A3"/>
    <w:rsid w:val="565C7792"/>
    <w:rsid w:val="56F1BA1B"/>
    <w:rsid w:val="57821025"/>
    <w:rsid w:val="57CD894D"/>
    <w:rsid w:val="58532BE8"/>
    <w:rsid w:val="587E035A"/>
    <w:rsid w:val="58A84EEA"/>
    <w:rsid w:val="58E96E3A"/>
    <w:rsid w:val="593AC637"/>
    <w:rsid w:val="593E5738"/>
    <w:rsid w:val="594C7A0B"/>
    <w:rsid w:val="59C112C8"/>
    <w:rsid w:val="5A4CF6CC"/>
    <w:rsid w:val="5AF03726"/>
    <w:rsid w:val="5B545F6C"/>
    <w:rsid w:val="5B67C7D7"/>
    <w:rsid w:val="5C24D288"/>
    <w:rsid w:val="5C6F8BC2"/>
    <w:rsid w:val="5CE41D62"/>
    <w:rsid w:val="5CEFEC53"/>
    <w:rsid w:val="5DC4A04A"/>
    <w:rsid w:val="5DD4D7CF"/>
    <w:rsid w:val="5E4023AB"/>
    <w:rsid w:val="5E7D70E4"/>
    <w:rsid w:val="5E97B0CB"/>
    <w:rsid w:val="5F62B1B6"/>
    <w:rsid w:val="5FAE97D8"/>
    <w:rsid w:val="5FD35E9D"/>
    <w:rsid w:val="600DB829"/>
    <w:rsid w:val="6079877E"/>
    <w:rsid w:val="612F3305"/>
    <w:rsid w:val="61EE564A"/>
    <w:rsid w:val="62456E77"/>
    <w:rsid w:val="62BE2085"/>
    <w:rsid w:val="62C9B2EA"/>
    <w:rsid w:val="631FEBCA"/>
    <w:rsid w:val="639E9B9B"/>
    <w:rsid w:val="63BEA325"/>
    <w:rsid w:val="6462B5A6"/>
    <w:rsid w:val="649087DC"/>
    <w:rsid w:val="649395FB"/>
    <w:rsid w:val="64A4B944"/>
    <w:rsid w:val="64D5FF92"/>
    <w:rsid w:val="64F692D4"/>
    <w:rsid w:val="656A1E2D"/>
    <w:rsid w:val="65772A6C"/>
    <w:rsid w:val="65A72BA2"/>
    <w:rsid w:val="6654291A"/>
    <w:rsid w:val="66BD4B63"/>
    <w:rsid w:val="671C4404"/>
    <w:rsid w:val="67205E4B"/>
    <w:rsid w:val="67630FE3"/>
    <w:rsid w:val="678818CA"/>
    <w:rsid w:val="67929FA3"/>
    <w:rsid w:val="67997BEE"/>
    <w:rsid w:val="67E5EF71"/>
    <w:rsid w:val="688EC8D6"/>
    <w:rsid w:val="68A23DD0"/>
    <w:rsid w:val="68C2C5D5"/>
    <w:rsid w:val="68DB40FC"/>
    <w:rsid w:val="691A06BB"/>
    <w:rsid w:val="691A7037"/>
    <w:rsid w:val="6924D4D1"/>
    <w:rsid w:val="6987D822"/>
    <w:rsid w:val="6A0510BF"/>
    <w:rsid w:val="6A66705C"/>
    <w:rsid w:val="6AB03904"/>
    <w:rsid w:val="6ABC4D12"/>
    <w:rsid w:val="6AC31E23"/>
    <w:rsid w:val="6B3C2582"/>
    <w:rsid w:val="6B5B80CE"/>
    <w:rsid w:val="6BF9886D"/>
    <w:rsid w:val="6C7E551B"/>
    <w:rsid w:val="6D17EF1F"/>
    <w:rsid w:val="6D488CFE"/>
    <w:rsid w:val="6D5E2B53"/>
    <w:rsid w:val="6D92290A"/>
    <w:rsid w:val="6DC8581C"/>
    <w:rsid w:val="6DE954D4"/>
    <w:rsid w:val="6DEE8A84"/>
    <w:rsid w:val="6E235B12"/>
    <w:rsid w:val="6FEFD563"/>
    <w:rsid w:val="702EE3C2"/>
    <w:rsid w:val="70481CF2"/>
    <w:rsid w:val="70631177"/>
    <w:rsid w:val="70A625F7"/>
    <w:rsid w:val="70C006E6"/>
    <w:rsid w:val="713AB4F6"/>
    <w:rsid w:val="716D41F4"/>
    <w:rsid w:val="7193A06A"/>
    <w:rsid w:val="71C31FE3"/>
    <w:rsid w:val="71E6426E"/>
    <w:rsid w:val="71F51864"/>
    <w:rsid w:val="724E9FAD"/>
    <w:rsid w:val="727A167A"/>
    <w:rsid w:val="72AFD5C4"/>
    <w:rsid w:val="72D168A5"/>
    <w:rsid w:val="72F6ECCE"/>
    <w:rsid w:val="730FCCFB"/>
    <w:rsid w:val="73BF3F6F"/>
    <w:rsid w:val="73C5D9BC"/>
    <w:rsid w:val="73F401F8"/>
    <w:rsid w:val="74B9DF17"/>
    <w:rsid w:val="74CD2655"/>
    <w:rsid w:val="75207B8F"/>
    <w:rsid w:val="753F003B"/>
    <w:rsid w:val="755D8C82"/>
    <w:rsid w:val="75809766"/>
    <w:rsid w:val="75BE7B32"/>
    <w:rsid w:val="75E7E8C2"/>
    <w:rsid w:val="7669ACD6"/>
    <w:rsid w:val="766E7AF6"/>
    <w:rsid w:val="76825172"/>
    <w:rsid w:val="76B67B90"/>
    <w:rsid w:val="77316144"/>
    <w:rsid w:val="77359BF2"/>
    <w:rsid w:val="77446A4A"/>
    <w:rsid w:val="777ECC86"/>
    <w:rsid w:val="77D2CA7A"/>
    <w:rsid w:val="78206F1E"/>
    <w:rsid w:val="784B72B7"/>
    <w:rsid w:val="785BA168"/>
    <w:rsid w:val="7929D98B"/>
    <w:rsid w:val="79B17F01"/>
    <w:rsid w:val="79BEC7F1"/>
    <w:rsid w:val="79CB34D5"/>
    <w:rsid w:val="7A1FFE35"/>
    <w:rsid w:val="7A6AF975"/>
    <w:rsid w:val="7A75D9C9"/>
    <w:rsid w:val="7A91341A"/>
    <w:rsid w:val="7B254AC1"/>
    <w:rsid w:val="7B51F349"/>
    <w:rsid w:val="7BAD7C19"/>
    <w:rsid w:val="7BEE4526"/>
    <w:rsid w:val="7BF38582"/>
    <w:rsid w:val="7C285CBA"/>
    <w:rsid w:val="7C297149"/>
    <w:rsid w:val="7C97CD75"/>
    <w:rsid w:val="7CA17E0A"/>
    <w:rsid w:val="7D073C85"/>
    <w:rsid w:val="7D0CF5E0"/>
    <w:rsid w:val="7DA9163B"/>
    <w:rsid w:val="7DEED1A8"/>
    <w:rsid w:val="7E030E9E"/>
    <w:rsid w:val="7E1955CF"/>
    <w:rsid w:val="7F17C408"/>
    <w:rsid w:val="7FA29CDC"/>
    <w:rsid w:val="7FD379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89E2"/>
  <w15:docId w15:val="{38D6A328-5785-4CB2-BD85-E77B7552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55AB"/>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55FE"/>
    <w:pPr>
      <w:tabs>
        <w:tab w:val="center" w:pos="4536"/>
        <w:tab w:val="right" w:pos="9072"/>
      </w:tabs>
      <w:spacing w:after="0" w:line="240" w:lineRule="auto"/>
    </w:pPr>
  </w:style>
  <w:style w:type="character" w:customStyle="1" w:styleId="lfejChar">
    <w:name w:val="Élőfej Char"/>
    <w:basedOn w:val="Bekezdsalapbettpusa"/>
    <w:link w:val="lfej"/>
    <w:uiPriority w:val="99"/>
    <w:rsid w:val="00B155FE"/>
  </w:style>
  <w:style w:type="paragraph" w:styleId="llb">
    <w:name w:val="footer"/>
    <w:basedOn w:val="Norml"/>
    <w:link w:val="llbChar"/>
    <w:uiPriority w:val="99"/>
    <w:unhideWhenUsed/>
    <w:rsid w:val="00B155FE"/>
    <w:pPr>
      <w:tabs>
        <w:tab w:val="center" w:pos="4536"/>
        <w:tab w:val="right" w:pos="9072"/>
      </w:tabs>
      <w:spacing w:after="0" w:line="240" w:lineRule="auto"/>
    </w:pPr>
  </w:style>
  <w:style w:type="character" w:customStyle="1" w:styleId="llbChar">
    <w:name w:val="Élőláb Char"/>
    <w:basedOn w:val="Bekezdsalapbettpusa"/>
    <w:link w:val="llb"/>
    <w:uiPriority w:val="99"/>
    <w:rsid w:val="00B155FE"/>
  </w:style>
  <w:style w:type="paragraph" w:styleId="Lbjegyzetszveg">
    <w:name w:val="footnote text"/>
    <w:basedOn w:val="Norml"/>
    <w:link w:val="LbjegyzetszvegChar"/>
    <w:uiPriority w:val="99"/>
    <w:semiHidden/>
    <w:unhideWhenUsed/>
    <w:rsid w:val="00B155F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155FE"/>
    <w:rPr>
      <w:sz w:val="20"/>
      <w:szCs w:val="20"/>
    </w:rPr>
  </w:style>
  <w:style w:type="character" w:styleId="Lbjegyzet-hivatkozs">
    <w:name w:val="footnote reference"/>
    <w:semiHidden/>
    <w:rsid w:val="00B155FE"/>
    <w:rPr>
      <w:vertAlign w:val="superscript"/>
    </w:rPr>
  </w:style>
  <w:style w:type="character" w:styleId="Oldalszm">
    <w:name w:val="page number"/>
    <w:basedOn w:val="Bekezdsalapbettpusa"/>
    <w:rsid w:val="00B155FE"/>
  </w:style>
  <w:style w:type="paragraph" w:styleId="Buborkszveg">
    <w:name w:val="Balloon Text"/>
    <w:basedOn w:val="Norml"/>
    <w:link w:val="BuborkszvegChar"/>
    <w:uiPriority w:val="99"/>
    <w:semiHidden/>
    <w:unhideWhenUsed/>
    <w:rsid w:val="009732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327C"/>
    <w:rPr>
      <w:rFonts w:ascii="Tahoma" w:hAnsi="Tahoma" w:cs="Tahoma"/>
      <w:sz w:val="16"/>
      <w:szCs w:val="16"/>
    </w:rPr>
  </w:style>
  <w:style w:type="paragraph" w:styleId="Listaszerbekezds">
    <w:name w:val="List Paragraph"/>
    <w:basedOn w:val="Norml"/>
    <w:uiPriority w:val="34"/>
    <w:qFormat/>
    <w:rsid w:val="00F71CAC"/>
    <w:pPr>
      <w:ind w:left="720"/>
      <w:contextualSpacing/>
    </w:p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table" w:styleId="Rcsostblzat">
    <w:name w:val="Table Grid"/>
    <w:basedOn w:val="Normltblzat"/>
    <w:uiPriority w:val="39"/>
    <w:rsid w:val="00D4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165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Pr>
      <w:color w:val="0563C1" w:themeColor="hyperlink"/>
      <w:u w:val="single"/>
    </w:rPr>
  </w:style>
  <w:style w:type="table" w:styleId="Tblzatrcsos1vilgos1jellszn">
    <w:name w:val="Grid Table 1 Light Accent 1"/>
    <w:basedOn w:val="Normltblzat"/>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Megjegyzstrgya">
    <w:name w:val="annotation subject"/>
    <w:basedOn w:val="Jegyzetszveg"/>
    <w:next w:val="Jegyzetszveg"/>
    <w:link w:val="MegjegyzstrgyaChar"/>
    <w:uiPriority w:val="99"/>
    <w:semiHidden/>
    <w:unhideWhenUsed/>
    <w:rsid w:val="00C75D5A"/>
    <w:rPr>
      <w:b/>
      <w:bCs/>
    </w:rPr>
  </w:style>
  <w:style w:type="character" w:customStyle="1" w:styleId="MegjegyzstrgyaChar">
    <w:name w:val="Megjegyzés tárgya Char"/>
    <w:basedOn w:val="JegyzetszvegChar"/>
    <w:link w:val="Megjegyzstrgya"/>
    <w:uiPriority w:val="99"/>
    <w:semiHidden/>
    <w:rsid w:val="00C75D5A"/>
    <w:rPr>
      <w:b/>
      <w:bCs/>
      <w:sz w:val="20"/>
      <w:szCs w:val="20"/>
    </w:rPr>
  </w:style>
  <w:style w:type="paragraph" w:styleId="Vltozat">
    <w:name w:val="Revision"/>
    <w:hidden/>
    <w:uiPriority w:val="99"/>
    <w:semiHidden/>
    <w:rsid w:val="0016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1892">
      <w:bodyDiv w:val="1"/>
      <w:marLeft w:val="0"/>
      <w:marRight w:val="0"/>
      <w:marTop w:val="0"/>
      <w:marBottom w:val="0"/>
      <w:divBdr>
        <w:top w:val="none" w:sz="0" w:space="0" w:color="auto"/>
        <w:left w:val="none" w:sz="0" w:space="0" w:color="auto"/>
        <w:bottom w:val="none" w:sz="0" w:space="0" w:color="auto"/>
        <w:right w:val="none" w:sz="0" w:space="0" w:color="auto"/>
      </w:divBdr>
    </w:div>
    <w:div w:id="240256079">
      <w:bodyDiv w:val="1"/>
      <w:marLeft w:val="0"/>
      <w:marRight w:val="0"/>
      <w:marTop w:val="0"/>
      <w:marBottom w:val="0"/>
      <w:divBdr>
        <w:top w:val="none" w:sz="0" w:space="0" w:color="auto"/>
        <w:left w:val="none" w:sz="0" w:space="0" w:color="auto"/>
        <w:bottom w:val="none" w:sz="0" w:space="0" w:color="auto"/>
        <w:right w:val="none" w:sz="0" w:space="0" w:color="auto"/>
      </w:divBdr>
    </w:div>
    <w:div w:id="248008608">
      <w:bodyDiv w:val="1"/>
      <w:marLeft w:val="0"/>
      <w:marRight w:val="0"/>
      <w:marTop w:val="0"/>
      <w:marBottom w:val="0"/>
      <w:divBdr>
        <w:top w:val="none" w:sz="0" w:space="0" w:color="auto"/>
        <w:left w:val="none" w:sz="0" w:space="0" w:color="auto"/>
        <w:bottom w:val="none" w:sz="0" w:space="0" w:color="auto"/>
        <w:right w:val="none" w:sz="0" w:space="0" w:color="auto"/>
      </w:divBdr>
    </w:div>
    <w:div w:id="251550484">
      <w:bodyDiv w:val="1"/>
      <w:marLeft w:val="0"/>
      <w:marRight w:val="0"/>
      <w:marTop w:val="0"/>
      <w:marBottom w:val="0"/>
      <w:divBdr>
        <w:top w:val="none" w:sz="0" w:space="0" w:color="auto"/>
        <w:left w:val="none" w:sz="0" w:space="0" w:color="auto"/>
        <w:bottom w:val="none" w:sz="0" w:space="0" w:color="auto"/>
        <w:right w:val="none" w:sz="0" w:space="0" w:color="auto"/>
      </w:divBdr>
    </w:div>
    <w:div w:id="263924984">
      <w:bodyDiv w:val="1"/>
      <w:marLeft w:val="0"/>
      <w:marRight w:val="0"/>
      <w:marTop w:val="0"/>
      <w:marBottom w:val="0"/>
      <w:divBdr>
        <w:top w:val="none" w:sz="0" w:space="0" w:color="auto"/>
        <w:left w:val="none" w:sz="0" w:space="0" w:color="auto"/>
        <w:bottom w:val="none" w:sz="0" w:space="0" w:color="auto"/>
        <w:right w:val="none" w:sz="0" w:space="0" w:color="auto"/>
      </w:divBdr>
    </w:div>
    <w:div w:id="414713825">
      <w:bodyDiv w:val="1"/>
      <w:marLeft w:val="0"/>
      <w:marRight w:val="0"/>
      <w:marTop w:val="0"/>
      <w:marBottom w:val="0"/>
      <w:divBdr>
        <w:top w:val="none" w:sz="0" w:space="0" w:color="auto"/>
        <w:left w:val="none" w:sz="0" w:space="0" w:color="auto"/>
        <w:bottom w:val="none" w:sz="0" w:space="0" w:color="auto"/>
        <w:right w:val="none" w:sz="0" w:space="0" w:color="auto"/>
      </w:divBdr>
    </w:div>
    <w:div w:id="419377097">
      <w:bodyDiv w:val="1"/>
      <w:marLeft w:val="0"/>
      <w:marRight w:val="0"/>
      <w:marTop w:val="0"/>
      <w:marBottom w:val="0"/>
      <w:divBdr>
        <w:top w:val="none" w:sz="0" w:space="0" w:color="auto"/>
        <w:left w:val="none" w:sz="0" w:space="0" w:color="auto"/>
        <w:bottom w:val="none" w:sz="0" w:space="0" w:color="auto"/>
        <w:right w:val="none" w:sz="0" w:space="0" w:color="auto"/>
      </w:divBdr>
    </w:div>
    <w:div w:id="422839085">
      <w:bodyDiv w:val="1"/>
      <w:marLeft w:val="0"/>
      <w:marRight w:val="0"/>
      <w:marTop w:val="0"/>
      <w:marBottom w:val="0"/>
      <w:divBdr>
        <w:top w:val="none" w:sz="0" w:space="0" w:color="auto"/>
        <w:left w:val="none" w:sz="0" w:space="0" w:color="auto"/>
        <w:bottom w:val="none" w:sz="0" w:space="0" w:color="auto"/>
        <w:right w:val="none" w:sz="0" w:space="0" w:color="auto"/>
      </w:divBdr>
    </w:div>
    <w:div w:id="425614567">
      <w:bodyDiv w:val="1"/>
      <w:marLeft w:val="0"/>
      <w:marRight w:val="0"/>
      <w:marTop w:val="0"/>
      <w:marBottom w:val="0"/>
      <w:divBdr>
        <w:top w:val="none" w:sz="0" w:space="0" w:color="auto"/>
        <w:left w:val="none" w:sz="0" w:space="0" w:color="auto"/>
        <w:bottom w:val="none" w:sz="0" w:space="0" w:color="auto"/>
        <w:right w:val="none" w:sz="0" w:space="0" w:color="auto"/>
      </w:divBdr>
    </w:div>
    <w:div w:id="457265896">
      <w:bodyDiv w:val="1"/>
      <w:marLeft w:val="0"/>
      <w:marRight w:val="0"/>
      <w:marTop w:val="0"/>
      <w:marBottom w:val="0"/>
      <w:divBdr>
        <w:top w:val="none" w:sz="0" w:space="0" w:color="auto"/>
        <w:left w:val="none" w:sz="0" w:space="0" w:color="auto"/>
        <w:bottom w:val="none" w:sz="0" w:space="0" w:color="auto"/>
        <w:right w:val="none" w:sz="0" w:space="0" w:color="auto"/>
      </w:divBdr>
    </w:div>
    <w:div w:id="750005642">
      <w:bodyDiv w:val="1"/>
      <w:marLeft w:val="0"/>
      <w:marRight w:val="0"/>
      <w:marTop w:val="0"/>
      <w:marBottom w:val="0"/>
      <w:divBdr>
        <w:top w:val="none" w:sz="0" w:space="0" w:color="auto"/>
        <w:left w:val="none" w:sz="0" w:space="0" w:color="auto"/>
        <w:bottom w:val="none" w:sz="0" w:space="0" w:color="auto"/>
        <w:right w:val="none" w:sz="0" w:space="0" w:color="auto"/>
      </w:divBdr>
    </w:div>
    <w:div w:id="825049051">
      <w:bodyDiv w:val="1"/>
      <w:marLeft w:val="0"/>
      <w:marRight w:val="0"/>
      <w:marTop w:val="0"/>
      <w:marBottom w:val="0"/>
      <w:divBdr>
        <w:top w:val="none" w:sz="0" w:space="0" w:color="auto"/>
        <w:left w:val="none" w:sz="0" w:space="0" w:color="auto"/>
        <w:bottom w:val="none" w:sz="0" w:space="0" w:color="auto"/>
        <w:right w:val="none" w:sz="0" w:space="0" w:color="auto"/>
      </w:divBdr>
    </w:div>
    <w:div w:id="831945513">
      <w:bodyDiv w:val="1"/>
      <w:marLeft w:val="0"/>
      <w:marRight w:val="0"/>
      <w:marTop w:val="0"/>
      <w:marBottom w:val="0"/>
      <w:divBdr>
        <w:top w:val="none" w:sz="0" w:space="0" w:color="auto"/>
        <w:left w:val="none" w:sz="0" w:space="0" w:color="auto"/>
        <w:bottom w:val="none" w:sz="0" w:space="0" w:color="auto"/>
        <w:right w:val="none" w:sz="0" w:space="0" w:color="auto"/>
      </w:divBdr>
    </w:div>
    <w:div w:id="955060427">
      <w:bodyDiv w:val="1"/>
      <w:marLeft w:val="0"/>
      <w:marRight w:val="0"/>
      <w:marTop w:val="0"/>
      <w:marBottom w:val="0"/>
      <w:divBdr>
        <w:top w:val="none" w:sz="0" w:space="0" w:color="auto"/>
        <w:left w:val="none" w:sz="0" w:space="0" w:color="auto"/>
        <w:bottom w:val="none" w:sz="0" w:space="0" w:color="auto"/>
        <w:right w:val="none" w:sz="0" w:space="0" w:color="auto"/>
      </w:divBdr>
    </w:div>
    <w:div w:id="1020281846">
      <w:bodyDiv w:val="1"/>
      <w:marLeft w:val="0"/>
      <w:marRight w:val="0"/>
      <w:marTop w:val="0"/>
      <w:marBottom w:val="0"/>
      <w:divBdr>
        <w:top w:val="none" w:sz="0" w:space="0" w:color="auto"/>
        <w:left w:val="none" w:sz="0" w:space="0" w:color="auto"/>
        <w:bottom w:val="none" w:sz="0" w:space="0" w:color="auto"/>
        <w:right w:val="none" w:sz="0" w:space="0" w:color="auto"/>
      </w:divBdr>
    </w:div>
    <w:div w:id="1137841753">
      <w:bodyDiv w:val="1"/>
      <w:marLeft w:val="0"/>
      <w:marRight w:val="0"/>
      <w:marTop w:val="0"/>
      <w:marBottom w:val="0"/>
      <w:divBdr>
        <w:top w:val="none" w:sz="0" w:space="0" w:color="auto"/>
        <w:left w:val="none" w:sz="0" w:space="0" w:color="auto"/>
        <w:bottom w:val="none" w:sz="0" w:space="0" w:color="auto"/>
        <w:right w:val="none" w:sz="0" w:space="0" w:color="auto"/>
      </w:divBdr>
    </w:div>
    <w:div w:id="1145925425">
      <w:bodyDiv w:val="1"/>
      <w:marLeft w:val="0"/>
      <w:marRight w:val="0"/>
      <w:marTop w:val="0"/>
      <w:marBottom w:val="0"/>
      <w:divBdr>
        <w:top w:val="none" w:sz="0" w:space="0" w:color="auto"/>
        <w:left w:val="none" w:sz="0" w:space="0" w:color="auto"/>
        <w:bottom w:val="none" w:sz="0" w:space="0" w:color="auto"/>
        <w:right w:val="none" w:sz="0" w:space="0" w:color="auto"/>
      </w:divBdr>
    </w:div>
    <w:div w:id="1154029676">
      <w:bodyDiv w:val="1"/>
      <w:marLeft w:val="0"/>
      <w:marRight w:val="0"/>
      <w:marTop w:val="0"/>
      <w:marBottom w:val="0"/>
      <w:divBdr>
        <w:top w:val="none" w:sz="0" w:space="0" w:color="auto"/>
        <w:left w:val="none" w:sz="0" w:space="0" w:color="auto"/>
        <w:bottom w:val="none" w:sz="0" w:space="0" w:color="auto"/>
        <w:right w:val="none" w:sz="0" w:space="0" w:color="auto"/>
      </w:divBdr>
    </w:div>
    <w:div w:id="1194074906">
      <w:bodyDiv w:val="1"/>
      <w:marLeft w:val="0"/>
      <w:marRight w:val="0"/>
      <w:marTop w:val="0"/>
      <w:marBottom w:val="0"/>
      <w:divBdr>
        <w:top w:val="none" w:sz="0" w:space="0" w:color="auto"/>
        <w:left w:val="none" w:sz="0" w:space="0" w:color="auto"/>
        <w:bottom w:val="none" w:sz="0" w:space="0" w:color="auto"/>
        <w:right w:val="none" w:sz="0" w:space="0" w:color="auto"/>
      </w:divBdr>
    </w:div>
    <w:div w:id="1262031817">
      <w:bodyDiv w:val="1"/>
      <w:marLeft w:val="0"/>
      <w:marRight w:val="0"/>
      <w:marTop w:val="0"/>
      <w:marBottom w:val="0"/>
      <w:divBdr>
        <w:top w:val="none" w:sz="0" w:space="0" w:color="auto"/>
        <w:left w:val="none" w:sz="0" w:space="0" w:color="auto"/>
        <w:bottom w:val="none" w:sz="0" w:space="0" w:color="auto"/>
        <w:right w:val="none" w:sz="0" w:space="0" w:color="auto"/>
      </w:divBdr>
    </w:div>
    <w:div w:id="1299650999">
      <w:bodyDiv w:val="1"/>
      <w:marLeft w:val="0"/>
      <w:marRight w:val="0"/>
      <w:marTop w:val="0"/>
      <w:marBottom w:val="0"/>
      <w:divBdr>
        <w:top w:val="none" w:sz="0" w:space="0" w:color="auto"/>
        <w:left w:val="none" w:sz="0" w:space="0" w:color="auto"/>
        <w:bottom w:val="none" w:sz="0" w:space="0" w:color="auto"/>
        <w:right w:val="none" w:sz="0" w:space="0" w:color="auto"/>
      </w:divBdr>
    </w:div>
    <w:div w:id="1332442699">
      <w:bodyDiv w:val="1"/>
      <w:marLeft w:val="0"/>
      <w:marRight w:val="0"/>
      <w:marTop w:val="0"/>
      <w:marBottom w:val="0"/>
      <w:divBdr>
        <w:top w:val="none" w:sz="0" w:space="0" w:color="auto"/>
        <w:left w:val="none" w:sz="0" w:space="0" w:color="auto"/>
        <w:bottom w:val="none" w:sz="0" w:space="0" w:color="auto"/>
        <w:right w:val="none" w:sz="0" w:space="0" w:color="auto"/>
      </w:divBdr>
    </w:div>
    <w:div w:id="1362433673">
      <w:bodyDiv w:val="1"/>
      <w:marLeft w:val="0"/>
      <w:marRight w:val="0"/>
      <w:marTop w:val="0"/>
      <w:marBottom w:val="0"/>
      <w:divBdr>
        <w:top w:val="none" w:sz="0" w:space="0" w:color="auto"/>
        <w:left w:val="none" w:sz="0" w:space="0" w:color="auto"/>
        <w:bottom w:val="none" w:sz="0" w:space="0" w:color="auto"/>
        <w:right w:val="none" w:sz="0" w:space="0" w:color="auto"/>
      </w:divBdr>
    </w:div>
    <w:div w:id="1369573113">
      <w:bodyDiv w:val="1"/>
      <w:marLeft w:val="0"/>
      <w:marRight w:val="0"/>
      <w:marTop w:val="0"/>
      <w:marBottom w:val="0"/>
      <w:divBdr>
        <w:top w:val="none" w:sz="0" w:space="0" w:color="auto"/>
        <w:left w:val="none" w:sz="0" w:space="0" w:color="auto"/>
        <w:bottom w:val="none" w:sz="0" w:space="0" w:color="auto"/>
        <w:right w:val="none" w:sz="0" w:space="0" w:color="auto"/>
      </w:divBdr>
    </w:div>
    <w:div w:id="1514765667">
      <w:bodyDiv w:val="1"/>
      <w:marLeft w:val="0"/>
      <w:marRight w:val="0"/>
      <w:marTop w:val="0"/>
      <w:marBottom w:val="0"/>
      <w:divBdr>
        <w:top w:val="none" w:sz="0" w:space="0" w:color="auto"/>
        <w:left w:val="none" w:sz="0" w:space="0" w:color="auto"/>
        <w:bottom w:val="none" w:sz="0" w:space="0" w:color="auto"/>
        <w:right w:val="none" w:sz="0" w:space="0" w:color="auto"/>
      </w:divBdr>
    </w:div>
    <w:div w:id="1527596982">
      <w:bodyDiv w:val="1"/>
      <w:marLeft w:val="0"/>
      <w:marRight w:val="0"/>
      <w:marTop w:val="0"/>
      <w:marBottom w:val="0"/>
      <w:divBdr>
        <w:top w:val="none" w:sz="0" w:space="0" w:color="auto"/>
        <w:left w:val="none" w:sz="0" w:space="0" w:color="auto"/>
        <w:bottom w:val="none" w:sz="0" w:space="0" w:color="auto"/>
        <w:right w:val="none" w:sz="0" w:space="0" w:color="auto"/>
      </w:divBdr>
    </w:div>
    <w:div w:id="1538201461">
      <w:bodyDiv w:val="1"/>
      <w:marLeft w:val="0"/>
      <w:marRight w:val="0"/>
      <w:marTop w:val="0"/>
      <w:marBottom w:val="0"/>
      <w:divBdr>
        <w:top w:val="none" w:sz="0" w:space="0" w:color="auto"/>
        <w:left w:val="none" w:sz="0" w:space="0" w:color="auto"/>
        <w:bottom w:val="none" w:sz="0" w:space="0" w:color="auto"/>
        <w:right w:val="none" w:sz="0" w:space="0" w:color="auto"/>
      </w:divBdr>
    </w:div>
    <w:div w:id="1587760903">
      <w:bodyDiv w:val="1"/>
      <w:marLeft w:val="0"/>
      <w:marRight w:val="0"/>
      <w:marTop w:val="0"/>
      <w:marBottom w:val="0"/>
      <w:divBdr>
        <w:top w:val="none" w:sz="0" w:space="0" w:color="auto"/>
        <w:left w:val="none" w:sz="0" w:space="0" w:color="auto"/>
        <w:bottom w:val="none" w:sz="0" w:space="0" w:color="auto"/>
        <w:right w:val="none" w:sz="0" w:space="0" w:color="auto"/>
      </w:divBdr>
    </w:div>
    <w:div w:id="1611275865">
      <w:bodyDiv w:val="1"/>
      <w:marLeft w:val="0"/>
      <w:marRight w:val="0"/>
      <w:marTop w:val="0"/>
      <w:marBottom w:val="0"/>
      <w:divBdr>
        <w:top w:val="none" w:sz="0" w:space="0" w:color="auto"/>
        <w:left w:val="none" w:sz="0" w:space="0" w:color="auto"/>
        <w:bottom w:val="none" w:sz="0" w:space="0" w:color="auto"/>
        <w:right w:val="none" w:sz="0" w:space="0" w:color="auto"/>
      </w:divBdr>
    </w:div>
    <w:div w:id="1633056647">
      <w:bodyDiv w:val="1"/>
      <w:marLeft w:val="0"/>
      <w:marRight w:val="0"/>
      <w:marTop w:val="0"/>
      <w:marBottom w:val="0"/>
      <w:divBdr>
        <w:top w:val="none" w:sz="0" w:space="0" w:color="auto"/>
        <w:left w:val="none" w:sz="0" w:space="0" w:color="auto"/>
        <w:bottom w:val="none" w:sz="0" w:space="0" w:color="auto"/>
        <w:right w:val="none" w:sz="0" w:space="0" w:color="auto"/>
      </w:divBdr>
    </w:div>
    <w:div w:id="1774401931">
      <w:bodyDiv w:val="1"/>
      <w:marLeft w:val="0"/>
      <w:marRight w:val="0"/>
      <w:marTop w:val="0"/>
      <w:marBottom w:val="0"/>
      <w:divBdr>
        <w:top w:val="none" w:sz="0" w:space="0" w:color="auto"/>
        <w:left w:val="none" w:sz="0" w:space="0" w:color="auto"/>
        <w:bottom w:val="none" w:sz="0" w:space="0" w:color="auto"/>
        <w:right w:val="none" w:sz="0" w:space="0" w:color="auto"/>
      </w:divBdr>
    </w:div>
    <w:div w:id="1891844003">
      <w:bodyDiv w:val="1"/>
      <w:marLeft w:val="0"/>
      <w:marRight w:val="0"/>
      <w:marTop w:val="0"/>
      <w:marBottom w:val="0"/>
      <w:divBdr>
        <w:top w:val="none" w:sz="0" w:space="0" w:color="auto"/>
        <w:left w:val="none" w:sz="0" w:space="0" w:color="auto"/>
        <w:bottom w:val="none" w:sz="0" w:space="0" w:color="auto"/>
        <w:right w:val="none" w:sz="0" w:space="0" w:color="auto"/>
      </w:divBdr>
    </w:div>
    <w:div w:id="2032297061">
      <w:bodyDiv w:val="1"/>
      <w:marLeft w:val="0"/>
      <w:marRight w:val="0"/>
      <w:marTop w:val="0"/>
      <w:marBottom w:val="0"/>
      <w:divBdr>
        <w:top w:val="none" w:sz="0" w:space="0" w:color="auto"/>
        <w:left w:val="none" w:sz="0" w:space="0" w:color="auto"/>
        <w:bottom w:val="none" w:sz="0" w:space="0" w:color="auto"/>
        <w:right w:val="none" w:sz="0" w:space="0" w:color="auto"/>
      </w:divBdr>
    </w:div>
    <w:div w:id="2069765688">
      <w:bodyDiv w:val="1"/>
      <w:marLeft w:val="0"/>
      <w:marRight w:val="0"/>
      <w:marTop w:val="0"/>
      <w:marBottom w:val="0"/>
      <w:divBdr>
        <w:top w:val="none" w:sz="0" w:space="0" w:color="auto"/>
        <w:left w:val="none" w:sz="0" w:space="0" w:color="auto"/>
        <w:bottom w:val="none" w:sz="0" w:space="0" w:color="auto"/>
        <w:right w:val="none" w:sz="0" w:space="0" w:color="auto"/>
      </w:divBdr>
    </w:div>
    <w:div w:id="20827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DF1BD466E83E842902559549E0F08F2" ma:contentTypeVersion="5" ma:contentTypeDescription="Új dokumentum létrehozása." ma:contentTypeScope="" ma:versionID="4b44a68e156a5b79248640aeafc70798">
  <xsd:schema xmlns:xsd="http://www.w3.org/2001/XMLSchema" xmlns:xs="http://www.w3.org/2001/XMLSchema" xmlns:p="http://schemas.microsoft.com/office/2006/metadata/properties" xmlns:ns2="cb7eed14-1ed6-4f4f-9464-e9d73fc2f8e9" xmlns:ns3="9669010e-b829-4d86-87dd-cdce11b02043" targetNamespace="http://schemas.microsoft.com/office/2006/metadata/properties" ma:root="true" ma:fieldsID="bd0071a6f26b893e5271513f12c665f5" ns2:_="" ns3:_="">
    <xsd:import namespace="cb7eed14-1ed6-4f4f-9464-e9d73fc2f8e9"/>
    <xsd:import namespace="9669010e-b829-4d86-87dd-cdce11b02043"/>
    <xsd:element name="properties">
      <xsd:complexType>
        <xsd:sequence>
          <xsd:element name="documentManagement">
            <xsd:complexType>
              <xsd:all>
                <xsd:element ref="ns2:T_x00e9_ma" minOccurs="0"/>
                <xsd:element ref="ns2:_x00c9_v"/>
                <xsd:element ref="ns2:L_x00e1_that_x00f3_s_x00e1_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eed14-1ed6-4f4f-9464-e9d73fc2f8e9" elementFormDefault="qualified">
    <xsd:import namespace="http://schemas.microsoft.com/office/2006/documentManagement/types"/>
    <xsd:import namespace="http://schemas.microsoft.com/office/infopath/2007/PartnerControls"/>
    <xsd:element name="T_x00e9_ma" ma:index="2" nillable="true" ma:displayName="Téma" ma:format="Dropdown" ma:internalName="T_x00e9_ma">
      <xsd:simpleType>
        <xsd:restriction base="dms:Choice">
          <xsd:enumeration value="Tervezés"/>
          <xsd:enumeration value="Zárszámadás"/>
          <xsd:enumeration value="Törvénymódosítás"/>
          <xsd:enumeration value="ÁSZ ellenőrzés"/>
          <xsd:enumeration value="Gyorsjelentés"/>
          <xsd:enumeration value="Monitoring"/>
          <xsd:enumeration value="Tervezési tájékoztató"/>
          <xsd:enumeration value="Útmutató"/>
          <xsd:enumeration value="Munkaprogram"/>
          <xsd:enumeration value="Ütemterv"/>
          <xsd:enumeration value="Módosító"/>
          <xsd:enumeration value="Kormányülés"/>
          <xsd:enumeration value="Gazdasági kabinet"/>
          <xsd:enumeration value="Stratégiai kabinet"/>
          <xsd:enumeration value="IFMIS"/>
          <xsd:enumeration value="Fejezeten belüli átcsoportosítás"/>
          <xsd:enumeration value="Címlista"/>
          <xsd:enumeration value="BEÜ"/>
          <xsd:enumeration value="Koronavírus"/>
          <xsd:enumeration value="Tudásbázis"/>
          <xsd:enumeration value="Kiemelt fejlesztési igények"/>
          <xsd:enumeration value="Iktatás"/>
        </xsd:restriction>
      </xsd:simpleType>
    </xsd:element>
    <xsd:element name="_x00c9_v" ma:index="3" ma:displayName="Év" ma:default="2018" ma:format="Dropdown" ma:internalName="_x00c9_v">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L_x00e1_that_x00f3_s_x00e1_g" ma:index="4" nillable="true" ma:displayName="Láthatóság" ma:default="Publikus" ma:format="Dropdown" ma:internalName="L_x00e1_that_x00f3_s_x00e1_g">
      <xsd:simpleType>
        <xsd:restriction base="dms:Choice">
          <xsd:enumeration value="Publikus"/>
          <xsd:enumeration value="Csak admin látja (verziókat tartalmaz)"/>
        </xsd:restriction>
      </xsd:simpleType>
    </xsd:element>
  </xsd:schema>
  <xsd:schema xmlns:xsd="http://www.w3.org/2001/XMLSchema" xmlns:xs="http://www.w3.org/2001/XMLSchema" xmlns:dms="http://schemas.microsoft.com/office/2006/documentManagement/types" xmlns:pc="http://schemas.microsoft.com/office/infopath/2007/PartnerControls" targetNamespace="9669010e-b829-4d86-87dd-cdce11b02043" elementFormDefault="qualified">
    <xsd:import namespace="http://schemas.microsoft.com/office/2006/documentManagement/types"/>
    <xsd:import namespace="http://schemas.microsoft.com/office/infopath/2007/PartnerControls"/>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c9_v xmlns="cb7eed14-1ed6-4f4f-9464-e9d73fc2f8e9">2025</_x00c9_v>
    <T_x00e9_ma xmlns="cb7eed14-1ed6-4f4f-9464-e9d73fc2f8e9">Monitoring</T_x00e9_ma>
    <L_x00e1_that_x00f3_s_x00e1_g xmlns="cb7eed14-1ed6-4f4f-9464-e9d73fc2f8e9">Publikus</L_x00e1_that_x00f3_s_x00e1_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FD48C-7926-4BF1-87F7-A322FB81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eed14-1ed6-4f4f-9464-e9d73fc2f8e9"/>
    <ds:schemaRef ds:uri="9669010e-b829-4d86-87dd-cdce11b02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50AF-6A38-4D56-A55D-D65BA869B7B4}">
  <ds:schemaRefs>
    <ds:schemaRef ds:uri="http://schemas.openxmlformats.org/officeDocument/2006/bibliography"/>
  </ds:schemaRefs>
</ds:datastoreItem>
</file>

<file path=customXml/itemProps3.xml><?xml version="1.0" encoding="utf-8"?>
<ds:datastoreItem xmlns:ds="http://schemas.openxmlformats.org/officeDocument/2006/customXml" ds:itemID="{C84C958D-48DC-4564-B24D-56E63215790F}">
  <ds:schemaRefs>
    <ds:schemaRef ds:uri="http://schemas.microsoft.com/office/infopath/2007/PartnerControls"/>
    <ds:schemaRef ds:uri="9669010e-b829-4d86-87dd-cdce11b02043"/>
    <ds:schemaRef ds:uri="http://purl.org/dc/elements/1.1/"/>
    <ds:schemaRef ds:uri="http://schemas.microsoft.com/office/2006/metadata/properties"/>
    <ds:schemaRef ds:uri="http://schemas.openxmlformats.org/package/2006/metadata/core-properties"/>
    <ds:schemaRef ds:uri="http://purl.org/dc/terms/"/>
    <ds:schemaRef ds:uri="cb7eed14-1ed6-4f4f-9464-e9d73fc2f8e9"/>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DD0F6AD-19C0-4D6B-ABDF-2564A2CC5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4999</Words>
  <Characters>34496</Characters>
  <Application>Microsoft Office Word</Application>
  <DocSecurity>0</DocSecurity>
  <Lines>287</Lines>
  <Paragraphs>78</Paragraphs>
  <ScaleCrop>false</ScaleCrop>
  <HeadingPairs>
    <vt:vector size="2" baseType="variant">
      <vt:variant>
        <vt:lpstr>Cím</vt:lpstr>
      </vt:variant>
      <vt:variant>
        <vt:i4>1</vt:i4>
      </vt:variant>
    </vt:vector>
  </HeadingPairs>
  <TitlesOfParts>
    <vt:vector size="1" baseType="lpstr">
      <vt:lpstr/>
    </vt:vector>
  </TitlesOfParts>
  <Company>NISZ Zrt.</Company>
  <LinksUpToDate>false</LinksUpToDate>
  <CharactersWithSpaces>39417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Bálint Ágnes</cp:lastModifiedBy>
  <cp:revision>3</cp:revision>
  <cp:lastPrinted>2025-12-16T08:30:00Z</cp:lastPrinted>
  <dcterms:created xsi:type="dcterms:W3CDTF">2026-01-19T14:22:00Z</dcterms:created>
  <dcterms:modified xsi:type="dcterms:W3CDTF">2026-01-21T14:37:00Z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0x010100CDF1BD466E83E842902559549E0F08F2</vt:lpwstr>
  </property>
</Properties>
</file>