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0851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2026. évi … törvény</w:t>
      </w:r>
    </w:p>
    <w:p w14:paraId="2E0CC8F1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 xml:space="preserve">a </w:t>
      </w:r>
      <w:proofErr w:type="spellStart"/>
      <w:r w:rsidRPr="00B542CB">
        <w:rPr>
          <w:b/>
          <w:bCs/>
          <w:lang w:eastAsia="ar-SA"/>
        </w:rPr>
        <w:t>kriptoeszköz</w:t>
      </w:r>
      <w:proofErr w:type="spellEnd"/>
      <w:r w:rsidRPr="00B542CB">
        <w:rPr>
          <w:b/>
          <w:bCs/>
          <w:lang w:eastAsia="ar-SA"/>
        </w:rPr>
        <w:t>-átváltási szolgáltatást érintő egyes törvényi rendelkezések hatályon kívül helyezéséről</w:t>
      </w:r>
    </w:p>
    <w:p w14:paraId="3B85A443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</w:p>
    <w:p w14:paraId="10FB6899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[1] A </w:t>
      </w:r>
      <w:proofErr w:type="spellStart"/>
      <w:r>
        <w:rPr>
          <w:lang w:eastAsia="ar-SA"/>
        </w:rPr>
        <w:t>kriptoszolgáltatás</w:t>
      </w:r>
      <w:proofErr w:type="spellEnd"/>
      <w:r>
        <w:rPr>
          <w:lang w:eastAsia="ar-SA"/>
        </w:rPr>
        <w:t xml:space="preserve"> terén a </w:t>
      </w:r>
      <w:proofErr w:type="spellStart"/>
      <w:r>
        <w:rPr>
          <w:lang w:eastAsia="ar-SA"/>
        </w:rPr>
        <w:t>validálás</w:t>
      </w:r>
      <w:proofErr w:type="spellEnd"/>
      <w:r>
        <w:rPr>
          <w:lang w:eastAsia="ar-SA"/>
        </w:rPr>
        <w:t>, mint versenyt korlátozó elvárás nem fenntartható a belső piac megvalósítása tekintetében.</w:t>
      </w:r>
    </w:p>
    <w:p w14:paraId="17E86949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[2] Az egységes szabályozás és az annak való megfelelés az ügyfelek biztonságos, transzparens és követhető szolgáltatás igénybevételi lehetőségét szolgálja, amelyhez szükséges a </w:t>
      </w:r>
      <w:proofErr w:type="spellStart"/>
      <w:r>
        <w:rPr>
          <w:lang w:eastAsia="ar-SA"/>
        </w:rPr>
        <w:t>validálási</w:t>
      </w:r>
      <w:proofErr w:type="spellEnd"/>
      <w:r>
        <w:rPr>
          <w:lang w:eastAsia="ar-SA"/>
        </w:rPr>
        <w:t xml:space="preserve"> kötelezettség kivezetése.</w:t>
      </w:r>
    </w:p>
    <w:p w14:paraId="4A1BD5B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[3] A fenti célok elérése érdekében az Országgyűlés a következő törvényt alkotja:</w:t>
      </w:r>
    </w:p>
    <w:p w14:paraId="28E35A53" w14:textId="77777777" w:rsidR="009A1804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</w:p>
    <w:p w14:paraId="350CF181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1. A Büntető Törvénykönyvről szóló 2012. évi C. törvény módosítása</w:t>
      </w:r>
    </w:p>
    <w:p w14:paraId="4C99A30D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1. §</w:t>
      </w:r>
    </w:p>
    <w:p w14:paraId="3D11049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Hatályát veszti a </w:t>
      </w:r>
      <w:r w:rsidRPr="002F298B">
        <w:rPr>
          <w:lang w:eastAsia="ar-SA"/>
        </w:rPr>
        <w:t>Büntető Törvénykönyvről szóló 2012. évi C. törvény</w:t>
      </w:r>
    </w:p>
    <w:p w14:paraId="50EABB2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a) 394. §-át követő „</w:t>
      </w:r>
      <w:proofErr w:type="spellStart"/>
      <w:r w:rsidRPr="00D66D2E">
        <w:rPr>
          <w:lang w:eastAsia="ar-SA"/>
        </w:rPr>
        <w:t>Kriptoeszközzel</w:t>
      </w:r>
      <w:proofErr w:type="spellEnd"/>
      <w:r w:rsidRPr="00D66D2E">
        <w:rPr>
          <w:lang w:eastAsia="ar-SA"/>
        </w:rPr>
        <w:t xml:space="preserve"> visszaélés</w:t>
      </w:r>
      <w:r>
        <w:rPr>
          <w:lang w:eastAsia="ar-SA"/>
        </w:rPr>
        <w:t>” alcíme, valamint</w:t>
      </w:r>
    </w:p>
    <w:p w14:paraId="581B7368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b) 408. §-át követő „J</w:t>
      </w:r>
      <w:r w:rsidRPr="00625FA0">
        <w:rPr>
          <w:lang w:eastAsia="ar-SA"/>
        </w:rPr>
        <w:t xml:space="preserve">ogosulatlan </w:t>
      </w:r>
      <w:proofErr w:type="spellStart"/>
      <w:r w:rsidRPr="00625FA0">
        <w:rPr>
          <w:lang w:eastAsia="ar-SA"/>
        </w:rPr>
        <w:t>kriptoeszköz</w:t>
      </w:r>
      <w:proofErr w:type="spellEnd"/>
      <w:r w:rsidRPr="00625FA0">
        <w:rPr>
          <w:lang w:eastAsia="ar-SA"/>
        </w:rPr>
        <w:t>-átváltási szolgáltatás nyújtása</w:t>
      </w:r>
      <w:r>
        <w:rPr>
          <w:lang w:eastAsia="ar-SA"/>
        </w:rPr>
        <w:t>” alcíme.</w:t>
      </w:r>
    </w:p>
    <w:p w14:paraId="30273041" w14:textId="77777777" w:rsidR="009A1804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</w:p>
    <w:p w14:paraId="6A72EE6D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2. Szabályozott Tevékenységek Felügyeleti Hatóságáról szóló 2021. évi XXXII. törvény módosítása</w:t>
      </w:r>
    </w:p>
    <w:p w14:paraId="5631AA02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2. §</w:t>
      </w:r>
    </w:p>
    <w:p w14:paraId="4A53E378" w14:textId="77777777" w:rsidR="009A1804" w:rsidRPr="00625FA0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Hatályát veszti a </w:t>
      </w:r>
      <w:r w:rsidRPr="00993221">
        <w:rPr>
          <w:lang w:eastAsia="ar-SA"/>
        </w:rPr>
        <w:t>Szabályozott Tevékenységek Felügyeleti Hatóságáról szóló 2021. évi XXXII. törvény</w:t>
      </w:r>
    </w:p>
    <w:p w14:paraId="0F4A5D25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a) </w:t>
      </w:r>
      <w:r w:rsidRPr="00B713B7">
        <w:rPr>
          <w:lang w:eastAsia="ar-SA"/>
        </w:rPr>
        <w:t>1.</w:t>
      </w:r>
      <w:r>
        <w:rPr>
          <w:lang w:eastAsia="ar-SA"/>
        </w:rPr>
        <w:t xml:space="preserve"> § (1) bekezdés 10. pontja,</w:t>
      </w:r>
    </w:p>
    <w:p w14:paraId="32E41328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b) 3. § (11) bekezdése, valamint</w:t>
      </w:r>
    </w:p>
    <w:p w14:paraId="72BFC0A4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c) 13/A. § 4. pontja.</w:t>
      </w:r>
    </w:p>
    <w:p w14:paraId="414E4EF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</w:p>
    <w:p w14:paraId="7438F9AD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 xml:space="preserve">3. A </w:t>
      </w:r>
      <w:proofErr w:type="spellStart"/>
      <w:r w:rsidRPr="00B542CB">
        <w:rPr>
          <w:b/>
          <w:bCs/>
          <w:lang w:eastAsia="ar-SA"/>
        </w:rPr>
        <w:t>kriptoeszközök</w:t>
      </w:r>
      <w:proofErr w:type="spellEnd"/>
      <w:r w:rsidRPr="00B542CB">
        <w:rPr>
          <w:b/>
          <w:bCs/>
          <w:lang w:eastAsia="ar-SA"/>
        </w:rPr>
        <w:t xml:space="preserve"> piacáról szóló 2024. évi VII. törvény módosítása</w:t>
      </w:r>
    </w:p>
    <w:p w14:paraId="48CF63C6" w14:textId="77777777" w:rsidR="009A1804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3. §</w:t>
      </w:r>
    </w:p>
    <w:p w14:paraId="57337B92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A </w:t>
      </w:r>
      <w:proofErr w:type="spellStart"/>
      <w:r>
        <w:rPr>
          <w:lang w:eastAsia="ar-SA"/>
        </w:rPr>
        <w:t>kriptoeszközök</w:t>
      </w:r>
      <w:proofErr w:type="spellEnd"/>
      <w:r>
        <w:rPr>
          <w:lang w:eastAsia="ar-SA"/>
        </w:rPr>
        <w:t xml:space="preserve"> piacáról szóló 2024. évi VII. törvény a következő 16/B. §-</w:t>
      </w:r>
      <w:proofErr w:type="spellStart"/>
      <w:r>
        <w:rPr>
          <w:lang w:eastAsia="ar-SA"/>
        </w:rPr>
        <w:t>sal</w:t>
      </w:r>
      <w:proofErr w:type="spellEnd"/>
      <w:r>
        <w:rPr>
          <w:lang w:eastAsia="ar-SA"/>
        </w:rPr>
        <w:t xml:space="preserve"> egészül ki:</w:t>
      </w:r>
    </w:p>
    <w:p w14:paraId="6D18654E" w14:textId="77777777" w:rsidR="009A1804" w:rsidRDefault="009A1804" w:rsidP="009A1804">
      <w:pPr>
        <w:pStyle w:val="aj"/>
        <w:spacing w:before="0" w:beforeAutospacing="0" w:after="120" w:afterAutospacing="0"/>
        <w:jc w:val="center"/>
        <w:rPr>
          <w:lang w:eastAsia="ar-SA"/>
        </w:rPr>
      </w:pPr>
      <w:r>
        <w:rPr>
          <w:lang w:eastAsia="ar-SA"/>
        </w:rPr>
        <w:t>„16/B. §</w:t>
      </w:r>
    </w:p>
    <w:p w14:paraId="5BF3564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(1) A </w:t>
      </w:r>
      <w:proofErr w:type="spellStart"/>
      <w:r>
        <w:rPr>
          <w:lang w:eastAsia="ar-SA"/>
        </w:rPr>
        <w:t>kriptoeszköz</w:t>
      </w:r>
      <w:proofErr w:type="spellEnd"/>
      <w:r>
        <w:rPr>
          <w:lang w:eastAsia="ar-SA"/>
        </w:rPr>
        <w:t xml:space="preserve">-átváltási szolgáltatást érintő egyes törvényi rendelkezések hatályon kívül helyezéséről szóló 2026. évi … törvény (a továbbiakban: 2026. évi … törvény) hatálybalépésekor </w:t>
      </w:r>
      <w:proofErr w:type="spellStart"/>
      <w:r>
        <w:rPr>
          <w:lang w:eastAsia="ar-SA"/>
        </w:rPr>
        <w:t>kriptoeszköz</w:t>
      </w:r>
      <w:proofErr w:type="spellEnd"/>
      <w:r>
        <w:rPr>
          <w:lang w:eastAsia="ar-SA"/>
        </w:rPr>
        <w:t xml:space="preserve">-átváltási szolgáltatás </w:t>
      </w:r>
      <w:proofErr w:type="spellStart"/>
      <w:r>
        <w:rPr>
          <w:lang w:eastAsia="ar-SA"/>
        </w:rPr>
        <w:t>validálásához</w:t>
      </w:r>
      <w:proofErr w:type="spellEnd"/>
      <w:r>
        <w:rPr>
          <w:lang w:eastAsia="ar-SA"/>
        </w:rPr>
        <w:t xml:space="preserve"> kapcsolódóan folyamatban lévő engedélyezési és felügyeleti eljárásokat a Szabályozott Tevékenységek Felügyeleti Hatósága az általános közigazgatási rendtartásról szóló 2016. évi CL. törvény 47. § (1) bekezdés c) pontja alapján megszünteti.</w:t>
      </w:r>
    </w:p>
    <w:p w14:paraId="21429048" w14:textId="77777777" w:rsidR="009A1804" w:rsidRPr="00441E6D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(2) </w:t>
      </w:r>
      <w:r w:rsidRPr="00D1319D">
        <w:rPr>
          <w:lang w:eastAsia="ar-SA"/>
        </w:rPr>
        <w:t xml:space="preserve">A </w:t>
      </w:r>
      <w:proofErr w:type="spellStart"/>
      <w:r w:rsidRPr="00D1319D">
        <w:rPr>
          <w:lang w:eastAsia="ar-SA"/>
        </w:rPr>
        <w:t>kriptoeszköz</w:t>
      </w:r>
      <w:proofErr w:type="spellEnd"/>
      <w:r w:rsidRPr="00D1319D">
        <w:rPr>
          <w:lang w:eastAsia="ar-SA"/>
        </w:rPr>
        <w:t xml:space="preserve"> átváltása és a nem engedélyezett </w:t>
      </w:r>
      <w:proofErr w:type="spellStart"/>
      <w:r w:rsidRPr="00D1319D">
        <w:rPr>
          <w:lang w:eastAsia="ar-SA"/>
        </w:rPr>
        <w:t>kriptoügylet</w:t>
      </w:r>
      <w:proofErr w:type="spellEnd"/>
      <w:r w:rsidRPr="00B542CB">
        <w:rPr>
          <w:lang w:eastAsia="ar-SA"/>
        </w:rPr>
        <w:t xml:space="preserve"> </w:t>
      </w:r>
      <w:r w:rsidRPr="00D1319D">
        <w:rPr>
          <w:lang w:eastAsia="ar-SA"/>
        </w:rPr>
        <w:t>tekintetében</w:t>
      </w:r>
      <w:r w:rsidRPr="0043709C">
        <w:rPr>
          <w:lang w:eastAsia="ar-SA"/>
        </w:rPr>
        <w:t xml:space="preserve"> a</w:t>
      </w:r>
      <w:r>
        <w:rPr>
          <w:lang w:eastAsia="ar-SA"/>
        </w:rPr>
        <w:t xml:space="preserve"> </w:t>
      </w:r>
      <w:proofErr w:type="spellStart"/>
      <w:r w:rsidRPr="00554F83">
        <w:rPr>
          <w:lang w:eastAsia="ar-SA"/>
        </w:rPr>
        <w:t>kriptoeszköz</w:t>
      </w:r>
      <w:proofErr w:type="spellEnd"/>
      <w:r w:rsidRPr="00554F83">
        <w:rPr>
          <w:lang w:eastAsia="ar-SA"/>
        </w:rPr>
        <w:t xml:space="preserve">-átváltást </w:t>
      </w:r>
      <w:proofErr w:type="spellStart"/>
      <w:r w:rsidRPr="00554F83">
        <w:rPr>
          <w:lang w:eastAsia="ar-SA"/>
        </w:rPr>
        <w:t>validáló</w:t>
      </w:r>
      <w:proofErr w:type="spellEnd"/>
      <w:r w:rsidRPr="00554F83">
        <w:rPr>
          <w:lang w:eastAsia="ar-SA"/>
        </w:rPr>
        <w:t xml:space="preserve"> szolgáltató</w:t>
      </w:r>
      <w:r>
        <w:rPr>
          <w:lang w:eastAsia="ar-SA"/>
        </w:rPr>
        <w:t xml:space="preserve">, illetve a </w:t>
      </w:r>
      <w:r w:rsidRPr="00993221">
        <w:rPr>
          <w:lang w:eastAsia="ar-SA"/>
        </w:rPr>
        <w:t>Szabályozott Tevékenységek Felügyeleti Hatóság</w:t>
      </w:r>
      <w:r>
        <w:rPr>
          <w:lang w:eastAsia="ar-SA"/>
        </w:rPr>
        <w:t xml:space="preserve">a </w:t>
      </w:r>
      <w:r>
        <w:rPr>
          <w:lang w:eastAsia="ar-SA"/>
        </w:rPr>
        <w:lastRenderedPageBreak/>
        <w:t>birtokába került adatokat a 2026. évi … törvény</w:t>
      </w:r>
      <w:r w:rsidRPr="0043709C">
        <w:rPr>
          <w:lang w:eastAsia="ar-SA"/>
        </w:rPr>
        <w:t xml:space="preserve"> hatálybalépését követő 3 munkanapon belül vissza nem állítható módon tör</w:t>
      </w:r>
      <w:r>
        <w:rPr>
          <w:lang w:eastAsia="ar-SA"/>
        </w:rPr>
        <w:t>li.”</w:t>
      </w:r>
    </w:p>
    <w:p w14:paraId="11A5D880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4</w:t>
      </w:r>
      <w:r w:rsidRPr="00B542CB">
        <w:rPr>
          <w:b/>
          <w:bCs/>
          <w:lang w:eastAsia="ar-SA"/>
        </w:rPr>
        <w:t>. §</w:t>
      </w:r>
    </w:p>
    <w:p w14:paraId="226F5EC6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Hatályát veszti a </w:t>
      </w:r>
      <w:proofErr w:type="spellStart"/>
      <w:r w:rsidRPr="00993221">
        <w:rPr>
          <w:lang w:eastAsia="ar-SA"/>
        </w:rPr>
        <w:t>kriptoeszközök</w:t>
      </w:r>
      <w:proofErr w:type="spellEnd"/>
      <w:r w:rsidRPr="00993221">
        <w:rPr>
          <w:lang w:eastAsia="ar-SA"/>
        </w:rPr>
        <w:t xml:space="preserve"> piacáról szóló 2024. évi VII. törvény</w:t>
      </w:r>
    </w:p>
    <w:p w14:paraId="25939538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a) 1. § d) pontja,</w:t>
      </w:r>
    </w:p>
    <w:p w14:paraId="29D03D2B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b) </w:t>
      </w:r>
      <w:r w:rsidRPr="00003B27">
        <w:rPr>
          <w:lang w:eastAsia="ar-SA"/>
        </w:rPr>
        <w:t>2. §</w:t>
      </w:r>
      <w:r>
        <w:rPr>
          <w:lang w:eastAsia="ar-SA"/>
        </w:rPr>
        <w:t xml:space="preserve"> </w:t>
      </w:r>
      <w:r w:rsidRPr="00003B27">
        <w:rPr>
          <w:lang w:eastAsia="ar-SA"/>
        </w:rPr>
        <w:t>5a</w:t>
      </w:r>
      <w:r>
        <w:rPr>
          <w:lang w:eastAsia="ar-SA"/>
        </w:rPr>
        <w:t xml:space="preserve">., </w:t>
      </w:r>
      <w:r w:rsidRPr="00003B27">
        <w:rPr>
          <w:lang w:eastAsia="ar-SA"/>
        </w:rPr>
        <w:t>5b.</w:t>
      </w:r>
      <w:r>
        <w:rPr>
          <w:lang w:eastAsia="ar-SA"/>
        </w:rPr>
        <w:t xml:space="preserve">, 7a., 7b. és 9a. </w:t>
      </w:r>
      <w:r w:rsidRPr="00003B27">
        <w:rPr>
          <w:lang w:eastAsia="ar-SA"/>
        </w:rPr>
        <w:t>pont</w:t>
      </w:r>
      <w:r>
        <w:rPr>
          <w:lang w:eastAsia="ar-SA"/>
        </w:rPr>
        <w:t>ja,</w:t>
      </w:r>
    </w:p>
    <w:p w14:paraId="34C75A76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c) 9/A. §-a,</w:t>
      </w:r>
    </w:p>
    <w:p w14:paraId="5EE6316A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d) </w:t>
      </w:r>
      <w:r w:rsidRPr="00003B27">
        <w:rPr>
          <w:lang w:eastAsia="ar-SA"/>
        </w:rPr>
        <w:t>4/A.</w:t>
      </w:r>
      <w:r>
        <w:rPr>
          <w:lang w:eastAsia="ar-SA"/>
        </w:rPr>
        <w:t xml:space="preserve"> és 4/B. alcíme,</w:t>
      </w:r>
    </w:p>
    <w:p w14:paraId="40029376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 xml:space="preserve">e) </w:t>
      </w:r>
      <w:r w:rsidRPr="00003B27">
        <w:rPr>
          <w:lang w:eastAsia="ar-SA"/>
        </w:rPr>
        <w:t>13. § (1a)</w:t>
      </w:r>
      <w:r>
        <w:rPr>
          <w:lang w:eastAsia="ar-SA"/>
        </w:rPr>
        <w:t xml:space="preserve"> és (3) </w:t>
      </w:r>
      <w:r w:rsidRPr="00003B27">
        <w:rPr>
          <w:lang w:eastAsia="ar-SA"/>
        </w:rPr>
        <w:t>bekezdés</w:t>
      </w:r>
      <w:r>
        <w:rPr>
          <w:lang w:eastAsia="ar-SA"/>
        </w:rPr>
        <w:t>e, valamint</w:t>
      </w:r>
    </w:p>
    <w:p w14:paraId="3DDFFB8C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f) 16/A. §-a.</w:t>
      </w:r>
    </w:p>
    <w:p w14:paraId="54C1EFFE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4. Záró rendelkezések</w:t>
      </w:r>
    </w:p>
    <w:p w14:paraId="2F20BDB7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5</w:t>
      </w:r>
      <w:r w:rsidRPr="00B542CB">
        <w:rPr>
          <w:b/>
          <w:bCs/>
          <w:lang w:eastAsia="ar-SA"/>
        </w:rPr>
        <w:t>. §</w:t>
      </w:r>
    </w:p>
    <w:p w14:paraId="161AD22D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Ez a törvény a kihirdetését követő 8. napon lép hatályba.</w:t>
      </w:r>
    </w:p>
    <w:p w14:paraId="1DFDC0C5" w14:textId="77777777" w:rsidR="009A1804" w:rsidRPr="00B542CB" w:rsidRDefault="009A1804" w:rsidP="009A1804">
      <w:pPr>
        <w:pStyle w:val="aj"/>
        <w:spacing w:before="0" w:beforeAutospacing="0" w:after="120" w:afterAutospacing="0"/>
        <w:jc w:val="center"/>
        <w:rPr>
          <w:b/>
          <w:bCs/>
          <w:lang w:eastAsia="ar-SA"/>
        </w:rPr>
      </w:pPr>
      <w:r w:rsidRPr="00B542CB">
        <w:rPr>
          <w:b/>
          <w:bCs/>
          <w:lang w:eastAsia="ar-SA"/>
        </w:rPr>
        <w:t>6. §</w:t>
      </w:r>
    </w:p>
    <w:p w14:paraId="2AD916CA" w14:textId="77777777" w:rsidR="009A1804" w:rsidRDefault="009A1804" w:rsidP="009A1804">
      <w:pPr>
        <w:pStyle w:val="aj"/>
        <w:spacing w:before="0" w:beforeAutospacing="0" w:after="120" w:afterAutospacing="0"/>
        <w:jc w:val="both"/>
        <w:rPr>
          <w:lang w:eastAsia="ar-SA"/>
        </w:rPr>
      </w:pPr>
      <w:r>
        <w:rPr>
          <w:lang w:eastAsia="ar-SA"/>
        </w:rPr>
        <w:t>A 2. § az Alaptörvény 23. cikke alapján sarkalatosnak minősül.</w:t>
      </w:r>
    </w:p>
    <w:p w14:paraId="5D84D529" w14:textId="77777777" w:rsidR="001F4327" w:rsidRDefault="001F4327"/>
    <w:sectPr w:rsidR="001F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04"/>
    <w:rsid w:val="001F4327"/>
    <w:rsid w:val="00924621"/>
    <w:rsid w:val="009A1804"/>
    <w:rsid w:val="00A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E3F"/>
  <w15:chartTrackingRefBased/>
  <w15:docId w15:val="{4EBE198A-69FD-4753-96DE-D5BEF9B8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1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1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18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1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18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1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1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1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1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18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18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18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180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180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18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18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18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18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1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1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1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1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1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18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18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180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18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180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1804"/>
    <w:rPr>
      <w:b/>
      <w:bCs/>
      <w:smallCaps/>
      <w:color w:val="2E74B5" w:themeColor="accent1" w:themeShade="BF"/>
      <w:spacing w:val="5"/>
    </w:rPr>
  </w:style>
  <w:style w:type="paragraph" w:customStyle="1" w:styleId="aj">
    <w:name w:val="aj"/>
    <w:basedOn w:val="Norml"/>
    <w:rsid w:val="009A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2172</Characters>
  <Application>Microsoft Office Word</Application>
  <DocSecurity>0</DocSecurity>
  <Lines>18</Lines>
  <Paragraphs>4</Paragraphs>
  <ScaleCrop>false</ScaleCrop>
  <Company>NISZ Zrt.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Lajos Dr.</dc:creator>
  <cp:keywords/>
  <dc:description/>
  <cp:lastModifiedBy>Kovács Lajos Dr.</cp:lastModifiedBy>
  <cp:revision>1</cp:revision>
  <dcterms:created xsi:type="dcterms:W3CDTF">2026-06-10T09:29:00Z</dcterms:created>
  <dcterms:modified xsi:type="dcterms:W3CDTF">2026-06-10T09:32:00Z</dcterms:modified>
</cp:coreProperties>
</file>