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77FA" w14:textId="77777777" w:rsidR="00A94EFE" w:rsidRPr="00377D59" w:rsidRDefault="3C87A00B" w:rsidP="3C87A00B">
      <w:pPr>
        <w:tabs>
          <w:tab w:val="center" w:pos="4536"/>
        </w:tabs>
        <w:bidi/>
        <w:spacing w:after="120" w:line="240" w:lineRule="auto"/>
        <w:ind w:left="-142" w:right="-1" w:firstLine="142"/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hu-HU"/>
        </w:rPr>
        <w:t>Nemzetgazdasági Minisztérium</w:t>
      </w:r>
    </w:p>
    <w:p w14:paraId="36F33C9C" w14:textId="77777777" w:rsidR="001E689B" w:rsidRPr="00377D59" w:rsidRDefault="001E689B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5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6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7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8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9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26"/>
          <w:szCs w:val="26"/>
          <w:lang w:eastAsia="hu-HU"/>
        </w:rPr>
      </w:pPr>
    </w:p>
    <w:p w14:paraId="7B7689EB" w14:textId="74BA5630" w:rsidR="00B155FE" w:rsidRDefault="00B155FE" w:rsidP="000A4839">
      <w:pPr>
        <w:keepNext/>
        <w:widowControl w:val="0"/>
        <w:tabs>
          <w:tab w:val="left" w:pos="1995"/>
        </w:tabs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4EE6826E" w14:textId="77777777" w:rsidR="000A4839" w:rsidRPr="00377D59" w:rsidRDefault="000A4839" w:rsidP="000A4839">
      <w:pPr>
        <w:keepNext/>
        <w:widowControl w:val="0"/>
        <w:tabs>
          <w:tab w:val="left" w:pos="1995"/>
        </w:tabs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C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D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E" w14:textId="77777777" w:rsidR="00B155FE" w:rsidRPr="00377D59" w:rsidRDefault="00B155FE" w:rsidP="00B155FE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pacing w:val="60"/>
          <w:sz w:val="32"/>
          <w:szCs w:val="20"/>
          <w:lang w:eastAsia="hu-HU"/>
        </w:rPr>
      </w:pPr>
    </w:p>
    <w:p w14:paraId="7B7689EF" w14:textId="77777777" w:rsidR="00B155FE" w:rsidRPr="00377D59" w:rsidRDefault="00B155FE" w:rsidP="3C87A00B">
      <w:pPr>
        <w:keepNext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hu-HU"/>
        </w:rPr>
      </w:pPr>
      <w:r w:rsidRPr="00377D59">
        <w:rPr>
          <w:rFonts w:ascii="Times New Roman" w:eastAsia="Times New Roman" w:hAnsi="Times New Roman" w:cs="Times New Roman"/>
          <w:b/>
          <w:bCs/>
          <w:caps/>
          <w:spacing w:val="60"/>
          <w:sz w:val="32"/>
          <w:szCs w:val="32"/>
          <w:lang w:eastAsia="hu-HU"/>
        </w:rPr>
        <w:t>Tájékoztató</w:t>
      </w:r>
    </w:p>
    <w:p w14:paraId="5AE02B14" w14:textId="2D1762DD" w:rsidR="00B94CCA" w:rsidRPr="00377D59" w:rsidRDefault="3C87A00B" w:rsidP="3C87A00B">
      <w:pPr>
        <w:keepNext/>
        <w:tabs>
          <w:tab w:val="left" w:pos="2694"/>
        </w:tabs>
        <w:spacing w:after="12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az államháztartás központi alrendszerének</w:t>
      </w:r>
      <w:r w:rsidR="6D17EF1F">
        <w:br/>
      </w:r>
      <w:r w:rsidRPr="3C87A0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 xml:space="preserve">2025. </w:t>
      </w:r>
      <w:r w:rsidR="00B325C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november</w:t>
      </w:r>
      <w:r w:rsidRPr="3C87A00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 xml:space="preserve"> végi helyzetéről</w:t>
      </w:r>
    </w:p>
    <w:p w14:paraId="7B7689F2" w14:textId="2D4563EC" w:rsidR="00B155FE" w:rsidRPr="00377D59" w:rsidRDefault="00B155FE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A2F8C9F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D327E5D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5267E04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BD3D31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6E13D32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9F56A13" w14:textId="77777777" w:rsidR="001E689B" w:rsidRPr="00377D59" w:rsidRDefault="001E689B" w:rsidP="3F8285E0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B7689F4" w14:textId="77777777" w:rsidR="00B155FE" w:rsidRPr="00377D59" w:rsidRDefault="00B155FE" w:rsidP="00B155FE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6" w14:textId="77777777" w:rsidR="00B155FE" w:rsidRPr="00377D59" w:rsidRDefault="00B155FE" w:rsidP="00B155FE">
      <w:pPr>
        <w:tabs>
          <w:tab w:val="left" w:pos="269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7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8" w14:textId="7C3BEFF0" w:rsidR="00B155FE" w:rsidRPr="00377D59" w:rsidRDefault="00B155FE" w:rsidP="00EA1F58">
      <w:pPr>
        <w:tabs>
          <w:tab w:val="left" w:pos="568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9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A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7B7689FB" w14:textId="77777777" w:rsidR="00B155FE" w:rsidRPr="00377D59" w:rsidRDefault="00B155FE" w:rsidP="00B155F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</w:p>
    <w:p w14:paraId="1CF999E6" w14:textId="2C55CF06" w:rsidR="00E97147" w:rsidRPr="00377D59" w:rsidRDefault="00B155FE" w:rsidP="3C87A00B">
      <w:pPr>
        <w:tabs>
          <w:tab w:val="left" w:pos="2694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  <w:sectPr w:rsidR="00E97147" w:rsidRPr="00377D59" w:rsidSect="007449BF">
          <w:headerReference w:type="default" r:id="rId11"/>
          <w:footerReference w:type="default" r:id="rId12"/>
          <w:footerReference w:type="first" r:id="rId13"/>
          <w:footnotePr>
            <w:numRestart w:val="eachPage"/>
          </w:footnotePr>
          <w:pgSz w:w="11907" w:h="16840" w:code="9"/>
          <w:pgMar w:top="1134" w:right="1134" w:bottom="1418" w:left="1418" w:header="709" w:footer="709" w:gutter="0"/>
          <w:pgNumType w:fmt="numberInDash" w:start="0"/>
          <w:cols w:space="708"/>
          <w:docGrid w:linePitch="354"/>
        </w:sectPr>
      </w:pPr>
      <w:r w:rsidRPr="00377D59">
        <w:rPr>
          <w:rFonts w:ascii="Times New Roman" w:eastAsia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68C6C" wp14:editId="7B768C6D">
                <wp:simplePos x="0" y="0"/>
                <wp:positionH relativeFrom="column">
                  <wp:posOffset>2336732</wp:posOffset>
                </wp:positionH>
                <wp:positionV relativeFrom="paragraph">
                  <wp:posOffset>980217</wp:posOffset>
                </wp:positionV>
                <wp:extent cx="971550" cy="393065"/>
                <wp:effectExtent l="0" t="0" r="0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87395B">
              <v:rect id="Rectangle 2" style="position:absolute;margin-left:184pt;margin-top:77.2pt;width:76.5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7986F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zDew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"/>
            </w:pict>
          </mc:Fallback>
        </mc:AlternateContent>
      </w:r>
      <w:r w:rsidRPr="00377D59">
        <w:rPr>
          <w:rFonts w:ascii="Times New Roman" w:eastAsia="Times New Roman" w:hAnsi="Times New Roman" w:cs="Times New Roman"/>
          <w:b/>
          <w:bCs/>
          <w:lang w:eastAsia="hu-HU"/>
        </w:rPr>
        <w:t>202</w:t>
      </w:r>
      <w:r w:rsidR="002107FF">
        <w:rPr>
          <w:rFonts w:ascii="Times New Roman" w:eastAsia="Times New Roman" w:hAnsi="Times New Roman" w:cs="Times New Roman"/>
          <w:b/>
          <w:bCs/>
          <w:lang w:eastAsia="hu-HU"/>
        </w:rPr>
        <w:t>5</w:t>
      </w:r>
      <w:r w:rsidRPr="00377D59"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="00B325C4">
        <w:rPr>
          <w:rFonts w:ascii="Times New Roman" w:eastAsia="Times New Roman" w:hAnsi="Times New Roman" w:cs="Times New Roman"/>
          <w:b/>
          <w:bCs/>
          <w:lang w:eastAsia="hu-HU"/>
        </w:rPr>
        <w:t>december</w:t>
      </w:r>
    </w:p>
    <w:p w14:paraId="7B7689FF" w14:textId="77777777" w:rsidR="00B155FE" w:rsidRPr="00377D59" w:rsidRDefault="3C87A00B" w:rsidP="3C87A00B">
      <w:pPr>
        <w:keepNext/>
        <w:spacing w:before="240" w:after="120" w:line="360" w:lineRule="auto"/>
        <w:ind w:left="425" w:hanging="425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eastAsia="hu-HU"/>
        </w:rPr>
        <w:lastRenderedPageBreak/>
        <w:t>Összefoglalás</w:t>
      </w:r>
    </w:p>
    <w:p w14:paraId="562FDEE1" w14:textId="54B73984" w:rsidR="009F665B" w:rsidRPr="009F665B" w:rsidRDefault="3C87A00B" w:rsidP="00B325C4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 xml:space="preserve">Magyarország </w:t>
      </w:r>
      <w:r w:rsidR="00B325C4" w:rsidRPr="00B325C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pénzügyei rendezettek, így a Kormány – a negatív külső gazdasági környezet ellenére is – minden szükséges forrást előteremt a családokat, nyugdíjasokat, fiatalokat és vállalkozásokat támogató programokhoz</w:t>
      </w:r>
      <w:r w:rsidRPr="3C87A0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hu-HU"/>
        </w:rPr>
        <w:t>.</w:t>
      </w:r>
    </w:p>
    <w:p w14:paraId="62403A9A" w14:textId="77777777" w:rsidR="00B325C4" w:rsidRPr="00B325C4" w:rsidRDefault="00B325C4" w:rsidP="00B325C4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Olyan programokhoz, mint például: a fix 3%-os Otthon Start Program, a fix 3%-os kkv hitel, a családi adókedvezmény megduplázása, az anyák szja-mentessége, a nyugdíjasok 30 ezer forintos élelmiszer-utalványa, vagy a Demján Sándor Program. A Kormány mindezt a fiskális fegyelem fenntartása és a költségvetés stabilitásának megőrzése mellett valósítja meg. Ezzel összhangban, novemberben magasabban teljesültek az adó- és járulékbevételek, továbbá a pénzforgalmi hiány is az időarányosnál kedvezőbb lett.</w:t>
      </w:r>
    </w:p>
    <w:p w14:paraId="5515191C" w14:textId="1DE45130" w:rsidR="00B325C4" w:rsidRPr="00B325C4" w:rsidRDefault="00B325C4" w:rsidP="00B325C4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November végéig az államháztartás központi alrendszere 4070,4 milliárd forintos hiánnyal zárt, ez az egész éves várható pénzforgalmi hiány (5055,0 milliárd forint) 80,5 százaléka, ami kedvezőbb az időarányos értéknél. A központi alrendszeren belül a központi költségvetés 3904,0 milliárd forintos hiányt, az elkülönített állami pénzalapok 73,9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forintos többletet, a társadalombiztosítás pénzügyi alapjai pedig 240,3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milliárd forintos hiányt mutattak.</w:t>
      </w:r>
    </w:p>
    <w:p w14:paraId="257127FB" w14:textId="77777777" w:rsidR="00B325C4" w:rsidRPr="00B325C4" w:rsidRDefault="00B325C4" w:rsidP="00B325C4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 központi alrendszer adó- és járulékbevételei az előző év azonos időszakához viszonyítva 7,9 százalékkal magasabban alakultak. Ezen belül a fogyasztáshoz kapcsolódó adók esetében közel 9 százalékos növekedés történt.</w:t>
      </w:r>
    </w:p>
    <w:p w14:paraId="011795BD" w14:textId="61265811" w:rsidR="00B325C4" w:rsidRPr="00B325C4" w:rsidRDefault="00B325C4" w:rsidP="00B325C4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Az év első tizenegy hónapjában 4014,1 milliárd forint kamatkifizetést teljesített 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költségvetés, ami 601,4 milliárd forinttal magasabb az előző évi azonos időszaki teljesítésnél. Ezt alapvetően egyes lejáratok eltérő kamatfizetési időpontja, valamint az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államadósság eltérő szerkezete okozza.</w:t>
      </w:r>
    </w:p>
    <w:p w14:paraId="00D82711" w14:textId="65C51CBB" w:rsidR="00B325C4" w:rsidRPr="00B325C4" w:rsidRDefault="00B325C4" w:rsidP="00B325C4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Az állami közlekedési és közüzemi szolgáltatásokra fordított, összesen 2226,5 milliárd forint kifizetés 412,1 milliárd forinttal magasabb lett az előző év azonos időszakánál. 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teljesítési adatok előző évi időszakhoz viszonyított magasabb összege többek között alakossági energia rezsivédelmi szolgáltatás kifizetéseinek eltérő ütemezéséből és a</w:t>
      </w:r>
      <w:r w:rsidR="00456E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 </w:t>
      </w: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Víziközmű-fejlesztési és Ellentételezési Alapból a víziközmű-szolgáltatók részére történt megnövekedett kifizetési igényekből adódott.</w:t>
      </w:r>
    </w:p>
    <w:p w14:paraId="7F5F5B83" w14:textId="77777777" w:rsidR="00B325C4" w:rsidRPr="00B325C4" w:rsidRDefault="00B325C4" w:rsidP="00B325C4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Meghaladták a tavalyi összeget a nyugellátásokra és gyógyító-megelőző ellátásokra fordított kiadások is. November végéig – a 13. havi nyugdíjjal és ellátással együtt – nyugellátásokra és nyugdíjszerű ellátásokra összesen 6733,8 milliárd forint, míg gyógyító-megelőző ellátásokra 2635,5 milliárd forint kifizetése történt meg.</w:t>
      </w:r>
    </w:p>
    <w:p w14:paraId="7B768A0B" w14:textId="7EB2A172" w:rsidR="005171E0" w:rsidRDefault="00B325C4" w:rsidP="00B325C4">
      <w:pPr>
        <w:widowControl w:val="0"/>
        <w:spacing w:after="120"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325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Novemberben (egy hónap alatt) a központi alrendszer 402,8 milliárd forint hiánnyal zárt, szemben az előző évi azonos havi 233,8 milliárd forintos hiánnyal</w:t>
      </w:r>
      <w:r w:rsidR="009F665B" w:rsidRPr="009F66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.</w:t>
      </w:r>
      <w:r w:rsidR="00920F4D">
        <w:rPr>
          <w:rFonts w:ascii="Times New Roman" w:eastAsia="Times New Roman" w:hAnsi="Times New Roman" w:cs="Times New Roman"/>
          <w:sz w:val="26"/>
          <w:szCs w:val="26"/>
          <w:lang w:eastAsia="hu-HU"/>
        </w:rPr>
        <w:br w:type="column"/>
      </w:r>
      <w:r w:rsidR="639E9B9B" w:rsidRPr="639E9B9B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 xml:space="preserve">Az államháztartás központi </w:t>
      </w:r>
      <w:r w:rsidR="639E9B9B" w:rsidRPr="00456EAE">
        <w:rPr>
          <w:rFonts w:ascii="Times New Roman" w:eastAsia="Times New Roman" w:hAnsi="Times New Roman" w:cs="Times New Roman"/>
          <w:sz w:val="26"/>
          <w:szCs w:val="26"/>
          <w:lang w:eastAsia="hu-HU"/>
        </w:rPr>
        <w:t>alrendszerének 202</w:t>
      </w:r>
      <w:r w:rsidR="005171E0" w:rsidRPr="00456EAE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="639E9B9B" w:rsidRPr="00456EAE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A673CC" w:rsidRPr="00456EAE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456EAE">
        <w:rPr>
          <w:rFonts w:ascii="Times New Roman" w:eastAsia="Times New Roman" w:hAnsi="Times New Roman" w:cs="Times New Roman"/>
          <w:sz w:val="26"/>
          <w:szCs w:val="26"/>
          <w:lang w:eastAsia="hu-HU"/>
        </w:rPr>
        <w:t>november</w:t>
      </w:r>
      <w:r w:rsidR="00A673CC" w:rsidRPr="00456EAE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="639E9B9B" w:rsidRPr="00456EAE">
        <w:rPr>
          <w:rFonts w:ascii="Times New Roman" w:eastAsia="Times New Roman" w:hAnsi="Times New Roman" w:cs="Times New Roman"/>
          <w:sz w:val="26"/>
          <w:szCs w:val="26"/>
          <w:lang w:eastAsia="hu-HU"/>
        </w:rPr>
        <w:t>végi főbb</w:t>
      </w:r>
      <w:r w:rsidR="639E9B9B" w:rsidRPr="639E9B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pé</w:t>
      </w:r>
      <w:r w:rsidR="006D5492">
        <w:rPr>
          <w:rFonts w:ascii="Times New Roman" w:eastAsia="Times New Roman" w:hAnsi="Times New Roman" w:cs="Times New Roman"/>
          <w:sz w:val="26"/>
          <w:szCs w:val="26"/>
          <w:lang w:eastAsia="hu-HU"/>
        </w:rPr>
        <w:t>nzforgalmi adatai a következők:</w:t>
      </w:r>
    </w:p>
    <w:tbl>
      <w:tblPr>
        <w:tblW w:w="100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067"/>
        <w:gridCol w:w="1276"/>
        <w:gridCol w:w="1075"/>
        <w:gridCol w:w="1103"/>
        <w:gridCol w:w="1224"/>
        <w:gridCol w:w="1159"/>
        <w:gridCol w:w="1113"/>
      </w:tblGrid>
      <w:tr w:rsidR="00935118" w:rsidRPr="003D514A" w14:paraId="7C2CBF88" w14:textId="77777777" w:rsidTr="239528D4">
        <w:trPr>
          <w:trHeight w:val="144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6847C39" w14:textId="77777777" w:rsidR="00935118" w:rsidRPr="00602E3C" w:rsidRDefault="239528D4" w:rsidP="239528D4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A30138" w14:textId="11322A85" w:rsidR="00B6763B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2024. évi 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tény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103DF983" w14:textId="77777777" w:rsidR="009F665B" w:rsidRPr="00602E3C" w:rsidRDefault="009F665B" w:rsidP="716D41F4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5C342" w14:textId="76728DC5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DF4E03" w14:textId="27008CC6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2024. I-X</w:t>
            </w:r>
            <w:r w:rsidR="00B32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hó tény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547D8DD1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A44C1" w14:textId="4CBA2534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E2A84F" w14:textId="3C939362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éves tény=100%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03379603" w14:textId="77777777" w:rsidR="00CD1AD4" w:rsidRDefault="00CD1AD4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F2388" w14:textId="77777777" w:rsidR="009F665B" w:rsidRPr="00602E3C" w:rsidRDefault="009F665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042FF" w14:textId="50D239CD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(2/1)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1E5557" w14:textId="77777777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2025. évi előirányzat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6FB67AB7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7F662" w14:textId="5B799A38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D4190CD" w14:textId="43839B7B" w:rsidR="00B6763B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2025. I-X</w:t>
            </w:r>
            <w:r w:rsidR="00B32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hó tény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milliárd forintban</w:t>
            </w:r>
          </w:p>
          <w:p w14:paraId="15A457DF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73C3C" w14:textId="075CFEB7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CBD1FD" w14:textId="77777777" w:rsidR="00B6763B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előirányzat=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4AEEBB44" w14:textId="77777777" w:rsidR="00B6763B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C63D7" w14:textId="77777777" w:rsidR="00602E3C" w:rsidRPr="00602E3C" w:rsidRDefault="00602E3C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6B04A" w14:textId="0682B2A8" w:rsidR="00935118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(4/3)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392F559" w14:textId="77777777" w:rsidR="00B6763B" w:rsidRPr="00602E3C" w:rsidRDefault="3C87A00B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előző év=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Index (%)</w:t>
            </w:r>
          </w:p>
          <w:p w14:paraId="2CC3F023" w14:textId="77777777" w:rsidR="00B6763B" w:rsidRPr="00602E3C" w:rsidRDefault="00B6763B" w:rsidP="00B6763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4C741" w14:textId="77DB2268" w:rsidR="00935118" w:rsidRPr="00602E3C" w:rsidRDefault="00935118" w:rsidP="3C87A00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/>
            </w:r>
            <w:r w:rsidR="3C87A00B" w:rsidRPr="3C87A00B">
              <w:rPr>
                <w:rFonts w:ascii="Times New Roman" w:hAnsi="Times New Roman" w:cs="Times New Roman"/>
                <w:sz w:val="20"/>
                <w:szCs w:val="20"/>
              </w:rPr>
              <w:t>(4/2)</w:t>
            </w:r>
          </w:p>
        </w:tc>
      </w:tr>
      <w:tr w:rsidR="00B325C4" w:rsidRPr="003D514A" w14:paraId="272C1797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A14" w14:textId="77777777" w:rsidR="00B325C4" w:rsidRPr="00602E3C" w:rsidRDefault="00B325C4" w:rsidP="00B325C4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Központi költségvetés egyenlege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3CE6" w14:textId="50A7D0CF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</w:rPr>
              <w:t>-3 856,9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4960" w14:textId="67E307DA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</w:rPr>
              <w:t>-3 257,5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D199" w14:textId="24CC236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84,5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BFBC" w14:textId="60D598A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  <w:szCs w:val="20"/>
              </w:rPr>
              <w:t>-4 211,6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7161" w14:textId="5FDFFA4F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  <w:szCs w:val="20"/>
              </w:rPr>
              <w:t>-3 904,0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672A" w14:textId="460E352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92,7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7053" w14:textId="3B7EDF9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119,8</w:t>
            </w:r>
          </w:p>
        </w:tc>
      </w:tr>
      <w:tr w:rsidR="00B325C4" w:rsidRPr="003D514A" w14:paraId="43DB1C6B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C3DC" w14:textId="77777777" w:rsidR="00B325C4" w:rsidRPr="00602E3C" w:rsidRDefault="00B325C4" w:rsidP="00B325C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BE1E" w14:textId="05098F6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26 708,8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4DA8" w14:textId="4F71C9F5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23 200,5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E7D2" w14:textId="3180C32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86,9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2934" w14:textId="414BBEB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26 622,0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5A8F" w14:textId="68FE87DE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24 519,7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1E05" w14:textId="687813D1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92,1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5DA4" w14:textId="66CB027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105,7</w:t>
            </w:r>
          </w:p>
        </w:tc>
      </w:tr>
      <w:tr w:rsidR="00B325C4" w:rsidRPr="003D514A" w14:paraId="576245F4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56B" w14:textId="77777777" w:rsidR="00B325C4" w:rsidRPr="00602E3C" w:rsidRDefault="00B325C4" w:rsidP="00B325C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BDD4" w14:textId="3A6C51D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30 565,7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2D54" w14:textId="68F037AA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26 458,0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DC03" w14:textId="714FB5F4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86,6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3988" w14:textId="32B91DBC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30 833,5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D31A" w14:textId="2E50BDE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28 423,7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44DE" w14:textId="7D4E3CB7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92,2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C9DE" w14:textId="62D3951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107,4</w:t>
            </w:r>
          </w:p>
        </w:tc>
      </w:tr>
      <w:tr w:rsidR="00B325C4" w:rsidRPr="003D514A" w14:paraId="5D1AF47D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88AA" w14:textId="77777777" w:rsidR="00B325C4" w:rsidRPr="00602E3C" w:rsidRDefault="00B325C4" w:rsidP="00B325C4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Elkülönített állami pénzalapok egyenlege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D897" w14:textId="5B30EF3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</w:rPr>
              <w:t>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1C5B" w14:textId="1B808A19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</w:rPr>
              <w:t>200,0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A081" w14:textId="54F2C254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144,8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5FB6" w14:textId="634DFC6B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  <w:szCs w:val="20"/>
              </w:rPr>
              <w:t>88,6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A3B4" w14:textId="51952C1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  <w:szCs w:val="20"/>
              </w:rPr>
              <w:t>73,</w:t>
            </w:r>
            <w:r>
              <w:rPr>
                <w:rFonts w:ascii="Garamond" w:hAnsi="Garamond"/>
                <w:b/>
                <w:bCs/>
                <w:szCs w:val="20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2161" w14:textId="63168777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83,</w:t>
            </w:r>
            <w:r>
              <w:rPr>
                <w:rFonts w:ascii="Garamond" w:hAnsi="Garamond"/>
                <w:szCs w:val="20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8325" w14:textId="2F35E06A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3</w:t>
            </w:r>
            <w:r>
              <w:rPr>
                <w:rFonts w:ascii="Garamond" w:hAnsi="Garamond"/>
                <w:szCs w:val="20"/>
              </w:rPr>
              <w:t>7,0</w:t>
            </w:r>
          </w:p>
        </w:tc>
      </w:tr>
      <w:tr w:rsidR="00B325C4" w:rsidRPr="003D514A" w14:paraId="28F7F28C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3547" w14:textId="77777777" w:rsidR="00B325C4" w:rsidRPr="00602E3C" w:rsidRDefault="00B325C4" w:rsidP="00B325C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C4C7" w14:textId="2C20020C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856,3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D3FF" w14:textId="5C39C927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783,5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9EFA" w14:textId="42D384B5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91,5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9F49" w14:textId="03007F1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845,7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6B6B" w14:textId="499EAAE4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776,0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AEAF" w14:textId="3A955A90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91,8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15A4" w14:textId="7CE8DAF7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99,0</w:t>
            </w:r>
          </w:p>
        </w:tc>
      </w:tr>
      <w:tr w:rsidR="00B325C4" w:rsidRPr="00190176" w14:paraId="1E40C612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A0A7" w14:textId="77777777" w:rsidR="00B325C4" w:rsidRPr="00602E3C" w:rsidRDefault="00B325C4" w:rsidP="00B325C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FE8F" w14:textId="08795BAF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718,3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9044" w14:textId="64486B59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583,</w:t>
            </w:r>
            <w:r>
              <w:rPr>
                <w:rFonts w:ascii="Garamond" w:hAnsi="Garamond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2BC9" w14:textId="642987C3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81,2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A8DE" w14:textId="3EAF0A64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757,2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273D" w14:textId="7E46357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702,2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19CB" w14:textId="14D245B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30EE" w14:textId="03615F63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120,3</w:t>
            </w:r>
          </w:p>
        </w:tc>
      </w:tr>
      <w:tr w:rsidR="00B325C4" w:rsidRPr="003D514A" w14:paraId="76328518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6F71" w14:textId="77777777" w:rsidR="00B325C4" w:rsidRPr="00602E3C" w:rsidRDefault="00B325C4" w:rsidP="00B325C4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Társadalombiztosítás pénzügyi alapjainak egyenlege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FFCC" w14:textId="78586235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</w:rPr>
              <w:t>-229,5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DC00" w14:textId="690DFB8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</w:rPr>
              <w:t>-226,8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A9E4" w14:textId="6DBCBD1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98,8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6B04" w14:textId="5F9C89E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  <w:szCs w:val="20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5478" w14:textId="05BF4A4B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  <w:szCs w:val="20"/>
              </w:rPr>
              <w:t>-240,3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352A" w14:textId="1691C28A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8797" w14:textId="00833CC0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106,0</w:t>
            </w:r>
          </w:p>
        </w:tc>
      </w:tr>
      <w:tr w:rsidR="00B325C4" w:rsidRPr="003D514A" w14:paraId="019242A3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060" w14:textId="77777777" w:rsidR="00B325C4" w:rsidRPr="00602E3C" w:rsidRDefault="00B325C4" w:rsidP="00B325C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A0A8" w14:textId="2D16EEE7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10 526,1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2633" w14:textId="6CE5E75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9 635,0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2BD9" w14:textId="057DB08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91,5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FBF3" w14:textId="3FB7B7C7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11 261,1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86421" w14:textId="0370DE23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10 320,7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3170" w14:textId="43E40327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91,6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5B4C" w14:textId="1AB769EC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107,1</w:t>
            </w:r>
          </w:p>
        </w:tc>
      </w:tr>
      <w:tr w:rsidR="00B325C4" w:rsidRPr="003D514A" w14:paraId="57754C66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1A64" w14:textId="77777777" w:rsidR="00B325C4" w:rsidRPr="00602E3C" w:rsidRDefault="00B325C4" w:rsidP="00B325C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4A7D" w14:textId="5C577095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10 755,5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92BF" w14:textId="5126006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9 861,8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949B" w14:textId="0D655A6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91,7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FBBD" w14:textId="4109044F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11 261,1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35E32" w14:textId="50B4BA24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10 561,0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18A84" w14:textId="38AF685C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93,8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C871" w14:textId="0237525A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107,1</w:t>
            </w:r>
          </w:p>
        </w:tc>
      </w:tr>
      <w:tr w:rsidR="00B325C4" w:rsidRPr="003D514A" w14:paraId="0BB4AC6A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B7B" w14:textId="77777777" w:rsidR="00B325C4" w:rsidRPr="00602E3C" w:rsidRDefault="00B325C4" w:rsidP="00B325C4">
            <w:pPr>
              <w:keepNext/>
              <w:keepLines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Egyenleg összesen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1324" w14:textId="187CA980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</w:rPr>
              <w:t>-3 948,3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FD4E" w14:textId="0B4B7110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</w:rPr>
              <w:t>-3 284,3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8024" w14:textId="0FB02281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83,2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BA0A5" w14:textId="703A4AC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  <w:szCs w:val="20"/>
              </w:rPr>
              <w:t>-4 123,0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C34A" w14:textId="4FA85FAB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C0B">
              <w:rPr>
                <w:rFonts w:ascii="Garamond" w:hAnsi="Garamond"/>
                <w:b/>
                <w:bCs/>
                <w:szCs w:val="20"/>
              </w:rPr>
              <w:t>-4 070,4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D6B4" w14:textId="6A06C90F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98,7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BC04" w14:textId="6C15E896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123,9</w:t>
            </w:r>
          </w:p>
        </w:tc>
      </w:tr>
      <w:tr w:rsidR="00B325C4" w:rsidRPr="003D514A" w14:paraId="54A89CE6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1282" w14:textId="77777777" w:rsidR="00B325C4" w:rsidRPr="00602E3C" w:rsidRDefault="00B325C4" w:rsidP="00B325C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bevétel: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E151" w14:textId="5BE720E4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38 091,2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9CF8" w14:textId="22D68FAE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33 619,0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A6F0" w14:textId="30399D9D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88,3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4504" w14:textId="666BAC50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38 728,8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7FCC" w14:textId="628FF64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35 616,4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8AAD" w14:textId="2E6FD97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92,0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F952" w14:textId="767FB251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105,9</w:t>
            </w:r>
          </w:p>
        </w:tc>
      </w:tr>
      <w:tr w:rsidR="00B325C4" w:rsidRPr="0096527E" w14:paraId="7BAEDA41" w14:textId="77777777" w:rsidTr="239528D4">
        <w:trPr>
          <w:trHeight w:val="17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02C9" w14:textId="77777777" w:rsidR="00B325C4" w:rsidRPr="00602E3C" w:rsidRDefault="00B325C4" w:rsidP="00B325C4">
            <w:pPr>
              <w:keepNext/>
              <w:keepLines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sz w:val="20"/>
                <w:szCs w:val="20"/>
              </w:rPr>
              <w:t>kiadás: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D40D" w14:textId="4A59AB83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42 039,5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DA4D" w14:textId="7164D909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36 903,3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A52D" w14:textId="71200A08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</w:rPr>
              <w:t>87,8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63B9" w14:textId="7A7AC329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42 851,8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88C5" w14:textId="0F8737BB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39 686,9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E23B" w14:textId="1516EFCE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92,6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C43A" w14:textId="44492EFB" w:rsidR="00B325C4" w:rsidRPr="007007A3" w:rsidRDefault="00B325C4" w:rsidP="00B325C4">
            <w:p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4C0B">
              <w:rPr>
                <w:rFonts w:ascii="Garamond" w:hAnsi="Garamond"/>
                <w:szCs w:val="20"/>
              </w:rPr>
              <w:t>107,5</w:t>
            </w:r>
          </w:p>
        </w:tc>
      </w:tr>
    </w:tbl>
    <w:p w14:paraId="651BA2DD" w14:textId="77777777" w:rsidR="005171E0" w:rsidRDefault="005171E0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530C941" w14:textId="77777777" w:rsidR="00794A5E" w:rsidRDefault="00794A5E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7665E44" w14:textId="77777777" w:rsidR="00794A5E" w:rsidRPr="00377D59" w:rsidRDefault="3C87A00B" w:rsidP="3C87A00B">
      <w:pPr>
        <w:keepNext/>
        <w:spacing w:line="240" w:lineRule="auto"/>
        <w:ind w:left="425" w:hanging="425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Az államháztartás központi alrendszerének HIÁNYA</w:t>
      </w:r>
    </w:p>
    <w:p w14:paraId="48257848" w14:textId="0CD4A871" w:rsidR="00794A5E" w:rsidRPr="00794A5E" w:rsidRDefault="3C87A00B" w:rsidP="3C87A00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Az államháztartás központi alrendszerének az elfogadott költségvetési törvényben szereplő 3,7%-os ESA-hiányhoz tartozó pénzforgalmi hiánya 4123,0 milliárd forint.</w:t>
      </w:r>
    </w:p>
    <w:p w14:paraId="60844057" w14:textId="2FA078BC" w:rsidR="00794A5E" w:rsidRPr="00794A5E" w:rsidRDefault="3C87A00B" w:rsidP="3C87A00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A várható </w:t>
      </w:r>
      <w:r w:rsidRP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ESA-hiányhoz tartozó várható éves pénzforgalmi hiány ugyanakkor </w:t>
      </w:r>
      <w:r w:rsid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5055</w:t>
      </w:r>
      <w:r w:rsidRP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,0 milliárd forint. A központi alrendszer </w:t>
      </w:r>
      <w:r w:rsidR="00B325C4" w:rsidRP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november</w:t>
      </w:r>
      <w:r w:rsidRP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 végi hiánya (</w:t>
      </w:r>
      <w:r w:rsidR="00B325C4" w:rsidRP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4070,4</w:t>
      </w:r>
      <w:r w:rsidRP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 milliárd forint) ennek </w:t>
      </w:r>
      <w:r w:rsidR="00B325C4" w:rsidRP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80,5</w:t>
      </w:r>
      <w:r w:rsidRPr="00E45B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%-a.</w:t>
      </w:r>
    </w:p>
    <w:p w14:paraId="1A0A9898" w14:textId="77777777" w:rsidR="00794A5E" w:rsidRDefault="00794A5E" w:rsidP="00794A5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1371788" w14:textId="77777777" w:rsidR="00BA38F7" w:rsidRDefault="00BA38F7" w:rsidP="716D41F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63F1B9B" w14:textId="77777777" w:rsidR="00BA38F7" w:rsidRDefault="00BA38F7" w:rsidP="716D41F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B768A93" w14:textId="398E617F" w:rsidR="00B155FE" w:rsidRPr="00377D59" w:rsidRDefault="3C87A00B" w:rsidP="3C87A0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I.</w:t>
      </w:r>
    </w:p>
    <w:p w14:paraId="7B768A94" w14:textId="77777777" w:rsidR="00B155FE" w:rsidRPr="00377D59" w:rsidRDefault="3C87A00B" w:rsidP="3C87A00B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 xml:space="preserve">A központi alrendszer pénzügyi folyamatainak </w:t>
      </w:r>
      <w:r w:rsidR="6D17EF1F">
        <w:br/>
      </w: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alakulása</w:t>
      </w:r>
    </w:p>
    <w:p w14:paraId="6D461365" w14:textId="08DC9FC2" w:rsidR="0004032B" w:rsidRPr="00377D59" w:rsidRDefault="3C87A00B" w:rsidP="3C87A00B">
      <w:pPr>
        <w:keepNext/>
        <w:numPr>
          <w:ilvl w:val="0"/>
          <w:numId w:val="3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t>A főbb bevételek</w:t>
      </w:r>
    </w:p>
    <w:p w14:paraId="1C04A740" w14:textId="26602A5A" w:rsidR="008E34AF" w:rsidRDefault="3C87A00B" w:rsidP="3C87A00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 központi alrendszer </w:t>
      </w:r>
      <w:r w:rsidR="009F5DC5" w:rsidRPr="009F5DC5">
        <w:rPr>
          <w:rFonts w:ascii="Times New Roman" w:eastAsia="Times New Roman" w:hAnsi="Times New Roman" w:cs="Times New Roman"/>
          <w:b/>
          <w:bCs/>
          <w:sz w:val="26"/>
          <w:szCs w:val="26"/>
        </w:rPr>
        <w:t>november végi 35</w:t>
      </w:r>
      <w:r w:rsidR="009F5DC5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9F5DC5" w:rsidRPr="009F5DC5">
        <w:rPr>
          <w:rFonts w:ascii="Times New Roman" w:eastAsia="Times New Roman" w:hAnsi="Times New Roman" w:cs="Times New Roman"/>
          <w:b/>
          <w:bCs/>
          <w:sz w:val="26"/>
          <w:szCs w:val="26"/>
        </w:rPr>
        <w:t>616,4 milliárd forint összegű bevételei az</w:t>
      </w:r>
      <w:r w:rsidR="009F5DC5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9F5DC5" w:rsidRPr="009F5DC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előző év azonos időszakához képest </w:t>
      </w:r>
      <w:r w:rsidR="00716A54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9F5DC5" w:rsidRPr="009F5DC5">
        <w:rPr>
          <w:rFonts w:ascii="Times New Roman" w:eastAsia="Times New Roman" w:hAnsi="Times New Roman" w:cs="Times New Roman"/>
          <w:b/>
          <w:bCs/>
          <w:sz w:val="26"/>
          <w:szCs w:val="26"/>
        </w:rPr>
        <w:t>997,4 milliárd forinttal, 5,9%-kal magasabb összegben alakultak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6BBE59DE" w14:textId="31E0E8CD" w:rsidR="00CF551C" w:rsidRDefault="009F5DC5" w:rsidP="00C11940">
      <w:pPr>
        <w:pStyle w:val="NormlWeb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1C4FCE7A" wp14:editId="4258EC79">
            <wp:extent cx="5940425" cy="2450465"/>
            <wp:effectExtent l="0" t="0" r="3175" b="6985"/>
            <wp:docPr id="899868190" name="Kép 1" descr="A képen szöveg, diagram, képernyőkép, kö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68190" name="Kép 1" descr="A képen szöveg, diagram, képernyőkép, kör látható&#10;&#10;Előfordulhat, hogy a mesterséges intelligencia által létrehozott tartalom helytele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9D02" w14:textId="4DB8FDFE" w:rsidR="00523670" w:rsidRPr="00523670" w:rsidRDefault="00523670" w:rsidP="00E45B6C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Társasági adó 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jogcímen a 2025. év első tizenegy hónapjában 959,2 milliárd forint realizálódott, amely az előző év egyenlegét 11,5 milliárd forinttal haladja meg. A</w:t>
      </w:r>
      <w:r w:rsidR="009F5DC5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bázisévhez viszonyított eltérés mögött a globális minimumadóból származó bevétel áll.</w:t>
      </w:r>
    </w:p>
    <w:p w14:paraId="22272ED2" w14:textId="57B9C23C" w:rsidR="00523670" w:rsidRPr="00523670" w:rsidRDefault="00523670" w:rsidP="00E45B6C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523670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pénzügyi szervezetek befizetései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mérlegsoron a 2025. év első tizenegy hónapjában 252,1 milliárd forint teljesült, amely az előző év egyenlegét 46,6 milliárd forinttal haladja meg. Ennek oka az előírt magasabb előlegkötelezettségek a pénzügyi szervezetek különadója esetén</w:t>
      </w:r>
      <w:r w:rsidR="00E45B6C">
        <w:rPr>
          <w:rFonts w:ascii="Times New Roman" w:eastAsia="Times New Roman" w:hAnsi="Times New Roman" w:cs="Times New Roman"/>
          <w:sz w:val="26"/>
          <w:szCs w:val="20"/>
          <w:lang w:eastAsia="hu-HU"/>
        </w:rPr>
        <w:t>, valamint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a magasabb hitelintézeti extraprofitadó bevétel.</w:t>
      </w:r>
    </w:p>
    <w:p w14:paraId="543BE0A4" w14:textId="77777777" w:rsidR="00523670" w:rsidRPr="00523670" w:rsidRDefault="00523670" w:rsidP="00E45B6C">
      <w:pPr>
        <w:jc w:val="both"/>
        <w:rPr>
          <w:rFonts w:ascii="Times New Roman" w:eastAsia="Times New Roman" w:hAnsi="Times New Roman" w:cs="Times New Roman"/>
          <w:sz w:val="26"/>
          <w:szCs w:val="20"/>
          <w:highlight w:val="yellow"/>
          <w:lang w:eastAsia="hu-HU"/>
        </w:rPr>
      </w:pPr>
      <w:r w:rsidRPr="00523670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523670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kisadózók tételes adójából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2025 első tizenegy hónapjában a költségvetésnek 64,7 milliárd forint bevétele keletkezett, amely 3,3 milliárd forinttal több az egy évvel korábbinál. Ennek oka az adónemet választók magasabb létszáma.</w:t>
      </w:r>
    </w:p>
    <w:p w14:paraId="1825CFD1" w14:textId="7B1ED55F" w:rsidR="00523670" w:rsidRPr="00523670" w:rsidRDefault="00523670" w:rsidP="00E45B6C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A</w:t>
      </w:r>
      <w:r w:rsidRPr="00523670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 kisvállalati adóból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származó bevétel a 2025. év első tizenegy hónapjában 234,2 milliárd forint volt, amely 26,8 milliárd forinttal magasabb az előző év egyenlegénél. Ennek oka az adóalanyok számának jelentős mértékű bővülése.</w:t>
      </w:r>
      <w:r w:rsidR="00E45B6C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2025</w:t>
      </w:r>
      <w:r w:rsidR="00E45B6C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novemberében a KIVA alanyok száma 99,4 ezer</w:t>
      </w:r>
      <w:r w:rsidR="00716A54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volt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.</w:t>
      </w:r>
    </w:p>
    <w:p w14:paraId="05A0FCFD" w14:textId="6EB262D3" w:rsidR="00640595" w:rsidRDefault="239528D4" w:rsidP="00E45B6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bányajáradék-bevétel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2025 első </w:t>
      </w:r>
      <w:r w:rsidR="081F19BD" w:rsidRPr="081F19BD">
        <w:rPr>
          <w:rFonts w:ascii="Times New Roman" w:eastAsia="Times New Roman" w:hAnsi="Times New Roman" w:cs="Times New Roman"/>
          <w:sz w:val="26"/>
          <w:szCs w:val="26"/>
        </w:rPr>
        <w:t>tizenegy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hónapjában </w:t>
      </w:r>
      <w:r w:rsidR="081F19BD" w:rsidRPr="081F19BD">
        <w:rPr>
          <w:rFonts w:ascii="Times New Roman" w:eastAsia="Times New Roman" w:hAnsi="Times New Roman" w:cs="Times New Roman"/>
          <w:sz w:val="26"/>
          <w:szCs w:val="26"/>
        </w:rPr>
        <w:t>100,8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 milliárd forint volt, amely </w:t>
      </w:r>
      <w:r w:rsidR="081F19BD" w:rsidRPr="081F19BD">
        <w:rPr>
          <w:rFonts w:ascii="Times New Roman" w:eastAsia="Times New Roman" w:hAnsi="Times New Roman" w:cs="Times New Roman"/>
          <w:sz w:val="26"/>
          <w:szCs w:val="26"/>
        </w:rPr>
        <w:t>9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>,</w:t>
      </w:r>
      <w:r w:rsidR="001722D8">
        <w:rPr>
          <w:rFonts w:ascii="Times New Roman" w:eastAsia="Times New Roman" w:hAnsi="Times New Roman" w:cs="Times New Roman"/>
          <w:sz w:val="26"/>
          <w:szCs w:val="26"/>
        </w:rPr>
        <w:t>3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 milliárd forinttal teljesült alacsonyabban az előző év azonos időszakához képest, amelynek fő oka a számítási szabályok év eleji kisebb változása és a bányajáradék számításához kapcsolódó </w:t>
      </w:r>
      <w:proofErr w:type="spellStart"/>
      <w:r w:rsidRPr="239528D4">
        <w:rPr>
          <w:rFonts w:ascii="Times New Roman" w:eastAsia="Times New Roman" w:hAnsi="Times New Roman" w:cs="Times New Roman"/>
          <w:sz w:val="26"/>
          <w:szCs w:val="26"/>
        </w:rPr>
        <w:t>makroparaméterek</w:t>
      </w:r>
      <w:proofErr w:type="spellEnd"/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(olajár, </w:t>
      </w:r>
      <w:proofErr w:type="spellStart"/>
      <w:r w:rsidRPr="239528D4">
        <w:rPr>
          <w:rFonts w:ascii="Times New Roman" w:eastAsia="Times New Roman" w:hAnsi="Times New Roman" w:cs="Times New Roman"/>
          <w:sz w:val="26"/>
          <w:szCs w:val="26"/>
        </w:rPr>
        <w:t>gázár</w:t>
      </w:r>
      <w:proofErr w:type="spellEnd"/>
      <w:r w:rsidRPr="239528D4">
        <w:rPr>
          <w:rFonts w:ascii="Times New Roman" w:eastAsia="Times New Roman" w:hAnsi="Times New Roman" w:cs="Times New Roman"/>
          <w:sz w:val="26"/>
          <w:szCs w:val="26"/>
        </w:rPr>
        <w:t>, árfolyamok) alakulásának együttes eredője.</w:t>
      </w:r>
    </w:p>
    <w:p w14:paraId="092B7669" w14:textId="77777777" w:rsidR="008E34AF" w:rsidRDefault="008E34AF" w:rsidP="00E45B6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22C39E" w14:textId="7906741F" w:rsidR="72AFD5C4" w:rsidRPr="00377D59" w:rsidRDefault="7A91341A" w:rsidP="00E45B6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A91341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</w:t>
      </w:r>
      <w:r w:rsidRPr="7A91341A">
        <w:rPr>
          <w:rFonts w:ascii="Times New Roman" w:eastAsia="Times New Roman" w:hAnsi="Times New Roman" w:cs="Times New Roman"/>
          <w:b/>
          <w:bCs/>
          <w:sz w:val="26"/>
          <w:szCs w:val="26"/>
        </w:rPr>
        <w:t>útdíjakból származó bevétel</w:t>
      </w:r>
      <w:r w:rsidRPr="7A91341A">
        <w:rPr>
          <w:rFonts w:ascii="Times New Roman" w:eastAsia="Times New Roman" w:hAnsi="Times New Roman" w:cs="Times New Roman"/>
          <w:sz w:val="26"/>
          <w:szCs w:val="26"/>
        </w:rPr>
        <w:t xml:space="preserve"> 2024-től külön mérlegsoron jelenik meg, mely az elektronikus útdíj rendszer és az időalapú útdíj rendszer bevételeinek együttes összegét tartalmazza. Az útdíjakból 2025 </w:t>
      </w:r>
      <w:r w:rsidR="4F76BD83" w:rsidRPr="4F76BD83">
        <w:rPr>
          <w:rFonts w:ascii="Times New Roman" w:eastAsia="Times New Roman" w:hAnsi="Times New Roman" w:cs="Times New Roman"/>
          <w:sz w:val="26"/>
          <w:szCs w:val="26"/>
        </w:rPr>
        <w:t>novemberéig 570,7</w:t>
      </w:r>
      <w:r w:rsidRPr="7A91341A">
        <w:rPr>
          <w:rFonts w:ascii="Times New Roman" w:eastAsia="Times New Roman" w:hAnsi="Times New Roman" w:cs="Times New Roman"/>
          <w:sz w:val="26"/>
          <w:szCs w:val="26"/>
        </w:rPr>
        <w:t xml:space="preserve"> milliárd forint költségvetési bevétel teljesült ezen a mérlegsoron, amely </w:t>
      </w:r>
      <w:r w:rsidR="4F76BD83" w:rsidRPr="4F76BD83">
        <w:rPr>
          <w:rFonts w:ascii="Times New Roman" w:eastAsia="Times New Roman" w:hAnsi="Times New Roman" w:cs="Times New Roman"/>
          <w:sz w:val="26"/>
          <w:szCs w:val="26"/>
        </w:rPr>
        <w:t>26,4</w:t>
      </w:r>
      <w:r w:rsidRPr="7A91341A">
        <w:rPr>
          <w:rFonts w:ascii="Times New Roman" w:eastAsia="Times New Roman" w:hAnsi="Times New Roman" w:cs="Times New Roman"/>
          <w:sz w:val="26"/>
          <w:szCs w:val="26"/>
        </w:rPr>
        <w:t> milliárd forinttal magasabb az előző év azonos időszakához viszonyítva. A magasabb teljesülést alapvetően a forgalmi viszonyok, valamint a díjrendszereket érintő jogszabályi keretek változása okozza.</w:t>
      </w:r>
    </w:p>
    <w:p w14:paraId="685BE235" w14:textId="309A6607" w:rsidR="008A66DB" w:rsidRDefault="239528D4" w:rsidP="00E45B6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Egyéb központosított bevételekből 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az év első </w:t>
      </w:r>
      <w:r w:rsidR="46D68B46" w:rsidRPr="46D68B46">
        <w:rPr>
          <w:rFonts w:ascii="Times New Roman" w:eastAsia="Times New Roman" w:hAnsi="Times New Roman" w:cs="Times New Roman"/>
          <w:sz w:val="26"/>
          <w:szCs w:val="26"/>
        </w:rPr>
        <w:t>tizenegy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hónapjában </w:t>
      </w:r>
      <w:r w:rsidR="46D68B46" w:rsidRPr="46D68B46">
        <w:rPr>
          <w:rFonts w:ascii="Times New Roman" w:eastAsia="Times New Roman" w:hAnsi="Times New Roman" w:cs="Times New Roman"/>
          <w:sz w:val="26"/>
          <w:szCs w:val="26"/>
        </w:rPr>
        <w:t>171,3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 milliárd forint bevétel teljesült, amely a törvényi előirányzat </w:t>
      </w:r>
      <w:r w:rsidR="46D68B46" w:rsidRPr="46D68B46">
        <w:rPr>
          <w:rFonts w:ascii="Times New Roman" w:eastAsia="Times New Roman" w:hAnsi="Times New Roman" w:cs="Times New Roman"/>
          <w:sz w:val="26"/>
          <w:szCs w:val="26"/>
        </w:rPr>
        <w:t>94,4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>%-ána</w:t>
      </w:r>
      <w:r w:rsidRPr="003A7F3F">
        <w:rPr>
          <w:rFonts w:ascii="Times New Roman" w:eastAsia="Times New Roman" w:hAnsi="Times New Roman" w:cs="Times New Roman"/>
          <w:sz w:val="26"/>
          <w:szCs w:val="26"/>
        </w:rPr>
        <w:t xml:space="preserve">k felel meg. Ezen belül kiemelkedő a bírságbevételekből befolyt </w:t>
      </w:r>
      <w:r w:rsidR="46D68B46" w:rsidRPr="003A7F3F">
        <w:rPr>
          <w:rFonts w:ascii="Times New Roman" w:eastAsia="Times New Roman" w:hAnsi="Times New Roman" w:cs="Times New Roman"/>
          <w:sz w:val="26"/>
          <w:szCs w:val="26"/>
        </w:rPr>
        <w:t>94,6</w:t>
      </w:r>
      <w:r w:rsidRPr="003A7F3F">
        <w:rPr>
          <w:rFonts w:ascii="Times New Roman" w:eastAsia="Times New Roman" w:hAnsi="Times New Roman" w:cs="Times New Roman"/>
          <w:sz w:val="26"/>
          <w:szCs w:val="26"/>
        </w:rPr>
        <w:t> milliárd forint.</w:t>
      </w:r>
    </w:p>
    <w:p w14:paraId="0D3DE64C" w14:textId="05BAC1F1" w:rsidR="00523670" w:rsidRPr="00523670" w:rsidRDefault="00523670" w:rsidP="00E45B6C">
      <w:pPr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Az</w:t>
      </w:r>
      <w:r w:rsidRPr="00523670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 energia ágazat befizetései 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jogcímen </w:t>
      </w:r>
      <w:r w:rsidR="008E34AF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2025. év első tizenegy hónapjában 190,4 milliárd forint pénzforgalom teljesült, amely az előző év egyenlegétől 60,1 milliárd forinttal maradt el. A bázisévhez viszonyított eltérés több kisebb adónem megszűnéséhez</w:t>
      </w:r>
      <w:r w:rsidR="008E34AF">
        <w:rPr>
          <w:rFonts w:ascii="Times New Roman" w:eastAsia="Times New Roman" w:hAnsi="Times New Roman" w:cs="Times New Roman"/>
          <w:sz w:val="26"/>
          <w:szCs w:val="20"/>
          <w:lang w:eastAsia="hu-HU"/>
        </w:rPr>
        <w:t>, valamint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az Ural-</w:t>
      </w:r>
      <w:proofErr w:type="spellStart"/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Brent</w:t>
      </w:r>
      <w:proofErr w:type="spellEnd"/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proofErr w:type="spellStart"/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spread</w:t>
      </w:r>
      <w:proofErr w:type="spellEnd"/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különadó elmaradásához köthető. </w:t>
      </w:r>
    </w:p>
    <w:p w14:paraId="1AB8A2EA" w14:textId="32304A5A" w:rsidR="00523670" w:rsidRPr="00523670" w:rsidRDefault="00523670" w:rsidP="00E45B6C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>K</w:t>
      </w:r>
      <w:r w:rsidRPr="00523670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iskereskedelmi adó 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jogcímen a 2025. év első tizenegy hónapjában 242,0 milliárd forint bevétel teljesült, amely a 2024. évi egyenlegénél 15,1 milliárd forinttal magasabb. A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bevételek alakulásának hátterében az első és második előlegfizetés, valamint az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elszámolásokhoz köthető befizetések állnak.</w:t>
      </w:r>
    </w:p>
    <w:p w14:paraId="384EB26A" w14:textId="06095799" w:rsidR="00523670" w:rsidRPr="00523670" w:rsidRDefault="00523670" w:rsidP="00E45B6C">
      <w:pPr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Gyógyszergyártói adó 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jogcímen </w:t>
      </w:r>
      <w:r w:rsidR="008E34AF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2025. év első tizenegy hónapjában 4,2 milliárd forint pénzforgalom teljesült, amely 12,5</w:t>
      </w:r>
      <w:r w:rsidR="00D877E7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 forinttal maradt el az előző év azonos időszakához képest. Ennek oka, hogy az adónem a 2025. évben megszűnt, a befizetés eltérő üzleti éves adózóhoz kötődik.</w:t>
      </w:r>
    </w:p>
    <w:p w14:paraId="3E1F6A52" w14:textId="77777777" w:rsidR="00523670" w:rsidRPr="00523670" w:rsidRDefault="00523670" w:rsidP="00E45B6C">
      <w:pPr>
        <w:widowControl w:val="0"/>
        <w:jc w:val="both"/>
        <w:rPr>
          <w:rFonts w:ascii="Times New Roman" w:eastAsia="Times New Roman" w:hAnsi="Times New Roman" w:cs="Times New Roman"/>
          <w:sz w:val="26"/>
          <w:szCs w:val="20"/>
          <w:highlight w:val="yellow"/>
          <w:lang w:eastAsia="hu-HU"/>
        </w:rPr>
      </w:pP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523670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 xml:space="preserve">rehabilitációs hozzájárulásból </w:t>
      </w:r>
      <w:r w:rsidRPr="00523670">
        <w:rPr>
          <w:rFonts w:ascii="Times New Roman" w:eastAsia="Times New Roman" w:hAnsi="Times New Roman" w:cs="Times New Roman"/>
          <w:bCs/>
          <w:sz w:val="26"/>
          <w:szCs w:val="20"/>
          <w:lang w:eastAsia="hu-HU"/>
        </w:rPr>
        <w:t>származó bevétel az év első tizenegy hónapjában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198,4 milliárd forint volt, amely 16,1 milliárd forinttal magasabb az egy évvel korábbi összegnél. Ennek oka a minimálbérnek, így az adó mértékének az emelkedése.</w:t>
      </w:r>
    </w:p>
    <w:p w14:paraId="54046E48" w14:textId="365F4E6E" w:rsidR="006330AD" w:rsidRDefault="00523670" w:rsidP="00E45B6C">
      <w:pPr>
        <w:widowControl w:val="0"/>
        <w:tabs>
          <w:tab w:val="left" w:pos="3105"/>
        </w:tabs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2025. év első tizenegy hónapjában az </w:t>
      </w:r>
      <w:r w:rsidRPr="00523670">
        <w:rPr>
          <w:rFonts w:ascii="Times New Roman" w:eastAsia="Times New Roman" w:hAnsi="Times New Roman" w:cs="Times New Roman"/>
          <w:b/>
          <w:bCs/>
          <w:sz w:val="26"/>
          <w:szCs w:val="20"/>
          <w:lang w:eastAsia="hu-HU"/>
        </w:rPr>
        <w:t>általános forgalmi adóból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7415,4</w:t>
      </w:r>
      <w:r w:rsidRPr="00523670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 bevétele keletkezett a költségvetésnek, ami az egy évvel korábbi bevételt 782,7</w:t>
      </w:r>
      <w:r w:rsidRPr="00523670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forinttal haladja meg.</w:t>
      </w:r>
    </w:p>
    <w:tbl>
      <w:tblPr>
        <w:tblW w:w="6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724"/>
        <w:gridCol w:w="1700"/>
        <w:gridCol w:w="993"/>
        <w:gridCol w:w="951"/>
      </w:tblGrid>
      <w:tr w:rsidR="00523670" w:rsidRPr="00523670" w14:paraId="75980C4B" w14:textId="77777777" w:rsidTr="00426799">
        <w:trPr>
          <w:trHeight w:val="255"/>
          <w:jc w:val="center"/>
        </w:trPr>
        <w:tc>
          <w:tcPr>
            <w:tcW w:w="69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3BC7" w14:textId="77777777" w:rsidR="00523670" w:rsidRPr="00523670" w:rsidRDefault="00523670" w:rsidP="0052367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Általános forgalmi adó bevétel alakulása (milliárd forint) </w:t>
            </w:r>
          </w:p>
        </w:tc>
      </w:tr>
      <w:tr w:rsidR="00523670" w:rsidRPr="00523670" w14:paraId="64AA266C" w14:textId="77777777" w:rsidTr="008E34AF">
        <w:trPr>
          <w:trHeight w:val="34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51C92A1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4320E39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2024.</w:t>
            </w:r>
          </w:p>
          <w:p w14:paraId="5F584B1D" w14:textId="5443688B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I-XI. hó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9469065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</w:p>
          <w:p w14:paraId="031E4C03" w14:textId="1C62D002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I-XI. h</w:t>
            </w:r>
            <w:r w:rsidR="008E34AF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ó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C56AFFC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523670" w:rsidRPr="00523670" w14:paraId="3357E9DA" w14:textId="77777777" w:rsidTr="008E34AF">
        <w:trPr>
          <w:trHeight w:val="34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E90DFD6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E81671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1D713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194CE91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4C56246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523670" w:rsidRPr="00523670" w14:paraId="5F4458B1" w14:textId="77777777" w:rsidTr="00426799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228A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Befizetés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F9E0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11 763,6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D5DF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12 479,9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C180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716,3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1E24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106,1</w:t>
            </w:r>
          </w:p>
        </w:tc>
      </w:tr>
      <w:tr w:rsidR="00523670" w:rsidRPr="00523670" w14:paraId="135FC3BE" w14:textId="77777777" w:rsidTr="00426799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63D4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Kiutalás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19A93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5 130,9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DC16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5 064,5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F3EF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-66,4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FDA7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98,7</w:t>
            </w:r>
          </w:p>
        </w:tc>
      </w:tr>
      <w:tr w:rsidR="00523670" w:rsidRPr="00523670" w14:paraId="1579F3F1" w14:textId="77777777" w:rsidTr="00426799">
        <w:trPr>
          <w:trHeight w:val="34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FBDB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Egyenleg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E45C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6 632,7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9B87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7 415,4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587F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782,7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BA6E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111,8</w:t>
            </w:r>
          </w:p>
        </w:tc>
      </w:tr>
    </w:tbl>
    <w:p w14:paraId="07D20130" w14:textId="37DC17C0" w:rsidR="00523670" w:rsidRPr="00523670" w:rsidRDefault="00523670" w:rsidP="002C6B74">
      <w:pPr>
        <w:spacing w:before="240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A belföldi befizetések és az import utáni áfabevételek növekedtek, ugyanakkor a dohány</w:t>
      </w:r>
      <w:r w:rsidR="008E34AF">
        <w:rPr>
          <w:rFonts w:ascii="Times New Roman" w:eastAsia="Times New Roman" w:hAnsi="Times New Roman" w:cs="Times New Roman"/>
          <w:sz w:val="26"/>
          <w:szCs w:val="20"/>
          <w:lang w:eastAsia="hu-HU"/>
        </w:rPr>
        <w:t>-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termékek utáni áfabevétel csökkent. A belföldi befizetések növekedése elsősorban a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kereskedelem ágazathoz köthető. Az import utáni befizetések növekedése hátterében a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forgalom alakulása áll. A dohánytermékek utáni bevételek alacsonyabb teljesülését a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2025. januári jövedéki adómérték-emelésre adott piaci reakció, a készletezési hatás</w:t>
      </w:r>
      <w:r w:rsidR="008E34AF">
        <w:rPr>
          <w:rFonts w:ascii="Times New Roman" w:eastAsia="Times New Roman" w:hAnsi="Times New Roman" w:cs="Times New Roman"/>
          <w:sz w:val="26"/>
          <w:szCs w:val="20"/>
          <w:lang w:eastAsia="hu-HU"/>
        </w:rPr>
        <w:t>,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valamint az ízesített, hevített dohánytermékekre vonatkozó jogszabályváltozás miatti 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lastRenderedPageBreak/>
        <w:t>2024. júliusi készletezés együttes hatása magyarázza. A kiutalások alakulását a köztes ágazatok befizetése befolyásolja.</w:t>
      </w:r>
    </w:p>
    <w:p w14:paraId="6A4419C7" w14:textId="68C66F61" w:rsidR="00CF551C" w:rsidRPr="00945E04" w:rsidRDefault="009F5DC5" w:rsidP="009F5DC5">
      <w:pPr>
        <w:pStyle w:val="NormlWeb"/>
        <w:spacing w:before="0" w:beforeAutospacing="0" w:after="0" w:afterAutospacing="0"/>
        <w:jc w:val="center"/>
        <w:rPr>
          <w:sz w:val="22"/>
        </w:rPr>
      </w:pPr>
      <w:r>
        <w:rPr>
          <w:noProof/>
        </w:rPr>
        <w:drawing>
          <wp:inline distT="0" distB="0" distL="0" distR="0" wp14:anchorId="1FABD8D9" wp14:editId="28FF81F3">
            <wp:extent cx="5753225" cy="3731755"/>
            <wp:effectExtent l="0" t="0" r="0" b="2540"/>
            <wp:docPr id="1831568685" name="Kép 1" descr="A képen szöveg, sor, Diagram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68685" name="Kép 1" descr="A képen szöveg, sor, Diagram, diagram látható&#10;&#10;Előfordulhat, hogy a mesterséges intelligencia által létrehozott tartalom helytele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2399" cy="373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B7672" w14:textId="5A94D2AE" w:rsidR="00AE4815" w:rsidRPr="00F63F2A" w:rsidRDefault="00523670" w:rsidP="002C6B74">
      <w:pPr>
        <w:spacing w:before="120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523670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>jövedéki adóból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származó bevétel a 2025. év első tizenegy hónapjában 1482,9</w:t>
      </w:r>
      <w:r w:rsidRPr="00523670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 forintot tett ki, amely 1,6 milliárd forinttal magasabb az egy évvel korábbi bevételnél. Az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üzemanyagok utáni bevételek növekedését a 2025. január 1-</w:t>
      </w:r>
      <w:r w:rsidR="002C6B74">
        <w:rPr>
          <w:rFonts w:ascii="Times New Roman" w:eastAsia="Times New Roman" w:hAnsi="Times New Roman" w:cs="Times New Roman"/>
          <w:sz w:val="26"/>
          <w:szCs w:val="20"/>
          <w:lang w:eastAsia="hu-HU"/>
        </w:rPr>
        <w:t>jé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től hatályos magasabb adómértékek magyarázzák. A dohánytermékek utáni bevételek csökkenésének hátterében a 2025. januári adómérték-emelésből fakadó készletezési hatás</w:t>
      </w:r>
      <w:r w:rsidR="002C6B74">
        <w:rPr>
          <w:rFonts w:ascii="Times New Roman" w:eastAsia="Times New Roman" w:hAnsi="Times New Roman" w:cs="Times New Roman"/>
          <w:sz w:val="26"/>
          <w:szCs w:val="20"/>
          <w:lang w:eastAsia="hu-HU"/>
        </w:rPr>
        <w:t>,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valamint az ízesített, hevített dohánytermékekre vonatkozó jogszabályváltozásra adott piaci reakció, a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2024.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júliusi készletezés együttes hatása áll. A szeszesitalok és egyéb termékek esetében a bevételek növekedését készletezési hatás indokolja. Az energiaadó</w:t>
      </w:r>
      <w:r w:rsidR="002C6B74">
        <w:rPr>
          <w:rFonts w:ascii="Times New Roman" w:eastAsia="Times New Roman" w:hAnsi="Times New Roman" w:cs="Times New Roman"/>
          <w:sz w:val="26"/>
          <w:szCs w:val="20"/>
          <w:lang w:eastAsia="hu-HU"/>
        </w:rPr>
        <w:t>-</w:t>
      </w:r>
      <w:r w:rsidRPr="00523670">
        <w:rPr>
          <w:rFonts w:ascii="Times New Roman" w:eastAsia="Times New Roman" w:hAnsi="Times New Roman" w:cs="Times New Roman"/>
          <w:sz w:val="26"/>
          <w:szCs w:val="20"/>
          <w:lang w:eastAsia="hu-HU"/>
        </w:rPr>
        <w:t>bevételek növekedésének hátterében a 2025. januári jövedéki adómérték-emelés áll.</w:t>
      </w:r>
    </w:p>
    <w:tbl>
      <w:tblPr>
        <w:tblW w:w="8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594"/>
        <w:gridCol w:w="1061"/>
        <w:gridCol w:w="1135"/>
      </w:tblGrid>
      <w:tr w:rsidR="00523670" w:rsidRPr="00523670" w14:paraId="1024DF5D" w14:textId="77777777" w:rsidTr="002C6B74">
        <w:trPr>
          <w:trHeight w:val="255"/>
          <w:jc w:val="center"/>
        </w:trPr>
        <w:tc>
          <w:tcPr>
            <w:tcW w:w="8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CDA06" w14:textId="77777777" w:rsidR="00523670" w:rsidRPr="00523670" w:rsidRDefault="00523670" w:rsidP="009F5DC5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Jövedéki adó bevétel alakulása (milliárd forint)</w:t>
            </w:r>
          </w:p>
        </w:tc>
      </w:tr>
      <w:tr w:rsidR="00523670" w:rsidRPr="00523670" w14:paraId="60EB40D5" w14:textId="77777777" w:rsidTr="002C6B74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199BBB0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1C24507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2024.</w:t>
            </w:r>
          </w:p>
          <w:p w14:paraId="04DEDB37" w14:textId="69C07E79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I-XI. hó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8C6CE6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</w:p>
          <w:p w14:paraId="4A3A9BEE" w14:textId="2AC5A5BF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I-XI. hó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57CD459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523670" w:rsidRPr="00523670" w14:paraId="28BDBAB9" w14:textId="77777777" w:rsidTr="002C6B74">
        <w:trPr>
          <w:trHeight w:val="34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C2317CD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954E6F2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2C92BA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E05C7FA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ED5BCEE" w14:textId="77777777" w:rsidR="00523670" w:rsidRPr="00523670" w:rsidRDefault="00523670" w:rsidP="0052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523670" w:rsidRPr="00523670" w14:paraId="7C43DA48" w14:textId="77777777" w:rsidTr="002C6B7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10E5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Üzemanyag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1D1D2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829,0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3AB6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873,6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0E4B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133D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105,4</w:t>
            </w:r>
          </w:p>
        </w:tc>
      </w:tr>
      <w:tr w:rsidR="00523670" w:rsidRPr="00523670" w14:paraId="378DE687" w14:textId="77777777" w:rsidTr="002C6B7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F52A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Dohánygyártmány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3395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513,1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C77A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468,2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35FD3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-44,9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E695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91,2</w:t>
            </w:r>
          </w:p>
        </w:tc>
      </w:tr>
      <w:tr w:rsidR="00523670" w:rsidRPr="00523670" w14:paraId="67AC7E2D" w14:textId="77777777" w:rsidTr="002C6B7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162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Egyéb termék jövedéki 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0C5C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120,5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0481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120,8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B5F5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63D3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100,2</w:t>
            </w:r>
          </w:p>
        </w:tc>
      </w:tr>
      <w:tr w:rsidR="00523670" w:rsidRPr="00523670" w14:paraId="769969D2" w14:textId="77777777" w:rsidTr="002C6B7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6D19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Import jövedéki adó és energiaadó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2F60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18,7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40CD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EAE4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EE51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108,6</w:t>
            </w:r>
          </w:p>
        </w:tc>
      </w:tr>
      <w:tr w:rsidR="00523670" w:rsidRPr="00523670" w14:paraId="6FE046A0" w14:textId="77777777" w:rsidTr="002C6B74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99AB" w14:textId="77777777" w:rsidR="00523670" w:rsidRPr="00523670" w:rsidRDefault="00523670" w:rsidP="00523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Jövedéki adók összesen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D230A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1 481,3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2275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1 482,9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A497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16A3" w14:textId="77777777" w:rsidR="00523670" w:rsidRPr="00523670" w:rsidRDefault="00523670" w:rsidP="0052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5236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100,1</w:t>
            </w:r>
          </w:p>
        </w:tc>
      </w:tr>
    </w:tbl>
    <w:p w14:paraId="68CAB370" w14:textId="77777777" w:rsidR="002F3D61" w:rsidRDefault="002F3D61" w:rsidP="3C87A00B">
      <w:pPr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</w:pPr>
    </w:p>
    <w:p w14:paraId="7C4C8F1B" w14:textId="106B8907" w:rsidR="00F63F2A" w:rsidRPr="00F63F2A" w:rsidRDefault="00E86C99" w:rsidP="003A7F3F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br w:type="column"/>
      </w:r>
      <w:r w:rsidR="00F63F2A" w:rsidRPr="00F63F2A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lastRenderedPageBreak/>
        <w:t>Pénzügyi tranzakciós illetékből</w:t>
      </w:r>
      <w:r w:rsidR="00F63F2A"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2025 első tizenegy hónapjában 531,5 milliárd forint bevétele keletkezett a költségvetésnek, ami 164,9 milliárd forinttal haladta meg az egy évvel korábbi összeget. A bevételek növekedésének hátterében a 2024. augusztus 1-</w:t>
      </w:r>
      <w:r w:rsidR="003A7F3F">
        <w:rPr>
          <w:rFonts w:ascii="Times New Roman" w:eastAsia="Times New Roman" w:hAnsi="Times New Roman" w:cs="Times New Roman"/>
          <w:sz w:val="26"/>
          <w:szCs w:val="20"/>
          <w:lang w:eastAsia="hu-HU"/>
        </w:rPr>
        <w:t>jé</w:t>
      </w:r>
      <w:r w:rsidR="00F63F2A"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től hatályos megemelt adómértékek, valamint a 2024. október elsejétől az adó hatálya alá tartozó konverziót tartalmazó műveletek állnak.</w:t>
      </w:r>
    </w:p>
    <w:p w14:paraId="201AEC5B" w14:textId="5B558A29" w:rsidR="00F63F2A" w:rsidRPr="00F63F2A" w:rsidRDefault="00F63F2A" w:rsidP="003A7F3F">
      <w:pPr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A </w:t>
      </w:r>
      <w:r w:rsidRPr="00F63F2A"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  <w:t xml:space="preserve">biztosítási adóból 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származó bevétel </w:t>
      </w:r>
      <w:r w:rsidR="003A7F3F">
        <w:rPr>
          <w:rFonts w:ascii="Times New Roman" w:eastAsia="Times New Roman" w:hAnsi="Times New Roman" w:cs="Times New Roman"/>
          <w:sz w:val="26"/>
          <w:szCs w:val="20"/>
          <w:lang w:eastAsia="hu-HU"/>
        </w:rPr>
        <w:t>az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év első tizenegy hónapjában 158,6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milliárd forintot tett ki, amely 112,0 milliárd forinttal alacsonyabb az egy évvel korábbi bevételnél. A bevételek előző évhez viszonyított alacsonyabb teljesülését a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2023.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évi biztosítási pótadó-kötelezettség 2024. januári és júliusi elszámolásaiból</w:t>
      </w:r>
      <w:r w:rsidR="003A7F3F">
        <w:rPr>
          <w:rFonts w:ascii="Times New Roman" w:eastAsia="Times New Roman" w:hAnsi="Times New Roman" w:cs="Times New Roman"/>
          <w:sz w:val="26"/>
          <w:szCs w:val="20"/>
          <w:lang w:eastAsia="hu-HU"/>
        </w:rPr>
        <w:t>,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  <w:r w:rsidR="003A7F3F">
        <w:rPr>
          <w:rFonts w:ascii="Times New Roman" w:eastAsia="Times New Roman" w:hAnsi="Times New Roman" w:cs="Times New Roman"/>
          <w:sz w:val="26"/>
          <w:szCs w:val="20"/>
          <w:lang w:eastAsia="hu-HU"/>
        </w:rPr>
        <w:t>valamint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a</w:t>
      </w:r>
      <w:r w:rsidR="00C54B21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2024. évi pótadóelőleg 2024</w:t>
      </w:r>
      <w:r w:rsidR="003A7F3F">
        <w:rPr>
          <w:rFonts w:ascii="Times New Roman" w:eastAsia="Times New Roman" w:hAnsi="Times New Roman" w:cs="Times New Roman"/>
          <w:sz w:val="26"/>
          <w:szCs w:val="20"/>
          <w:lang w:eastAsia="hu-HU"/>
        </w:rPr>
        <w:t>.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május és november havi befizetéseiből fakadó bázisévi többletbevételek magyarázzák.</w:t>
      </w:r>
    </w:p>
    <w:p w14:paraId="0684CA02" w14:textId="27925186" w:rsidR="00C07E8E" w:rsidRPr="00F63F2A" w:rsidRDefault="00F63F2A" w:rsidP="003A7F3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</w:pPr>
      <w:r w:rsidRPr="00F63F2A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 xml:space="preserve">A </w:t>
      </w:r>
      <w:r w:rsidRPr="00F63F2A">
        <w:rPr>
          <w:rFonts w:ascii="Times New Roman" w:eastAsia="Times New Roman" w:hAnsi="Times New Roman" w:cs="Times New Roman"/>
          <w:b/>
          <w:bCs/>
          <w:color w:val="000000"/>
          <w:sz w:val="26"/>
          <w:szCs w:val="20"/>
          <w:lang w:eastAsia="hu-HU"/>
        </w:rPr>
        <w:t>személyi jövedelemadó</w:t>
      </w:r>
      <w:r w:rsidRPr="00F63F2A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 xml:space="preserve"> bevétele 2025 első tizenegy hónapjában 4424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,3 </w:t>
      </w:r>
      <w:r w:rsidRPr="00F63F2A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forint volt, amely 329,4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color w:val="000000"/>
          <w:sz w:val="26"/>
          <w:szCs w:val="20"/>
          <w:lang w:eastAsia="hu-HU"/>
        </w:rPr>
        <w:t>forinttal magasabb az egy évvel korábbi összegnél. Ennek oka a bértömeg növekedése.</w:t>
      </w:r>
    </w:p>
    <w:p w14:paraId="4AD2F5D6" w14:textId="3FECE57E" w:rsidR="00085C37" w:rsidRPr="005861AE" w:rsidRDefault="3C87A00B" w:rsidP="3C87A00B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3C87A00B">
        <w:rPr>
          <w:rFonts w:ascii="Times New Roman" w:hAnsi="Times New Roman" w:cs="Times New Roman"/>
          <w:b/>
          <w:bCs/>
        </w:rPr>
        <w:t>Személyi jövedelemadó bevétel alakulása (milliárd forint)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645"/>
        <w:gridCol w:w="1701"/>
        <w:gridCol w:w="992"/>
        <w:gridCol w:w="992"/>
      </w:tblGrid>
      <w:tr w:rsidR="00F63F2A" w:rsidRPr="00F63F2A" w14:paraId="7A182828" w14:textId="77777777" w:rsidTr="008F506C">
        <w:trPr>
          <w:trHeight w:val="283"/>
          <w:jc w:val="center"/>
        </w:trPr>
        <w:tc>
          <w:tcPr>
            <w:tcW w:w="1469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1AAE9FA1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Megnevezés</w:t>
            </w:r>
          </w:p>
        </w:tc>
        <w:tc>
          <w:tcPr>
            <w:tcW w:w="1645" w:type="dxa"/>
            <w:vMerge w:val="restart"/>
            <w:shd w:val="clear" w:color="auto" w:fill="BDD6EE" w:themeFill="accent1" w:themeFillTint="66"/>
            <w:vAlign w:val="center"/>
            <w:hideMark/>
          </w:tcPr>
          <w:p w14:paraId="382EA367" w14:textId="0798DB0E" w:rsidR="00F63F2A" w:rsidRPr="00F63F2A" w:rsidRDefault="00F63F2A" w:rsidP="00F6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2024. </w:t>
            </w: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br/>
              <w:t>I-XI. hó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  <w:hideMark/>
          </w:tcPr>
          <w:p w14:paraId="703F7DEE" w14:textId="2264EAD1" w:rsidR="00F63F2A" w:rsidRPr="00F63F2A" w:rsidRDefault="00F63F2A" w:rsidP="00F6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2025.</w:t>
            </w: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br/>
              <w:t>I-XI. hó</w:t>
            </w:r>
          </w:p>
        </w:tc>
        <w:tc>
          <w:tcPr>
            <w:tcW w:w="1984" w:type="dxa"/>
            <w:gridSpan w:val="2"/>
            <w:shd w:val="clear" w:color="auto" w:fill="BDD6EE" w:themeFill="accent1" w:themeFillTint="66"/>
            <w:vAlign w:val="center"/>
            <w:hideMark/>
          </w:tcPr>
          <w:p w14:paraId="4ECF19A8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Eltérés</w:t>
            </w:r>
          </w:p>
        </w:tc>
      </w:tr>
      <w:tr w:rsidR="00F63F2A" w:rsidRPr="00F63F2A" w14:paraId="443AB918" w14:textId="77777777" w:rsidTr="008F506C">
        <w:trPr>
          <w:trHeight w:val="283"/>
          <w:jc w:val="center"/>
        </w:trPr>
        <w:tc>
          <w:tcPr>
            <w:tcW w:w="1469" w:type="dxa"/>
            <w:vMerge/>
            <w:shd w:val="clear" w:color="auto" w:fill="BDD6EE" w:themeFill="accent1" w:themeFillTint="66"/>
            <w:noWrap/>
            <w:vAlign w:val="center"/>
          </w:tcPr>
          <w:p w14:paraId="0BC9767A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645" w:type="dxa"/>
            <w:vMerge/>
            <w:shd w:val="clear" w:color="auto" w:fill="BDD6EE" w:themeFill="accent1" w:themeFillTint="66"/>
            <w:vAlign w:val="center"/>
          </w:tcPr>
          <w:p w14:paraId="4AD2E82F" w14:textId="77777777" w:rsidR="00F63F2A" w:rsidRPr="00F63F2A" w:rsidRDefault="00F63F2A" w:rsidP="00F6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  <w:vAlign w:val="center"/>
          </w:tcPr>
          <w:p w14:paraId="18221FF4" w14:textId="77777777" w:rsidR="00F63F2A" w:rsidRPr="00F63F2A" w:rsidRDefault="00F63F2A" w:rsidP="00F6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7030950D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Mrd Ft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12D30385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%</w:t>
            </w:r>
          </w:p>
        </w:tc>
      </w:tr>
      <w:tr w:rsidR="00F63F2A" w:rsidRPr="00F63F2A" w14:paraId="3D80E48F" w14:textId="77777777" w:rsidTr="00426799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1BDB94E7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Befizetés</w:t>
            </w:r>
          </w:p>
        </w:tc>
        <w:tc>
          <w:tcPr>
            <w:tcW w:w="1645" w:type="dxa"/>
            <w:noWrap/>
            <w:vAlign w:val="center"/>
          </w:tcPr>
          <w:p w14:paraId="51EC2AD3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4 333,5</w:t>
            </w:r>
          </w:p>
        </w:tc>
        <w:tc>
          <w:tcPr>
            <w:tcW w:w="1701" w:type="dxa"/>
            <w:noWrap/>
            <w:vAlign w:val="center"/>
          </w:tcPr>
          <w:p w14:paraId="6C33B060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4 682,9</w:t>
            </w:r>
          </w:p>
        </w:tc>
        <w:tc>
          <w:tcPr>
            <w:tcW w:w="992" w:type="dxa"/>
            <w:noWrap/>
            <w:vAlign w:val="center"/>
          </w:tcPr>
          <w:p w14:paraId="160236E8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349,4</w:t>
            </w:r>
          </w:p>
        </w:tc>
        <w:tc>
          <w:tcPr>
            <w:tcW w:w="992" w:type="dxa"/>
            <w:vAlign w:val="center"/>
          </w:tcPr>
          <w:p w14:paraId="6E0128A3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108,1</w:t>
            </w:r>
          </w:p>
        </w:tc>
      </w:tr>
      <w:tr w:rsidR="00F63F2A" w:rsidRPr="00F63F2A" w14:paraId="1CF892C2" w14:textId="77777777" w:rsidTr="00426799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14CD18CB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Kiutalás</w:t>
            </w:r>
          </w:p>
        </w:tc>
        <w:tc>
          <w:tcPr>
            <w:tcW w:w="1645" w:type="dxa"/>
            <w:noWrap/>
            <w:vAlign w:val="center"/>
          </w:tcPr>
          <w:p w14:paraId="1B3CEB3B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238,6</w:t>
            </w:r>
          </w:p>
        </w:tc>
        <w:tc>
          <w:tcPr>
            <w:tcW w:w="1701" w:type="dxa"/>
            <w:noWrap/>
            <w:vAlign w:val="center"/>
          </w:tcPr>
          <w:p w14:paraId="0B18F4DA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258,6</w:t>
            </w:r>
          </w:p>
        </w:tc>
        <w:tc>
          <w:tcPr>
            <w:tcW w:w="992" w:type="dxa"/>
            <w:noWrap/>
            <w:vAlign w:val="center"/>
          </w:tcPr>
          <w:p w14:paraId="57760E6F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20,0</w:t>
            </w:r>
          </w:p>
        </w:tc>
        <w:tc>
          <w:tcPr>
            <w:tcW w:w="992" w:type="dxa"/>
            <w:vAlign w:val="center"/>
          </w:tcPr>
          <w:p w14:paraId="67149DDA" w14:textId="77777777" w:rsidR="00F63F2A" w:rsidRPr="00F63F2A" w:rsidRDefault="00F63F2A" w:rsidP="00F63F2A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108,4</w:t>
            </w:r>
          </w:p>
        </w:tc>
      </w:tr>
      <w:tr w:rsidR="00F63F2A" w:rsidRPr="00F63F2A" w14:paraId="344880DB" w14:textId="77777777" w:rsidTr="00426799">
        <w:trPr>
          <w:trHeight w:val="340"/>
          <w:jc w:val="center"/>
        </w:trPr>
        <w:tc>
          <w:tcPr>
            <w:tcW w:w="1469" w:type="dxa"/>
            <w:noWrap/>
            <w:vAlign w:val="center"/>
            <w:hideMark/>
          </w:tcPr>
          <w:p w14:paraId="0722D8CC" w14:textId="77777777" w:rsidR="00F63F2A" w:rsidRPr="00F63F2A" w:rsidRDefault="00F63F2A" w:rsidP="00F63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Egyenleg</w:t>
            </w:r>
          </w:p>
        </w:tc>
        <w:tc>
          <w:tcPr>
            <w:tcW w:w="1645" w:type="dxa"/>
            <w:noWrap/>
            <w:vAlign w:val="center"/>
          </w:tcPr>
          <w:p w14:paraId="5EE3C60D" w14:textId="77777777" w:rsidR="00F63F2A" w:rsidRPr="00F63F2A" w:rsidRDefault="00F63F2A" w:rsidP="00F63F2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4 094,9</w:t>
            </w:r>
          </w:p>
        </w:tc>
        <w:tc>
          <w:tcPr>
            <w:tcW w:w="1701" w:type="dxa"/>
            <w:noWrap/>
            <w:vAlign w:val="center"/>
          </w:tcPr>
          <w:p w14:paraId="6331C68C" w14:textId="77777777" w:rsidR="00F63F2A" w:rsidRPr="00F63F2A" w:rsidRDefault="00F63F2A" w:rsidP="00F63F2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4 424,3</w:t>
            </w:r>
          </w:p>
        </w:tc>
        <w:tc>
          <w:tcPr>
            <w:tcW w:w="992" w:type="dxa"/>
            <w:noWrap/>
            <w:vAlign w:val="center"/>
          </w:tcPr>
          <w:p w14:paraId="079AE34C" w14:textId="77777777" w:rsidR="00F63F2A" w:rsidRPr="00F63F2A" w:rsidRDefault="00F63F2A" w:rsidP="00F63F2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329,4</w:t>
            </w:r>
          </w:p>
        </w:tc>
        <w:tc>
          <w:tcPr>
            <w:tcW w:w="992" w:type="dxa"/>
            <w:vAlign w:val="center"/>
          </w:tcPr>
          <w:p w14:paraId="5C0E8671" w14:textId="77777777" w:rsidR="00F63F2A" w:rsidRPr="00F63F2A" w:rsidRDefault="00F63F2A" w:rsidP="00F63F2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108,0</w:t>
            </w:r>
          </w:p>
        </w:tc>
      </w:tr>
    </w:tbl>
    <w:p w14:paraId="54234F12" w14:textId="50B03E01" w:rsidR="123EFD2F" w:rsidRPr="00381A54" w:rsidRDefault="3C87A00B" w:rsidP="3C87A00B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Központi Maradványelszámolási Alapba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történő befizetések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mérlegsorra az év első </w:t>
      </w:r>
      <w:r w:rsidR="1FFBA893" w:rsidRPr="1FFBA893">
        <w:rPr>
          <w:rFonts w:ascii="Times New Roman" w:eastAsia="Times New Roman" w:hAnsi="Times New Roman" w:cs="Times New Roman"/>
          <w:sz w:val="26"/>
          <w:szCs w:val="26"/>
        </w:rPr>
        <w:t>tizenegy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> hónapjában 394,</w:t>
      </w:r>
      <w:r w:rsidR="1FFBA893" w:rsidRPr="1FFBA893">
        <w:rPr>
          <w:rFonts w:ascii="Times New Roman" w:eastAsia="Times New Roman" w:hAnsi="Times New Roman" w:cs="Times New Roman"/>
          <w:sz w:val="26"/>
          <w:szCs w:val="26"/>
        </w:rPr>
        <w:t>5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 forint maradvány került befizetésre, szemben az előző év azonos időszakában befolyt </w:t>
      </w:r>
      <w:r w:rsidR="1FFBA893" w:rsidRPr="1FFBA893">
        <w:rPr>
          <w:rFonts w:ascii="Times New Roman" w:eastAsia="Times New Roman" w:hAnsi="Times New Roman" w:cs="Times New Roman"/>
          <w:sz w:val="26"/>
          <w:szCs w:val="26"/>
        </w:rPr>
        <w:t>167,8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milliárd forintos összeggel.</w:t>
      </w:r>
    </w:p>
    <w:p w14:paraId="25C427CE" w14:textId="595CCA55" w:rsidR="029C2633" w:rsidRPr="00381A54" w:rsidRDefault="6DEE8A84" w:rsidP="6DEE8A84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DEE8A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állami vagyonnal kapcsolatos befizetések </w:t>
      </w: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2025 első </w:t>
      </w:r>
      <w:r w:rsidR="069D33D9" w:rsidRPr="069D33D9">
        <w:rPr>
          <w:rFonts w:ascii="Times New Roman" w:eastAsia="Times New Roman" w:hAnsi="Times New Roman" w:cs="Times New Roman"/>
          <w:sz w:val="26"/>
          <w:szCs w:val="26"/>
        </w:rPr>
        <w:t>tizenegy havi</w:t>
      </w: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 összege </w:t>
      </w:r>
      <w:r w:rsidR="069D33D9" w:rsidRPr="069D33D9">
        <w:rPr>
          <w:rFonts w:ascii="Times New Roman" w:eastAsia="Times New Roman" w:hAnsi="Times New Roman" w:cs="Times New Roman"/>
          <w:sz w:val="26"/>
          <w:szCs w:val="26"/>
        </w:rPr>
        <w:t>89</w:t>
      </w:r>
      <w:r w:rsidR="008F506C">
        <w:rPr>
          <w:rFonts w:ascii="Times New Roman" w:eastAsia="Times New Roman" w:hAnsi="Times New Roman" w:cs="Times New Roman"/>
          <w:sz w:val="26"/>
          <w:szCs w:val="26"/>
        </w:rPr>
        <w:t>9</w:t>
      </w:r>
      <w:r w:rsidR="069D33D9" w:rsidRPr="069D33D9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506C">
        <w:rPr>
          <w:rFonts w:ascii="Times New Roman" w:eastAsia="Times New Roman" w:hAnsi="Times New Roman" w:cs="Times New Roman"/>
          <w:sz w:val="26"/>
          <w:szCs w:val="26"/>
        </w:rPr>
        <w:t>0</w:t>
      </w:r>
      <w:r w:rsidRPr="6DEE8A84">
        <w:rPr>
          <w:rFonts w:ascii="Times New Roman" w:eastAsia="Times New Roman" w:hAnsi="Times New Roman" w:cs="Times New Roman"/>
          <w:sz w:val="26"/>
          <w:szCs w:val="26"/>
        </w:rPr>
        <w:t> milliárd forint, amelynek meghatározó tétele az osztalékbefizetés volt.</w:t>
      </w:r>
      <w:r w:rsidRPr="6DEE8A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D0F2783" w14:textId="7A2307D3" w:rsidR="009D55B4" w:rsidRPr="00377D59" w:rsidRDefault="009F5DC5" w:rsidP="009D55B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CF02476" wp14:editId="54FAACB0">
            <wp:extent cx="5118143" cy="3132161"/>
            <wp:effectExtent l="0" t="0" r="6350" b="0"/>
            <wp:docPr id="741363878" name="Kép 1" descr="A képen szöveg, képernyőkép, sor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63878" name="Kép 1" descr="A képen szöveg, képernyőkép, sor, Diagram látható&#10;&#10;Előfordulhat, hogy a mesterséges intelligencia által létrehozott tartalom helytele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3191" cy="315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3F4E" w14:textId="4844A8E2" w:rsidR="5B67C7D7" w:rsidRPr="00920F4D" w:rsidRDefault="2D9251E6" w:rsidP="0068715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D9251E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 költségvetés XLV. </w:t>
      </w:r>
      <w:r w:rsidRPr="2D9251E6">
        <w:rPr>
          <w:rFonts w:ascii="Times New Roman" w:eastAsia="Times New Roman" w:hAnsi="Times New Roman" w:cs="Times New Roman"/>
          <w:b/>
          <w:bCs/>
          <w:sz w:val="26"/>
          <w:szCs w:val="26"/>
        </w:rPr>
        <w:t>Állami beruházások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 fejezetének bevételei 2025. </w:t>
      </w:r>
      <w:r w:rsidR="4EFA7888" w:rsidRPr="4EFA7888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4EFA7888" w:rsidRPr="4EFA7888">
        <w:rPr>
          <w:rFonts w:ascii="Times New Roman" w:eastAsia="Times New Roman" w:hAnsi="Times New Roman" w:cs="Times New Roman"/>
          <w:sz w:val="26"/>
          <w:szCs w:val="26"/>
        </w:rPr>
        <w:t>198,0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> milliárd forintot tettek ki.</w:t>
      </w:r>
    </w:p>
    <w:p w14:paraId="4BE4CA6A" w14:textId="7EF78DD2" w:rsidR="39728167" w:rsidRPr="00377D59" w:rsidRDefault="239528D4" w:rsidP="00687159">
      <w:pPr>
        <w:jc w:val="both"/>
        <w:rPr>
          <w:rFonts w:ascii="Times New Roman" w:hAnsi="Times New Roman" w:cs="Times New Roman"/>
        </w:rPr>
      </w:pP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Az uniós bevételek főszabály szerint a XLII. A költségvetés közvetlen bevételei és kiadásai fejezetbe érkeznek, ezek kimutatására szolgálnak az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bevételei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, valamint az </w:t>
      </w:r>
      <w:r w:rsidRPr="239528D4">
        <w:rPr>
          <w:rFonts w:ascii="Times New Roman" w:eastAsia="Times New Roman" w:hAnsi="Times New Roman" w:cs="Times New Roman"/>
          <w:b/>
          <w:bCs/>
          <w:sz w:val="26"/>
          <w:szCs w:val="26"/>
        </w:rPr>
        <w:t>Egyéb uniós bevételek</w:t>
      </w:r>
      <w:r w:rsidRPr="239528D4">
        <w:rPr>
          <w:rFonts w:ascii="Times New Roman" w:eastAsia="Times New Roman" w:hAnsi="Times New Roman" w:cs="Times New Roman"/>
          <w:sz w:val="26"/>
          <w:szCs w:val="26"/>
        </w:rPr>
        <w:t xml:space="preserve"> mérlegsorok.</w:t>
      </w:r>
    </w:p>
    <w:p w14:paraId="3C3A66C8" w14:textId="214F62E3" w:rsidR="74B9DF17" w:rsidRDefault="691A06BB" w:rsidP="0068715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91A06BB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bevételei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mérlegsoron 2025.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634,0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milliárd forint bevétel keletkezett. Ez az összeg a törvényi előirányzat (2235,9 milliárd forint)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28,4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%-át teszi ki. A teljesült bevételből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551,4 milliárd forint az uniós</w:t>
      </w:r>
      <w:r w:rsidR="00687159">
        <w:rPr>
          <w:rFonts w:ascii="Times New Roman" w:eastAsia="Times New Roman" w:hAnsi="Times New Roman" w:cs="Times New Roman"/>
          <w:sz w:val="26"/>
          <w:szCs w:val="26"/>
        </w:rPr>
        <w:t>,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 xml:space="preserve"> és 82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,6 milliárd forint az egyéb bevételekhez tartozik.</w:t>
      </w:r>
    </w:p>
    <w:p w14:paraId="040E2327" w14:textId="7ED230C0" w:rsidR="74B9DF17" w:rsidRPr="00FE12D5" w:rsidRDefault="691A06BB" w:rsidP="00687159">
      <w:pPr>
        <w:jc w:val="both"/>
        <w:rPr>
          <w:rFonts w:ascii="Times New Roman" w:hAnsi="Times New Roman" w:cs="Times New Roman"/>
        </w:rPr>
      </w:pP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91A06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Egyéb uniós bevételek 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soron a vámbeszedési költség megtérítése jelenik meg, mely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34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,6</w:t>
      </w:r>
      <w:r w:rsidR="0068715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milliárd forintot tett ki 2025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novemberéig.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Ez az összeg a törvényi előirányzat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109,2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%-a</w:t>
      </w:r>
      <w:r w:rsidR="00687159">
        <w:rPr>
          <w:rFonts w:ascii="Times New Roman" w:eastAsia="Times New Roman" w:hAnsi="Times New Roman" w:cs="Times New Roman"/>
          <w:sz w:val="26"/>
          <w:szCs w:val="26"/>
        </w:rPr>
        <w:t>,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és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6,</w:t>
      </w:r>
      <w:r w:rsidR="00163233">
        <w:rPr>
          <w:rFonts w:ascii="Times New Roman" w:eastAsia="Times New Roman" w:hAnsi="Times New Roman" w:cs="Times New Roman"/>
          <w:sz w:val="26"/>
          <w:szCs w:val="26"/>
        </w:rPr>
        <w:t>6</w:t>
      </w:r>
      <w:r w:rsidR="0068715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milliárd forinttal haladja meg a 2024. év azonos időszakában keletkezett bevételt.</w:t>
      </w:r>
    </w:p>
    <w:p w14:paraId="2516402B" w14:textId="77777777" w:rsidR="00F63F2A" w:rsidRPr="00F63F2A" w:rsidRDefault="00F63F2A" w:rsidP="00687159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A befizetett társadalombiztosítási járulék 8,1%-át az állami adóhatóság a foglalkoztatási programokkal kapcsolatos elkülönített állami pénzalapnak utalja át. 2025. november végéig a </w:t>
      </w:r>
      <w:r w:rsidRPr="00F63F2A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 xml:space="preserve">társadalombiztosítási járulék </w:t>
      </w:r>
      <w:r w:rsidRPr="00F63F2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Nemzeti Foglalkoztatási </w:t>
      </w:r>
      <w:r w:rsidRPr="00F63F2A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 xml:space="preserve">Alapot megillető része </w:t>
      </w:r>
      <w:r w:rsidRPr="00F63F2A">
        <w:rPr>
          <w:rFonts w:ascii="Times New Roman" w:eastAsia="Calibri" w:hAnsi="Times New Roman" w:cs="Times New Roman"/>
          <w:bCs/>
          <w:sz w:val="26"/>
          <w:szCs w:val="26"/>
          <w:lang w:eastAsia="hu-HU"/>
        </w:rPr>
        <w:t>396,9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 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forintban teljesült, amely az előző év azonos időszakában befolyt bevételt 32,5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forinttal haladta meg. A bevételnövekedés oka a járulékköteles jövedelmek növekedése.</w:t>
      </w:r>
    </w:p>
    <w:p w14:paraId="61A87B46" w14:textId="3E77E0D2" w:rsidR="00F63F2A" w:rsidRPr="00F63F2A" w:rsidRDefault="00F63F2A" w:rsidP="00687159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2025-ben a szociális hozzájárulási adó megfizetett összegének 86,96%-a </w:t>
      </w:r>
      <w:proofErr w:type="spellStart"/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spellEnd"/>
      <w:r w:rsidR="00C54B21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Nyugdíjbiztosítási Alapot illeti meg. A </w:t>
      </w:r>
      <w:r w:rsidRPr="00F63F2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szociális hozzájárulási adó Nyugdíjbiztosítási Alapot megillető része </w:t>
      </w:r>
      <w:r w:rsidRPr="00F63F2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2025 első tizenegy hónapjában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2645,0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forintban teljesült, amely 184,3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forinttal haladta meg az előző év azonos időszakában befolyt bevételt. A bevétel változása az adóköteles jövedelmek növekedésével</w:t>
      </w:r>
      <w:r w:rsidR="0037378C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és az alapok közötti megoszlási arány változásával magyarázható.</w:t>
      </w:r>
    </w:p>
    <w:p w14:paraId="31A1BE82" w14:textId="6186FEF7" w:rsidR="00F63F2A" w:rsidRDefault="00F63F2A" w:rsidP="00687159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befizetett társadalombiztosítási járulék 54%-át az állami adóhatóság a Nyugdíjbiztosítási Alapnak utalja át. 2025. november végéig a </w:t>
      </w:r>
      <w:r w:rsidRPr="00F63F2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társadalombiztosítási járulék Nyugdíjbiztosítási Alapot megillető része és nyugdíjjárulék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2699,3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forintban teljesült, amely az előző év azonos időszakában befolyt bevételt 217,4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forinttal haladta meg. 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A bevételnövekedés oka a járulékköteles jövedelmek növekedése.</w:t>
      </w:r>
    </w:p>
    <w:p w14:paraId="6512C1A9" w14:textId="3A3C2D47" w:rsidR="00462EDD" w:rsidRPr="00462EDD" w:rsidRDefault="3C87A00B" w:rsidP="0068715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Nyugdíjbiztosítási Alap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2025. évi költségvetése az ellátási kiadások támogatására 564,5 milliárd forint központi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költségvetési hozzájárulást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tartalmaz.</w:t>
      </w:r>
    </w:p>
    <w:p w14:paraId="1B9C4A3C" w14:textId="19DB75C2" w:rsidR="00462EDD" w:rsidRPr="00462EDD" w:rsidRDefault="3C87A00B" w:rsidP="0068715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 központi költségvetés 77,4 milliárd forintot biztosít az Alap részére pénzeszközátadás útján, míg további 487,1 milliárd forintot – a 13. havi nyugdíj és a nyugdíjprémium fedezeteként – címzett támogatás formájában. A 13. havi nyugdíj és a nyugdíjprémium támogatásának előirányzatai év közben előirányzat-módosítás nélkül túlléphetők.</w:t>
      </w:r>
    </w:p>
    <w:p w14:paraId="2CBF9A93" w14:textId="2A7F6579" w:rsidR="19667954" w:rsidRDefault="70631177" w:rsidP="0068715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A Magyar Államkincstár az ellátási kiadások támogatására a Nyugdíjbiztosítási Alap részére 2025.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71</w:t>
      </w:r>
      <w:r w:rsidR="0037378C">
        <w:rPr>
          <w:rFonts w:ascii="Times New Roman" w:eastAsia="Times New Roman" w:hAnsi="Times New Roman" w:cs="Times New Roman"/>
          <w:sz w:val="26"/>
          <w:szCs w:val="26"/>
        </w:rPr>
        <w:t>,0 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milliárd forint központi támogatást utalt át </w:t>
      </w:r>
      <w:r w:rsidRPr="70631177">
        <w:rPr>
          <w:rFonts w:ascii="Times New Roman" w:eastAsia="Times New Roman" w:hAnsi="Times New Roman" w:cs="Times New Roman"/>
          <w:b/>
          <w:bCs/>
          <w:sz w:val="26"/>
          <w:szCs w:val="26"/>
        </w:rPr>
        <w:t>pénzeszköz-átadás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jogcímen, ami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14,2</w:t>
      </w:r>
      <w:r w:rsidR="0037378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milliárd forinttal magasabb az előző év azonos 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lastRenderedPageBreak/>
        <w:t>időszakában nyújtott támogatás összegénél. A pénzeszköz-átadás a Nyugdíjbiztosítási Alap költségvetési egyensúlyának biztosítását szolgálja.</w:t>
      </w:r>
    </w:p>
    <w:p w14:paraId="6BF2F156" w14:textId="4BC83F57" w:rsidR="00A76FE3" w:rsidRDefault="3C87A00B" w:rsidP="0068715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13. havi nyugdíj kifizetésének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támogatására február hónapban 487,1 milliárd forint került átutalásra a Nyugdíjbiztosítási Alap részére, ami 38,1 milliárd forinttal haladja meg az előző év azonos időszakában ugyanezen a jogcímen nyújtott támogatás összegét.</w:t>
      </w:r>
    </w:p>
    <w:p w14:paraId="1E5039D7" w14:textId="42C8E4AE" w:rsidR="475F3A1A" w:rsidRDefault="009F5DC5" w:rsidP="005861A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FF9D20F" wp14:editId="7B70F0FA">
            <wp:extent cx="5940425" cy="2423795"/>
            <wp:effectExtent l="0" t="0" r="3175" b="0"/>
            <wp:docPr id="1656278775" name="Kép 1" descr="A képen szöveg, diagram, képernyőkép, kö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78775" name="Kép 1" descr="A képen szöveg, diagram, képernyőkép, kör látható&#10;&#10;Előfordulhat, hogy a mesterséges intelligencia által létrehozott tartalom helytele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4C858" w14:textId="34D0570F" w:rsidR="00F63F2A" w:rsidRPr="00F63F2A" w:rsidRDefault="00F63F2A" w:rsidP="004E259E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2025-ben a szociális hozzájárulási adó megfizetett összegének 13,04%-a az</w:t>
      </w:r>
      <w:r w:rsidR="00C54B21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Egészségbiztosítási Alapot illeti meg. 2025 első tizenegy hónapjában a </w:t>
      </w:r>
      <w:r w:rsidRPr="00F63F2A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szociális hozzájárulási adó Egészségbiztosítási Alapot megillető része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396,6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forintban teljesült, amely 96,8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forinttal 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haladta meg az előző év azonos időszakában befolyt bevételt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. 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A bevétel változása az adóköteles jövedelmek növekedésével és az alapok közötti megoszlási arány változásának együttes hatásával magyarázható.</w:t>
      </w:r>
    </w:p>
    <w:p w14:paraId="74A49A6A" w14:textId="2F0EE1F8" w:rsidR="00F63F2A" w:rsidRDefault="00F63F2A" w:rsidP="004E259E">
      <w:pPr>
        <w:jc w:val="both"/>
        <w:rPr>
          <w:rFonts w:ascii="Times New Roman" w:eastAsia="Calibri" w:hAnsi="Times New Roman" w:cs="Times New Roman"/>
          <w:sz w:val="26"/>
          <w:szCs w:val="26"/>
          <w:lang w:eastAsia="hu-HU"/>
        </w:rPr>
      </w:pP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A befizetett társadalombiztosítási járulék 37,9%-át az állami adóhatóság az</w:t>
      </w:r>
      <w:r w:rsidR="00C54B21">
        <w:rPr>
          <w:rFonts w:ascii="Times New Roman" w:eastAsia="Calibri" w:hAnsi="Times New Roman" w:cs="Times New Roman"/>
          <w:sz w:val="26"/>
          <w:szCs w:val="26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Egészségbiztosítási Alapnak utalja át. 2025. november végéig a </w:t>
      </w:r>
      <w:r w:rsidRPr="00F63F2A">
        <w:rPr>
          <w:rFonts w:ascii="Times New Roman" w:eastAsia="Calibri" w:hAnsi="Times New Roman" w:cs="Times New Roman"/>
          <w:b/>
          <w:bCs/>
          <w:sz w:val="26"/>
          <w:szCs w:val="26"/>
          <w:lang w:eastAsia="hu-HU"/>
        </w:rPr>
        <w:t>társadalombiztosítási járulék Egészségbiztosítási Alapot megillető része és egészségbiztosítási járulék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1840,1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forintban teljesült, </w:t>
      </w:r>
      <w:r w:rsidRPr="00F63F2A">
        <w:rPr>
          <w:rFonts w:ascii="Times New Roman" w:eastAsia="Times New Roman" w:hAnsi="Times New Roman" w:cs="Times New Roman"/>
          <w:sz w:val="26"/>
          <w:szCs w:val="26"/>
          <w:lang w:eastAsia="hu-HU"/>
        </w:rPr>
        <w:t>amely az előző év azonos időszakában befolyt bevételt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 xml:space="preserve"> 148,3 milliárd</w:t>
      </w:r>
      <w:r w:rsidRPr="00F63F2A">
        <w:rPr>
          <w:rFonts w:ascii="Times New Roman" w:eastAsia="Times New Roman" w:hAnsi="Times New Roman" w:cs="Times New Roman"/>
          <w:sz w:val="26"/>
          <w:szCs w:val="20"/>
          <w:lang w:eastAsia="hu-HU"/>
        </w:rPr>
        <w:t> </w:t>
      </w:r>
      <w:r w:rsidRPr="00F63F2A">
        <w:rPr>
          <w:rFonts w:ascii="Times New Roman" w:eastAsia="Calibri" w:hAnsi="Times New Roman" w:cs="Times New Roman"/>
          <w:sz w:val="26"/>
          <w:szCs w:val="26"/>
          <w:lang w:eastAsia="hu-HU"/>
        </w:rPr>
        <w:t>forinttal haladta meg. A bevételnövekedés oka a járulékköteles jövedelmek növekedése.</w:t>
      </w:r>
    </w:p>
    <w:p w14:paraId="754C440E" w14:textId="7B04A971" w:rsidR="00B325C4" w:rsidRDefault="68A23DD0" w:rsidP="004E259E">
      <w:pPr>
        <w:jc w:val="both"/>
        <w:rPr>
          <w:rFonts w:ascii="Times New Roman" w:hAnsi="Times New Roman" w:cs="Times New Roman"/>
          <w:sz w:val="26"/>
          <w:szCs w:val="26"/>
        </w:rPr>
      </w:pPr>
      <w:r w:rsidRPr="68A23DD0">
        <w:rPr>
          <w:rFonts w:ascii="Times New Roman" w:hAnsi="Times New Roman" w:cs="Times New Roman"/>
          <w:sz w:val="26"/>
          <w:szCs w:val="26"/>
        </w:rPr>
        <w:t xml:space="preserve">Az </w:t>
      </w:r>
      <w:r w:rsidRPr="68A23DD0">
        <w:rPr>
          <w:rFonts w:ascii="Times New Roman" w:hAnsi="Times New Roman" w:cs="Times New Roman"/>
          <w:b/>
          <w:bCs/>
          <w:sz w:val="26"/>
          <w:szCs w:val="26"/>
        </w:rPr>
        <w:t>Egészségbiztosítási Alap költségvetési hozzájárulásai</w:t>
      </w:r>
      <w:r w:rsidRPr="68A23DD0">
        <w:rPr>
          <w:rFonts w:ascii="Times New Roman" w:hAnsi="Times New Roman" w:cs="Times New Roman"/>
          <w:sz w:val="26"/>
          <w:szCs w:val="26"/>
        </w:rPr>
        <w:t xml:space="preserve"> 2025. november végéig összesen 1731,7 milliárd forintot tettek ki, amely 1,7 milliárd forinttal alacsonyabb, mint az előző év azonos időszakában átutalt összeg. 2025. november</w:t>
      </w:r>
      <w:r w:rsidR="00727F10">
        <w:rPr>
          <w:rFonts w:ascii="Times New Roman" w:hAnsi="Times New Roman" w:cs="Times New Roman"/>
          <w:sz w:val="26"/>
          <w:szCs w:val="26"/>
        </w:rPr>
        <w:t> </w:t>
      </w:r>
      <w:r w:rsidRPr="68A23DD0">
        <w:rPr>
          <w:rFonts w:ascii="Times New Roman" w:hAnsi="Times New Roman" w:cs="Times New Roman"/>
          <w:sz w:val="26"/>
          <w:szCs w:val="26"/>
        </w:rPr>
        <w:t>végéig az Egészségbiztosítási Alap járulék címen átvett pénzeszközként 634,</w:t>
      </w:r>
      <w:r w:rsidR="00993321">
        <w:rPr>
          <w:rFonts w:ascii="Times New Roman" w:hAnsi="Times New Roman" w:cs="Times New Roman"/>
          <w:sz w:val="26"/>
          <w:szCs w:val="26"/>
        </w:rPr>
        <w:t>5</w:t>
      </w:r>
      <w:r w:rsidRPr="68A23DD0">
        <w:rPr>
          <w:rFonts w:ascii="Times New Roman" w:hAnsi="Times New Roman" w:cs="Times New Roman"/>
          <w:sz w:val="26"/>
          <w:szCs w:val="26"/>
        </w:rPr>
        <w:t xml:space="preserve"> milliárd forint támogatást kapott, szemben a tavalyi év azonos időszakában átutalt 598,5 milliárd forint összeggel. Az alap kiadásainak támogatására szolgáló tervezett pénzeszköz-átvétel és az egészségügyi feladatok ellátásával kapcsolatos hozzájárulás együttes összege 2025. november végéig 1097,2 milliárd forintot tett ki, amely 37,7 milliárd forinttal elmarad a tavalyi év ugyanezen időszakában átutalt összegtől.</w:t>
      </w:r>
    </w:p>
    <w:p w14:paraId="52DBA44B" w14:textId="4F3AC17D" w:rsidR="00AB3A4C" w:rsidRDefault="00B325C4" w:rsidP="00B325C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1F08DF7" w14:textId="6FA8B559" w:rsidR="009E34AE" w:rsidRPr="00377D59" w:rsidRDefault="3C87A00B" w:rsidP="3C87A00B">
      <w:pPr>
        <w:keepNext/>
        <w:numPr>
          <w:ilvl w:val="0"/>
          <w:numId w:val="3"/>
        </w:num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lastRenderedPageBreak/>
        <w:t xml:space="preserve">A főbb kiadások </w:t>
      </w:r>
    </w:p>
    <w:p w14:paraId="3D6DD60E" w14:textId="238FB070" w:rsidR="00B325C4" w:rsidRPr="00B325C4" w:rsidRDefault="3C87A00B" w:rsidP="00B325C4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 központi alrendszer </w:t>
      </w:r>
      <w:r w:rsidR="00B325C4"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november végi 39</w:t>
      </w:r>
      <w:r w:rsid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="00B325C4"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686,9 milliárd forint összegű kiadásai 2</w:t>
      </w:r>
      <w:r w:rsid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="00B325C4"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783,6</w:t>
      </w:r>
      <w:r w:rsid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="00B325C4"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milliárd forinttal, 7,5%-kal haladták meg az előző év azonos időszaki adatát. </w:t>
      </w:r>
    </w:p>
    <w:p w14:paraId="39B99CD8" w14:textId="40963A98" w:rsidR="00B325C4" w:rsidRPr="00B325C4" w:rsidRDefault="00B325C4" w:rsidP="00B325C4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Magasabban teljesültek az egy évvel korábbihoz képest többek között az állami közlekedési és közüzemi szolgáltatások, a babaváró támogatások, a költségvetési szervek kiadásai, a szakmai fejezeti kezelésű előirányzatok kiadásai,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 </w:t>
      </w:r>
      <w:r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kamatkiadások és a helyi önkormányzatok támogatásai.</w:t>
      </w:r>
    </w:p>
    <w:p w14:paraId="1660E392" w14:textId="62FCD766" w:rsidR="00F46F72" w:rsidRPr="00AA3374" w:rsidRDefault="00B325C4" w:rsidP="00B325C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Meghaladták az egy évvel korábbi kifizetést a nyugellátásokra és a gyógyító-megelőző ellátásra fordított összegek is. Nyugellátásokra </w:t>
      </w:r>
      <w:r w:rsidR="003F354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és nyugdíjszerű ellátásokra </w:t>
      </w:r>
      <w:r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6</w:t>
      </w:r>
      <w:r w:rsidR="003F354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733,8 </w:t>
      </w:r>
      <w:r w:rsidRPr="00B325C4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milliárd forint, míg a gyógyító-megelőző ellátásra 2635,5 milliárd forint került kifizetésre november végéig</w:t>
      </w:r>
      <w:r w:rsidR="68A23DD0" w:rsidRPr="68A23DD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1AFDEF8" w14:textId="10C168A3" w:rsidR="00C35E13" w:rsidRDefault="009F5DC5" w:rsidP="003415FE">
      <w:pPr>
        <w:pStyle w:val="NormlWeb"/>
        <w:spacing w:after="0" w:afterAutospacing="0"/>
        <w:jc w:val="center"/>
      </w:pPr>
      <w:r>
        <w:rPr>
          <w:noProof/>
        </w:rPr>
        <w:drawing>
          <wp:inline distT="0" distB="0" distL="0" distR="0" wp14:anchorId="66D7E877" wp14:editId="7468F514">
            <wp:extent cx="5940425" cy="2282400"/>
            <wp:effectExtent l="0" t="0" r="3175" b="3810"/>
            <wp:docPr id="453517895" name="Kép 1" descr="A képen diagram, kör, képernyőkép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17895" name="Kép 1" descr="A képen diagram, kör, képernyőkép, sor látható&#10;&#10;Előfordulhat, hogy a mesterséges intelligencia által létrehozott tartalom helytele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1771" cy="228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963D2" w14:textId="29D59CCA" w:rsidR="7CA17E0A" w:rsidRDefault="713AB4F6" w:rsidP="713AB4F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13AB4F6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713AB4F6">
        <w:rPr>
          <w:rFonts w:ascii="Times New Roman" w:eastAsia="Times New Roman" w:hAnsi="Times New Roman" w:cs="Times New Roman"/>
          <w:b/>
          <w:bCs/>
          <w:sz w:val="26"/>
          <w:szCs w:val="26"/>
        </w:rPr>
        <w:t>úthálózat rendelkezésre állási díjak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 xml:space="preserve"> mérlegsor tartalmazza az M5, M6 autópálya rendelkezésre állási díjak, valamint a </w:t>
      </w:r>
      <w:r w:rsidR="003F354B">
        <w:rPr>
          <w:rFonts w:ascii="Times New Roman" w:eastAsia="Times New Roman" w:hAnsi="Times New Roman" w:cs="Times New Roman"/>
          <w:sz w:val="26"/>
          <w:szCs w:val="26"/>
        </w:rPr>
        <w:t>g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>yorsforgalmi úthálózat rendelkezésre állási díj előirányzatok kiadásait, amelynek összege 2025</w:t>
      </w:r>
      <w:r w:rsidR="003F354B">
        <w:rPr>
          <w:rFonts w:ascii="Times New Roman" w:eastAsia="Times New Roman" w:hAnsi="Times New Roman" w:cs="Times New Roman"/>
          <w:sz w:val="26"/>
          <w:szCs w:val="26"/>
        </w:rPr>
        <w:t>.</w:t>
      </w:r>
      <w:r w:rsidR="0510334F" w:rsidRPr="0510334F">
        <w:rPr>
          <w:rFonts w:ascii="Times New Roman" w:eastAsia="Times New Roman" w:hAnsi="Times New Roman" w:cs="Times New Roman"/>
          <w:sz w:val="26"/>
          <w:szCs w:val="26"/>
        </w:rPr>
        <w:t xml:space="preserve"> november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0510334F" w:rsidRPr="0510334F">
        <w:rPr>
          <w:rFonts w:ascii="Times New Roman" w:eastAsia="Times New Roman" w:hAnsi="Times New Roman" w:cs="Times New Roman"/>
          <w:sz w:val="26"/>
          <w:szCs w:val="26"/>
        </w:rPr>
        <w:t>529,9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 xml:space="preserve"> milliárd forint volt, ami </w:t>
      </w:r>
      <w:r w:rsidR="0510334F" w:rsidRPr="0510334F">
        <w:rPr>
          <w:rFonts w:ascii="Times New Roman" w:eastAsia="Times New Roman" w:hAnsi="Times New Roman" w:cs="Times New Roman"/>
          <w:sz w:val="26"/>
          <w:szCs w:val="26"/>
        </w:rPr>
        <w:t>175,3</w:t>
      </w:r>
      <w:r w:rsidRPr="713AB4F6">
        <w:rPr>
          <w:rFonts w:ascii="Times New Roman" w:eastAsia="Times New Roman" w:hAnsi="Times New Roman" w:cs="Times New Roman"/>
          <w:sz w:val="26"/>
          <w:szCs w:val="26"/>
        </w:rPr>
        <w:t> milliárd forinttal magasabban alakult a 2025. év azonos időszakához képest. Az eltérést egyrészt a gyorsforgalmi úthálózat rendelkezésre állási díjának szerződésből fakadó változása, másrészt egyedi elemként egyes felújítási munkákból és nagykarbantartási munkákból történő kifizetése magyarázz</w:t>
      </w:r>
      <w:r w:rsidR="003F354B">
        <w:rPr>
          <w:rFonts w:ascii="Times New Roman" w:eastAsia="Times New Roman" w:hAnsi="Times New Roman" w:cs="Times New Roman"/>
          <w:sz w:val="26"/>
          <w:szCs w:val="26"/>
        </w:rPr>
        <w:t>ák.</w:t>
      </w:r>
    </w:p>
    <w:p w14:paraId="182A3A7A" w14:textId="43881B1A" w:rsidR="1EBF714E" w:rsidRPr="003772C6" w:rsidRDefault="2D9251E6" w:rsidP="2D9251E6">
      <w:pPr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2D9251E6">
        <w:rPr>
          <w:rFonts w:ascii="Times New Roman" w:eastAsia="Times New Roman" w:hAnsi="Times New Roman" w:cs="Times New Roman"/>
          <w:b/>
          <w:bCs/>
          <w:sz w:val="26"/>
          <w:szCs w:val="26"/>
        </w:rPr>
        <w:t>közösségi közlekedés költségtérítés és támogatás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 mérlegsor kiadásai 2025</w:t>
      </w:r>
      <w:r w:rsidR="003F354B">
        <w:rPr>
          <w:rFonts w:ascii="Times New Roman" w:eastAsia="Times New Roman" w:hAnsi="Times New Roman" w:cs="Times New Roman"/>
          <w:sz w:val="26"/>
          <w:szCs w:val="26"/>
        </w:rPr>
        <w:t>.</w:t>
      </w:r>
      <w:r w:rsidR="0510334F" w:rsidRPr="0510334F">
        <w:rPr>
          <w:rFonts w:ascii="Times New Roman" w:eastAsia="Times New Roman" w:hAnsi="Times New Roman" w:cs="Times New Roman"/>
          <w:sz w:val="26"/>
          <w:szCs w:val="26"/>
        </w:rPr>
        <w:t> november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0510334F" w:rsidRPr="0510334F">
        <w:rPr>
          <w:rFonts w:ascii="Times New Roman" w:eastAsia="Times New Roman" w:hAnsi="Times New Roman" w:cs="Times New Roman"/>
          <w:sz w:val="26"/>
          <w:szCs w:val="26"/>
        </w:rPr>
        <w:t xml:space="preserve">807,9 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milliárd forintot tettek ki, amelyből a szociálpolitikai menetdíj támogatás </w:t>
      </w:r>
      <w:r w:rsidR="0510334F" w:rsidRPr="0510334F">
        <w:rPr>
          <w:rFonts w:ascii="Times New Roman" w:eastAsia="Times New Roman" w:hAnsi="Times New Roman" w:cs="Times New Roman"/>
          <w:sz w:val="26"/>
          <w:szCs w:val="26"/>
        </w:rPr>
        <w:t>149,9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 milliárd forint. Az összes kiadás </w:t>
      </w:r>
      <w:r w:rsidR="0510334F" w:rsidRPr="0510334F">
        <w:rPr>
          <w:rFonts w:ascii="Times New Roman" w:eastAsia="Times New Roman" w:hAnsi="Times New Roman" w:cs="Times New Roman"/>
          <w:sz w:val="26"/>
          <w:szCs w:val="26"/>
        </w:rPr>
        <w:t>6</w:t>
      </w:r>
      <w:r w:rsidR="003F354B">
        <w:rPr>
          <w:rFonts w:ascii="Times New Roman" w:eastAsia="Times New Roman" w:hAnsi="Times New Roman" w:cs="Times New Roman"/>
          <w:sz w:val="26"/>
          <w:szCs w:val="26"/>
        </w:rPr>
        <w:t>5,0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> milliárd forinttal több, mint a megelőző év azonos időszaki teljesítése, amit részben a kifizetések lehívásának éven belüli időbeli eltérése, részben az új típusú autóbuszos szolgáltatásnak a korábbiaktól eltérő finanszírozási rendszere okoz.</w:t>
      </w:r>
    </w:p>
    <w:p w14:paraId="3B52873E" w14:textId="101C1A20" w:rsidR="008D3E76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közüzemi szolgáltatások támogatása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mérlegsor tartalmazza a lakossági energia rezsivédelmi szolgáltatás, a rezsivédelmi készletezési szolgáltatás és a távhőszolgáltatók kompenzációjával kapcsolatos kiadásokat, valamint a Víziközmű-fejlesztési és Ellentételezési Alap kiadásait is. A közüzemi szolgáltatások támogatására fordított kiadások 2025. 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888,7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 forintot tettek ki. A mérlegsor jelenlegi 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teljesítése 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171,9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 forinttal magasabb, mint a 2024. év azonos időszakában a közüzemi szolgáltatások teljesítésére fordított 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716,8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> milliárd forint, amely a Víziközmű-fejlesztési és Ellentételezési Alapból a víziközmű-szolgáltatók részére történt megnövekedett kifizetési igényekből adódott, valamint a lakossági energia rezsivédelmi szolgáltatás esetében a kifizetések eltérő ütemezéséből fakadt.</w:t>
      </w:r>
    </w:p>
    <w:p w14:paraId="79E44A54" w14:textId="3A9E1658" w:rsidR="0F03D9E1" w:rsidRDefault="6FEFD563" w:rsidP="6FEFD56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FEFD56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Lakástámogatásokra </w:t>
      </w:r>
      <w:r w:rsidRPr="6FEFD563">
        <w:rPr>
          <w:rFonts w:ascii="Times New Roman" w:eastAsia="Times New Roman" w:hAnsi="Times New Roman" w:cs="Times New Roman"/>
          <w:sz w:val="26"/>
          <w:szCs w:val="26"/>
        </w:rPr>
        <w:t xml:space="preserve">fordított kiadások összege </w:t>
      </w:r>
      <w:r w:rsidR="46D68B46" w:rsidRPr="46D68B46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6FEFD563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46D68B46" w:rsidRPr="46D68B46">
        <w:rPr>
          <w:rFonts w:ascii="Times New Roman" w:eastAsia="Times New Roman" w:hAnsi="Times New Roman" w:cs="Times New Roman"/>
          <w:sz w:val="26"/>
          <w:szCs w:val="26"/>
        </w:rPr>
        <w:t>175,9</w:t>
      </w:r>
      <w:r w:rsidRPr="6FEFD563">
        <w:rPr>
          <w:rFonts w:ascii="Times New Roman" w:eastAsia="Times New Roman" w:hAnsi="Times New Roman" w:cs="Times New Roman"/>
          <w:sz w:val="26"/>
          <w:szCs w:val="26"/>
        </w:rPr>
        <w:t xml:space="preserve"> milliárd forint volt, mely az előző év azonos időszakához viszonyítva </w:t>
      </w:r>
      <w:r w:rsidR="46D68B46" w:rsidRPr="46D68B46">
        <w:rPr>
          <w:rFonts w:ascii="Times New Roman" w:eastAsia="Times New Roman" w:hAnsi="Times New Roman" w:cs="Times New Roman"/>
          <w:sz w:val="26"/>
          <w:szCs w:val="26"/>
        </w:rPr>
        <w:t>21,</w:t>
      </w:r>
      <w:r w:rsidR="0015200F">
        <w:rPr>
          <w:rFonts w:ascii="Times New Roman" w:eastAsia="Times New Roman" w:hAnsi="Times New Roman" w:cs="Times New Roman"/>
          <w:sz w:val="26"/>
          <w:szCs w:val="26"/>
        </w:rPr>
        <w:t>1</w:t>
      </w:r>
      <w:r w:rsidRPr="6FEFD563">
        <w:rPr>
          <w:rFonts w:ascii="Times New Roman" w:eastAsia="Times New Roman" w:hAnsi="Times New Roman" w:cs="Times New Roman"/>
          <w:sz w:val="26"/>
          <w:szCs w:val="26"/>
        </w:rPr>
        <w:t> milliárd forinttal teljesült magasabban.</w:t>
      </w:r>
    </w:p>
    <w:p w14:paraId="33223970" w14:textId="25DDB887" w:rsidR="0F03D9E1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Nemzeti Család- és Szociálpolitikai Alap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a családi támogatásokat, a korhatár alatti ellátásokat, a jövedelempótló és jövedelemkiegészítő szociális támogatásokat, valamint a különféle jogcímen adott térítéseket tartalmazza. A főbb támogatásokat a következő táblázat részletezi:</w:t>
      </w:r>
    </w:p>
    <w:p w14:paraId="46398944" w14:textId="2D482933" w:rsidR="00621840" w:rsidRDefault="3C87A00B" w:rsidP="3C87A00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3C87A00B">
        <w:rPr>
          <w:rFonts w:ascii="Times New Roman" w:hAnsi="Times New Roman" w:cs="Times New Roman"/>
          <w:b/>
          <w:bCs/>
          <w:color w:val="000000" w:themeColor="text1"/>
        </w:rPr>
        <w:t>A Nemzeti Család- és Szociálpolitikai Alap kiadásainak alakulása (milliárd forint)</w:t>
      </w:r>
    </w:p>
    <w:p w14:paraId="2A41ECDF" w14:textId="77777777" w:rsidR="002E70D5" w:rsidRPr="00B32682" w:rsidRDefault="002E70D5" w:rsidP="6D17EF1F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W w:w="92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944"/>
        <w:gridCol w:w="930"/>
        <w:gridCol w:w="911"/>
        <w:gridCol w:w="733"/>
      </w:tblGrid>
      <w:tr w:rsidR="002E70D5" w:rsidRPr="002E70D5" w14:paraId="39BECF1A" w14:textId="77777777" w:rsidTr="265D5CEA">
        <w:trPr>
          <w:trHeight w:val="280"/>
        </w:trPr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CB091D6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Megnevezés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CD792E3" w14:textId="5DE20D1D" w:rsidR="002E70D5" w:rsidRPr="002E70D5" w:rsidRDefault="265D5CEA" w:rsidP="265D5C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265D5C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2024.</w:t>
            </w:r>
            <w:r w:rsidR="3C87A00B">
              <w:br/>
            </w:r>
            <w:r w:rsidRPr="265D5C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I-XI. hó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52AE7A1" w14:textId="4A263005" w:rsidR="002E70D5" w:rsidRPr="002E70D5" w:rsidRDefault="265D5CEA" w:rsidP="265D5C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265D5C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2025.</w:t>
            </w:r>
            <w:r w:rsidR="3C87A00B">
              <w:br/>
            </w:r>
            <w:r w:rsidRPr="265D5C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I-XI. hó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A04EB2C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Eltérés</w:t>
            </w:r>
          </w:p>
        </w:tc>
      </w:tr>
      <w:tr w:rsidR="002E70D5" w:rsidRPr="002E70D5" w14:paraId="6BE2994C" w14:textId="77777777" w:rsidTr="007D3F8F">
        <w:trPr>
          <w:trHeight w:val="473"/>
        </w:trPr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BE34C" w14:textId="77777777" w:rsidR="002E70D5" w:rsidRPr="002E70D5" w:rsidRDefault="002E70D5" w:rsidP="00554C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C60F" w14:textId="77777777" w:rsidR="002E70D5" w:rsidRPr="002E70D5" w:rsidRDefault="002E70D5" w:rsidP="00554C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F30F" w14:textId="77777777" w:rsidR="002E70D5" w:rsidRPr="002E70D5" w:rsidRDefault="002E70D5" w:rsidP="00554C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E8E5679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Mrd Ft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598397E" w14:textId="77777777" w:rsidR="002E70D5" w:rsidRPr="002E70D5" w:rsidRDefault="3C87A00B" w:rsidP="3C87A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</w:t>
            </w:r>
          </w:p>
        </w:tc>
      </w:tr>
      <w:tr w:rsidR="002E70D5" w:rsidRPr="002E70D5" w14:paraId="79BDD8E7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E2A1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Családi támogatások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3B97" w14:textId="4E3CFC90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374,7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87E" w14:textId="4606E4E4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D3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567" w14:textId="337AC113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-16,9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563" w14:textId="4D9254DF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95,5</w:t>
            </w:r>
          </w:p>
        </w:tc>
      </w:tr>
      <w:tr w:rsidR="002E70D5" w:rsidRPr="002E70D5" w14:paraId="5AF1064F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20FE" w14:textId="77777777" w:rsidR="002E70D5" w:rsidRPr="002E70D5" w:rsidRDefault="3C87A00B" w:rsidP="3C87A00B">
            <w:pPr>
              <w:spacing w:after="0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Ebből: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509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AF8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D1B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529C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E70D5" w:rsidRPr="002E70D5" w14:paraId="189AA6D7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E428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családi pótlék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BC1A" w14:textId="56B15A54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279,1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2F1A" w14:textId="3D51F0FD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C374" w14:textId="7DFFAA88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-2,9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E5C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2E70D5" w:rsidRPr="002E70D5" w14:paraId="5E22A8DD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56E0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anyasági támogatás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83D" w14:textId="60C7ECB8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7F31" w14:textId="22A4F946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22AA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B683" w14:textId="49FB92F7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</w:tr>
      <w:tr w:rsidR="002E70D5" w:rsidRPr="002E70D5" w14:paraId="660813D3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07FD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gyermekgondozást segítő ellátás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6FB8" w14:textId="21C364FD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497" w14:textId="39C0313D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0162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089B" w14:textId="643D6ECF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2E70D5" w:rsidRPr="002E70D5" w14:paraId="54D4B8EA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69C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gyermeknevelési támogatás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4A29" w14:textId="4C0978CF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D86B" w14:textId="7922726E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4C52" w14:textId="7C8FF222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29F" w14:textId="50DC6220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2E70D5" w:rsidRPr="002E70D5" w14:paraId="0932D838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C9F6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gyermekek születésével kapcsolatos szabadság megtérítése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43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09F0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34F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6C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</w:tr>
      <w:tr w:rsidR="002E70D5" w:rsidRPr="002E70D5" w14:paraId="5C1FD170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85A0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életkezdési támogatás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4E8C" w14:textId="63CE5F27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1C6" w14:textId="4D078724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EF2" w14:textId="1A5D7C04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-13,6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809C" w14:textId="58384039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2E70D5" w:rsidRPr="002E70D5" w14:paraId="5B535E4D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9DB0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Korhatár alatti ellátások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4746" w14:textId="42009ADE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1635" w14:textId="7875B71A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78F" w14:textId="3FFA045C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DA8" w14:textId="1216AA37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97,3</w:t>
            </w:r>
          </w:p>
        </w:tc>
      </w:tr>
      <w:tr w:rsidR="002E70D5" w:rsidRPr="002E70D5" w14:paraId="2D6D4FB3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99A0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Jövedelempótló és jövedelemkiegészítő szociális támogatások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6F2" w14:textId="4C7EAF08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197,</w:t>
            </w:r>
            <w:r w:rsidR="00F74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81D" w14:textId="73634C03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773" w14:textId="2D3A6E1C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</w:t>
            </w:r>
            <w:r w:rsidR="00F748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0472" w14:textId="5646827B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109,0</w:t>
            </w:r>
          </w:p>
        </w:tc>
      </w:tr>
      <w:tr w:rsidR="002E70D5" w:rsidRPr="002E70D5" w14:paraId="2F68BD6E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5F0B" w14:textId="77777777" w:rsidR="002E70D5" w:rsidRPr="002E70D5" w:rsidRDefault="3C87A00B" w:rsidP="3C87A00B">
            <w:pPr>
              <w:spacing w:after="0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Ebből: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ABF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2B6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18B6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A3F4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E70D5" w:rsidRPr="002E70D5" w14:paraId="0E61B6E0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ED1E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Jövedelempótló és jövedelemkiegészítő ellátások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EAA" w14:textId="65F6C2BC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6A3" w14:textId="0B597E2E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6DC1" w14:textId="3A11E2C8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43FB" w14:textId="6FCD02D6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2E70D5" w:rsidRPr="002E70D5" w14:paraId="4BD7171B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55D0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Járási szociális feladatok ellátása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ED60" w14:textId="292AD8AE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2311" w14:textId="0D49090B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695" w14:textId="6660B3A5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5678" w14:textId="551D1F15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</w:tr>
      <w:tr w:rsidR="002E70D5" w:rsidRPr="002E70D5" w14:paraId="5D884F8B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34A9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Különféle jogcímen adott térítések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06AA" w14:textId="695A4ED4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EB4" w14:textId="2BC3DF08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0E79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50D" w14:textId="19EB7985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96,8</w:t>
            </w:r>
          </w:p>
        </w:tc>
      </w:tr>
      <w:tr w:rsidR="002E70D5" w:rsidRPr="002E70D5" w14:paraId="1F6A3088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FF2" w14:textId="77777777" w:rsidR="002E70D5" w:rsidRPr="002E70D5" w:rsidRDefault="3C87A00B" w:rsidP="3C87A00B">
            <w:pPr>
              <w:spacing w:after="0"/>
              <w:ind w:firstLineChars="100" w:firstLine="2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Ebből: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78B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014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69D1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CDD" w14:textId="77777777" w:rsidR="002E70D5" w:rsidRPr="002E70D5" w:rsidRDefault="239528D4" w:rsidP="239528D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39528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E70D5" w:rsidRPr="002E70D5" w14:paraId="084817F6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8781" w14:textId="77777777" w:rsidR="002E70D5" w:rsidRPr="002E70D5" w:rsidRDefault="3C87A00B" w:rsidP="3C87A00B">
            <w:pPr>
              <w:spacing w:after="0"/>
              <w:ind w:firstLineChars="400" w:firstLine="80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közgyógyellátás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F3F" w14:textId="63639807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367E" w14:textId="4612EF34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5B1C" w14:textId="38A26DEF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2B1E" w14:textId="34B2E8B5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</w:tr>
      <w:tr w:rsidR="002E70D5" w:rsidRPr="002E70D5" w14:paraId="4A95CF06" w14:textId="77777777" w:rsidTr="0015200F">
        <w:trPr>
          <w:trHeight w:val="21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E7CC" w14:textId="77777777" w:rsidR="002E70D5" w:rsidRPr="002E70D5" w:rsidRDefault="3C87A00B" w:rsidP="3C87A0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C87A0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Összesen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5620" w14:textId="20B024D4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709,0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DB5F" w14:textId="6C8E90EE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705,9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ABDF" w14:textId="6FCAFF17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541D" w14:textId="0E002B83" w:rsidR="002E70D5" w:rsidRPr="002E70D5" w:rsidRDefault="265D5CEA" w:rsidP="265D5CE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65D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99,6</w:t>
            </w:r>
          </w:p>
        </w:tc>
      </w:tr>
    </w:tbl>
    <w:p w14:paraId="40C0A527" w14:textId="3061FBA9" w:rsidR="265D5CEA" w:rsidRDefault="265D5CEA" w:rsidP="009F5DC5">
      <w:pPr>
        <w:spacing w:before="240" w:after="240"/>
        <w:jc w:val="both"/>
      </w:pP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265D5CEA">
        <w:rPr>
          <w:rFonts w:ascii="Times New Roman" w:eastAsia="Times New Roman" w:hAnsi="Times New Roman" w:cs="Times New Roman"/>
          <w:b/>
          <w:bCs/>
          <w:sz w:val="26"/>
          <w:szCs w:val="26"/>
        </w:rPr>
        <w:t>családi támogatásokra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2025 tizenegy hónapjában összesen 357,8</w:t>
      </w:r>
      <w:r w:rsidR="00B247F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milliárd forintot fizettek ki, amely 16,9</w:t>
      </w:r>
      <w:r w:rsidR="00B247F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milliárd forinttal volt alacsonyabb az előző évi teljesítésnél. Az</w:t>
      </w:r>
      <w:r w:rsidR="009F5DC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eltérés elsősorban a Családi támogatások </w:t>
      </w:r>
      <w:r w:rsidR="00B247F2">
        <w:rPr>
          <w:rFonts w:ascii="Times New Roman" w:eastAsia="Times New Roman" w:hAnsi="Times New Roman" w:cs="Times New Roman"/>
          <w:sz w:val="26"/>
          <w:szCs w:val="26"/>
        </w:rPr>
        <w:t>alcímhe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z tartozó Életkezdési támogatás előirányzat kiadásai csökkenésének következménye, ami 13,6</w:t>
      </w:r>
      <w:r w:rsidR="00F748E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milliárd forinttal volt alacsonyabb előző év azonos időszakához képest. Ennek oka, hogy 2025-ben az</w:t>
      </w:r>
      <w:r w:rsidR="009F5DC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életkezdési letéti számlákon nyilvántartott követelés összegére tekintettel fizetett kamat mértéke 3,7% volt (a 2024. évi infláció mértékének megfelelően), ami jelentősen alacsonyabb a 2024-ben fizetett kamat mértékénél (17,6%).</w:t>
      </w:r>
    </w:p>
    <w:p w14:paraId="1BCB19C1" w14:textId="6957C666" w:rsidR="265D5CEA" w:rsidRDefault="265D5CEA" w:rsidP="00D62835">
      <w:pPr>
        <w:pageBreakBefore/>
        <w:jc w:val="both"/>
      </w:pPr>
      <w:r w:rsidRPr="265D5CE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 </w:t>
      </w:r>
      <w:r w:rsidRPr="265D5CEA">
        <w:rPr>
          <w:rFonts w:ascii="Times New Roman" w:eastAsia="Times New Roman" w:hAnsi="Times New Roman" w:cs="Times New Roman"/>
          <w:b/>
          <w:bCs/>
          <w:sz w:val="26"/>
          <w:szCs w:val="26"/>
        </w:rPr>
        <w:t>korhatár alatti ellátások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esetében a kiadás 3,1</w:t>
      </w:r>
      <w:r w:rsidR="00D6283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milliárd forinttal alacsonyabb volt az</w:t>
      </w:r>
      <w:r w:rsidR="00C54B2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előző év azonos időszakához képest. A csökkenést az okozza, hogy a jogosultak elérik az öregségi nyugdíjkorhatárt, és nyugellátásra válnak jogosulttá, létszámuk folyamatosan csökken. Januárban sor került az ellátások 3,2%-os emelésére is, valamint a 13. havi nyugdíjhoz hasonlóan februárban a korhatár előtti ellátásban részesülő személyek is részesültek 13. havi ellátásban. November hónapban további 1,6</w:t>
      </w:r>
      <w:r w:rsidR="00AA137D">
        <w:rPr>
          <w:rFonts w:ascii="Times New Roman" w:eastAsia="Times New Roman" w:hAnsi="Times New Roman" w:cs="Times New Roman"/>
          <w:sz w:val="26"/>
          <w:szCs w:val="26"/>
        </w:rPr>
        <w:t>%-os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kiegészítő emelésben részesült ezen ellátotti kör, amely a januárban már végrehajtott emeléssel együtt éves szinten, 2025. január 1-jétől 4,8%-os emelést jelent.</w:t>
      </w:r>
    </w:p>
    <w:p w14:paraId="1604833A" w14:textId="3CCEC0E6" w:rsidR="265D5CEA" w:rsidRDefault="265D5CEA" w:rsidP="265D5CEA">
      <w:pPr>
        <w:jc w:val="both"/>
      </w:pP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2025 novemberéig a </w:t>
      </w:r>
      <w:r w:rsidRPr="00D62835">
        <w:rPr>
          <w:rFonts w:ascii="Times New Roman" w:eastAsia="Times New Roman" w:hAnsi="Times New Roman" w:cs="Times New Roman"/>
          <w:b/>
          <w:bCs/>
          <w:sz w:val="26"/>
          <w:szCs w:val="26"/>
        </w:rPr>
        <w:t>jövedelempótló és jövedelemkiegészítő szociális támogatásokra biztosított kiadásokon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belül a </w:t>
      </w:r>
      <w:r w:rsidRPr="00D62835">
        <w:rPr>
          <w:rFonts w:ascii="Times New Roman" w:eastAsia="Times New Roman" w:hAnsi="Times New Roman" w:cs="Times New Roman"/>
          <w:sz w:val="26"/>
          <w:szCs w:val="26"/>
        </w:rPr>
        <w:t>járási szociális feladatok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ellátására (gyermekek otthongondozási díja, ápolási díj, időskorúak járadéka, foglalkoztatást helyettesítő támogatás, egészségkárosodási és gyermekfelügyeleti támogatás) 142,8 milliárd forintot fordítottak, mely 15,6 milliárd forinttal magasabb az előző évi adatnál. A növekedést elsődlegesen az okozza, hogy 2025. januártól a gyermekek otthongondozási díjának összege a minimálbér emelkedése miatt (266 800 forintról 290 800 forintra) emelkedett, az ápolási díj összege pedig 3,2%-kal nőtt, és folyamatosan emelkedik a gyermekek otthongondozási díjára jogosultak létszáma is.</w:t>
      </w:r>
    </w:p>
    <w:p w14:paraId="43802706" w14:textId="4FE54F2B" w:rsidR="265D5CEA" w:rsidRDefault="265D5CEA" w:rsidP="265D5CEA">
      <w:pPr>
        <w:jc w:val="both"/>
      </w:pP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D62835">
        <w:rPr>
          <w:rFonts w:ascii="Times New Roman" w:eastAsia="Times New Roman" w:hAnsi="Times New Roman" w:cs="Times New Roman"/>
          <w:sz w:val="26"/>
          <w:szCs w:val="26"/>
        </w:rPr>
        <w:t>Jövedelempótló és jövedelemkiegészítő ellátások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előirányzat tartalmazza a</w:t>
      </w:r>
      <w:r w:rsidR="00C54B2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fogyatékossági támogatás, a vakok személyi járadéka, az átmeneti bányászjáradék és számos további, jellemzően kifutó jellegű ellátás (pl. mezőgazdasági járadék, politikai rehabilitációs és más nyugdíj-kiegészítések, házastársi pótlék) forrását. A jövedelempótló és jövedelemkiegészítő ellátásokra 72,6</w:t>
      </w:r>
      <w:r w:rsidR="0028274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milliárd forintot fizettek ki, mely az előző évi kifizetésnél 0,7</w:t>
      </w:r>
      <w:r w:rsidR="0028274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milliárd forinttal magasabb. A kiadások növekedését egyes ellátások januárban végrehajtott 3,2%-os emelésének, valamint a 2025. februárjában kifizetett 13.</w:t>
      </w:r>
      <w:r w:rsidR="00C54B2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havi ellátásnak a hatása okozza, amit a jogosultak létszámának csökkenése részben ellensúlyoz. November hónapban további 1,6</w:t>
      </w:r>
      <w:r w:rsidR="0028274C">
        <w:rPr>
          <w:rFonts w:ascii="Times New Roman" w:eastAsia="Times New Roman" w:hAnsi="Times New Roman" w:cs="Times New Roman"/>
          <w:sz w:val="26"/>
          <w:szCs w:val="26"/>
        </w:rPr>
        <w:t>%-os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kiegészítő emelésben részesült ezen ellátotti kör, amely a januárban már végrehajtott emeléssel együtt éves szinten, 2025.</w:t>
      </w:r>
      <w:r w:rsidR="00C54B21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január 1-jétől 4,8%-os emelést jelent.</w:t>
      </w:r>
    </w:p>
    <w:p w14:paraId="0A236842" w14:textId="63CBDDE3" w:rsidR="265D5CEA" w:rsidRDefault="265D5CEA" w:rsidP="265D5CEA">
      <w:pPr>
        <w:jc w:val="both"/>
      </w:pP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265D5CEA">
        <w:rPr>
          <w:rFonts w:ascii="Times New Roman" w:eastAsia="Times New Roman" w:hAnsi="Times New Roman" w:cs="Times New Roman"/>
          <w:b/>
          <w:bCs/>
          <w:sz w:val="26"/>
          <w:szCs w:val="26"/>
        </w:rPr>
        <w:t>különféle jogcímen adott térítések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28274C">
        <w:rPr>
          <w:rFonts w:ascii="Times New Roman" w:eastAsia="Times New Roman" w:hAnsi="Times New Roman" w:cs="Times New Roman"/>
          <w:sz w:val="26"/>
          <w:szCs w:val="26"/>
        </w:rPr>
        <w:t>.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 xml:space="preserve"> novemberi összege 0,</w:t>
      </w:r>
      <w:r w:rsidR="00BE3243">
        <w:rPr>
          <w:rFonts w:ascii="Times New Roman" w:eastAsia="Times New Roman" w:hAnsi="Times New Roman" w:cs="Times New Roman"/>
          <w:sz w:val="26"/>
          <w:szCs w:val="26"/>
        </w:rPr>
        <w:t>7</w:t>
      </w:r>
      <w:r w:rsidR="001E3BA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1E3BA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forinttal alacsonyabb volt, mint az előző év azonos időszakában. A térítéseken belül a legnagyobb összeget, 13,7</w:t>
      </w:r>
      <w:r w:rsidR="001E3BA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265D5CEA">
        <w:rPr>
          <w:rFonts w:ascii="Times New Roman" w:eastAsia="Times New Roman" w:hAnsi="Times New Roman" w:cs="Times New Roman"/>
          <w:sz w:val="26"/>
          <w:szCs w:val="26"/>
        </w:rPr>
        <w:t>milliárd forintot a közgyógyellátásra fizették ki.</w:t>
      </w:r>
    </w:p>
    <w:p w14:paraId="2BBDBEB3" w14:textId="541DC42B" w:rsidR="0032261D" w:rsidRPr="005C3ECD" w:rsidRDefault="239528D4" w:rsidP="239528D4">
      <w:pPr>
        <w:pStyle w:val="NormlWeb"/>
        <w:spacing w:before="0" w:beforeAutospacing="0" w:after="160" w:afterAutospacing="0" w:line="259" w:lineRule="auto"/>
        <w:jc w:val="both"/>
        <w:rPr>
          <w:sz w:val="26"/>
          <w:szCs w:val="26"/>
        </w:rPr>
      </w:pPr>
      <w:r w:rsidRPr="239528D4">
        <w:rPr>
          <w:sz w:val="26"/>
          <w:szCs w:val="26"/>
        </w:rPr>
        <w:t xml:space="preserve">A </w:t>
      </w:r>
      <w:r w:rsidRPr="239528D4">
        <w:rPr>
          <w:b/>
          <w:bCs/>
          <w:sz w:val="26"/>
          <w:szCs w:val="26"/>
        </w:rPr>
        <w:t>babaváró támogatásokra</w:t>
      </w:r>
      <w:r w:rsidRPr="239528D4">
        <w:rPr>
          <w:sz w:val="26"/>
          <w:szCs w:val="26"/>
        </w:rPr>
        <w:t xml:space="preserve"> fordított kiadások összege </w:t>
      </w:r>
      <w:r w:rsidR="46D68B46" w:rsidRPr="46D68B46">
        <w:rPr>
          <w:sz w:val="26"/>
          <w:szCs w:val="26"/>
        </w:rPr>
        <w:t>november</w:t>
      </w:r>
      <w:r w:rsidRPr="239528D4">
        <w:rPr>
          <w:sz w:val="26"/>
          <w:szCs w:val="26"/>
        </w:rPr>
        <w:t xml:space="preserve"> végéig </w:t>
      </w:r>
      <w:r w:rsidR="46D68B46" w:rsidRPr="46D68B46">
        <w:rPr>
          <w:sz w:val="26"/>
          <w:szCs w:val="26"/>
        </w:rPr>
        <w:t>219,6</w:t>
      </w:r>
      <w:r w:rsidRPr="239528D4">
        <w:rPr>
          <w:sz w:val="26"/>
          <w:szCs w:val="26"/>
        </w:rPr>
        <w:t xml:space="preserve"> milliárd forintot tett ki, amely a törvényi előirányzat </w:t>
      </w:r>
      <w:r w:rsidR="46D68B46" w:rsidRPr="46D68B46">
        <w:rPr>
          <w:sz w:val="26"/>
          <w:szCs w:val="26"/>
        </w:rPr>
        <w:t>87,3</w:t>
      </w:r>
      <w:r w:rsidRPr="239528D4">
        <w:rPr>
          <w:sz w:val="26"/>
          <w:szCs w:val="26"/>
        </w:rPr>
        <w:t xml:space="preserve">%-ának felel meg, és a 2024. év azonos időszakához viszonyítva </w:t>
      </w:r>
      <w:r w:rsidR="46D68B46" w:rsidRPr="46D68B46">
        <w:rPr>
          <w:sz w:val="26"/>
          <w:szCs w:val="26"/>
        </w:rPr>
        <w:t>29,</w:t>
      </w:r>
      <w:r w:rsidR="00C859BE">
        <w:rPr>
          <w:sz w:val="26"/>
          <w:szCs w:val="26"/>
        </w:rPr>
        <w:t>8</w:t>
      </w:r>
      <w:r w:rsidRPr="239528D4">
        <w:rPr>
          <w:sz w:val="26"/>
          <w:szCs w:val="26"/>
        </w:rPr>
        <w:t> milliárd forinttal teljesült magasabban.</w:t>
      </w:r>
    </w:p>
    <w:p w14:paraId="75EFF307" w14:textId="0645F5E1" w:rsidR="00B3244C" w:rsidRDefault="3C87A00B" w:rsidP="3C87A00B">
      <w:pPr>
        <w:pStyle w:val="NormlWeb"/>
        <w:spacing w:before="0" w:beforeAutospacing="0" w:after="160" w:afterAutospacing="0" w:line="259" w:lineRule="auto"/>
        <w:jc w:val="both"/>
        <w:rPr>
          <w:sz w:val="26"/>
          <w:szCs w:val="26"/>
        </w:rPr>
      </w:pPr>
      <w:bookmarkStart w:id="0" w:name="_Hlk202786542"/>
      <w:r w:rsidRPr="3C87A00B">
        <w:rPr>
          <w:sz w:val="26"/>
          <w:szCs w:val="26"/>
        </w:rPr>
        <w:t xml:space="preserve">A </w:t>
      </w:r>
      <w:r w:rsidRPr="3C87A00B">
        <w:rPr>
          <w:b/>
          <w:bCs/>
          <w:sz w:val="26"/>
          <w:szCs w:val="26"/>
        </w:rPr>
        <w:t>helyi önkormányzatok</w:t>
      </w:r>
      <w:r w:rsidRPr="3C87A00B">
        <w:rPr>
          <w:sz w:val="26"/>
          <w:szCs w:val="26"/>
        </w:rPr>
        <w:t xml:space="preserve"> 2025. évi feladataihoz a hatályos költségvetési törvény alapján 1305,7 milliárd forint állami támogatás került megállapításra. A </w:t>
      </w:r>
      <w:r w:rsidR="00FA16EC">
        <w:rPr>
          <w:sz w:val="26"/>
          <w:szCs w:val="26"/>
        </w:rPr>
        <w:t>november</w:t>
      </w:r>
      <w:r w:rsidRPr="3C87A00B">
        <w:rPr>
          <w:sz w:val="26"/>
          <w:szCs w:val="26"/>
        </w:rPr>
        <w:t xml:space="preserve"> havi tényadat alapján </w:t>
      </w:r>
      <w:r w:rsidR="00FA16EC">
        <w:rPr>
          <w:sz w:val="26"/>
          <w:szCs w:val="26"/>
        </w:rPr>
        <w:t>1257,7</w:t>
      </w:r>
      <w:r w:rsidRPr="3C87A00B">
        <w:rPr>
          <w:sz w:val="26"/>
          <w:szCs w:val="26"/>
        </w:rPr>
        <w:t xml:space="preserve"> milliárd forint kifizetés történt, ami az eredeti előirányzat </w:t>
      </w:r>
      <w:r w:rsidR="00FA16EC">
        <w:rPr>
          <w:sz w:val="26"/>
          <w:szCs w:val="26"/>
        </w:rPr>
        <w:t>96,3</w:t>
      </w:r>
      <w:r w:rsidRPr="3C87A00B">
        <w:rPr>
          <w:sz w:val="26"/>
          <w:szCs w:val="26"/>
        </w:rPr>
        <w:t xml:space="preserve">%-át teszi ki. Az előző év azonos időszakához viszonyított </w:t>
      </w:r>
      <w:r w:rsidR="00FA16EC">
        <w:rPr>
          <w:sz w:val="26"/>
          <w:szCs w:val="26"/>
        </w:rPr>
        <w:t>119,4</w:t>
      </w:r>
      <w:r w:rsidRPr="3C87A00B">
        <w:rPr>
          <w:sz w:val="26"/>
          <w:szCs w:val="26"/>
        </w:rPr>
        <w:t> milliárd forint (10,</w:t>
      </w:r>
      <w:r w:rsidR="00FA16EC">
        <w:rPr>
          <w:sz w:val="26"/>
          <w:szCs w:val="26"/>
        </w:rPr>
        <w:t>5</w:t>
      </w:r>
      <w:r w:rsidRPr="3C87A00B">
        <w:rPr>
          <w:sz w:val="26"/>
          <w:szCs w:val="26"/>
        </w:rPr>
        <w:t>%-os) növekedés főként a tanárok és polgármesterek béremeléséből, valamint a szociális ágazat idei előirányzatának törvényi emeléséből fakad. A jelentősebb tételek alakulását a következő táblázat mutatja:</w:t>
      </w:r>
      <w:r w:rsidR="6D17EF1F" w:rsidRPr="3C87A00B">
        <w:rPr>
          <w:sz w:val="26"/>
          <w:szCs w:val="26"/>
        </w:rPr>
        <w:br w:type="page"/>
      </w:r>
    </w:p>
    <w:p w14:paraId="2723D8B3" w14:textId="34B7D713" w:rsidR="00C24948" w:rsidRPr="00B32682" w:rsidRDefault="3C87A00B" w:rsidP="3C87A00B">
      <w:pPr>
        <w:pStyle w:val="NormlWeb"/>
        <w:spacing w:before="0" w:beforeAutospacing="0" w:after="160" w:afterAutospacing="0" w:line="259" w:lineRule="auto"/>
        <w:jc w:val="center"/>
      </w:pPr>
      <w:r w:rsidRPr="3C87A00B">
        <w:rPr>
          <w:b/>
          <w:bCs/>
        </w:rPr>
        <w:lastRenderedPageBreak/>
        <w:t>A helyi önkormányzatok támogatásának alakulása (milliárd forint)</w:t>
      </w:r>
    </w:p>
    <w:tbl>
      <w:tblPr>
        <w:tblpPr w:leftFromText="141" w:rightFromText="141" w:vertAnchor="text" w:horzAnchor="margin" w:tblpY="20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134"/>
        <w:gridCol w:w="1134"/>
        <w:gridCol w:w="850"/>
        <w:gridCol w:w="771"/>
      </w:tblGrid>
      <w:tr w:rsidR="00081A16" w:rsidRPr="00377D59" w14:paraId="6741B982" w14:textId="77777777" w:rsidTr="239528D4">
        <w:trPr>
          <w:trHeight w:val="340"/>
        </w:trPr>
        <w:tc>
          <w:tcPr>
            <w:tcW w:w="5382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14:paraId="07514BAA" w14:textId="77777777" w:rsidR="00081A16" w:rsidRPr="00EB7ACF" w:rsidRDefault="3C87A00B" w:rsidP="3C87A0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  <w:hideMark/>
          </w:tcPr>
          <w:p w14:paraId="5DC080D6" w14:textId="0ED19916" w:rsidR="00081A16" w:rsidRPr="00EB7ACF" w:rsidRDefault="3C87A00B" w:rsidP="3C87A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2024. 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b/>
                <w:bCs/>
              </w:rPr>
              <w:t>I-X</w:t>
            </w:r>
            <w:r w:rsidR="00FA16EC">
              <w:rPr>
                <w:rFonts w:ascii="Times New Roman" w:hAnsi="Times New Roman" w:cs="Times New Roman"/>
                <w:b/>
                <w:bCs/>
              </w:rPr>
              <w:t>I</w:t>
            </w:r>
            <w:r w:rsidRPr="3C87A00B">
              <w:rPr>
                <w:rFonts w:ascii="Times New Roman" w:hAnsi="Times New Roman" w:cs="Times New Roman"/>
                <w:b/>
                <w:bCs/>
              </w:rPr>
              <w:t>. hó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  <w:hideMark/>
          </w:tcPr>
          <w:p w14:paraId="626AC8BC" w14:textId="19EA88C8" w:rsidR="00081A16" w:rsidRPr="00EB7ACF" w:rsidRDefault="3C87A00B" w:rsidP="3C87A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2025. </w:t>
            </w:r>
            <w:r w:rsidR="6D17EF1F">
              <w:br/>
            </w:r>
            <w:r w:rsidRPr="3C87A00B">
              <w:rPr>
                <w:rFonts w:ascii="Times New Roman" w:hAnsi="Times New Roman" w:cs="Times New Roman"/>
                <w:b/>
                <w:bCs/>
              </w:rPr>
              <w:t>I-X</w:t>
            </w:r>
            <w:r w:rsidR="00FA16EC">
              <w:rPr>
                <w:rFonts w:ascii="Times New Roman" w:hAnsi="Times New Roman" w:cs="Times New Roman"/>
                <w:b/>
                <w:bCs/>
              </w:rPr>
              <w:t>I</w:t>
            </w:r>
            <w:r w:rsidRPr="3C87A00B">
              <w:rPr>
                <w:rFonts w:ascii="Times New Roman" w:hAnsi="Times New Roman" w:cs="Times New Roman"/>
                <w:b/>
                <w:bCs/>
              </w:rPr>
              <w:t>. hó</w:t>
            </w:r>
          </w:p>
        </w:tc>
        <w:tc>
          <w:tcPr>
            <w:tcW w:w="1621" w:type="dxa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35A3C823" w14:textId="77777777" w:rsidR="00081A16" w:rsidRPr="00EB7ACF" w:rsidRDefault="3C87A00B" w:rsidP="3C87A0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Eltérés</w:t>
            </w:r>
          </w:p>
        </w:tc>
      </w:tr>
      <w:tr w:rsidR="00C24948" w:rsidRPr="00377D59" w14:paraId="2DD9A798" w14:textId="77777777" w:rsidTr="239528D4">
        <w:trPr>
          <w:trHeight w:val="340"/>
        </w:trPr>
        <w:tc>
          <w:tcPr>
            <w:tcW w:w="5382" w:type="dxa"/>
            <w:vMerge/>
            <w:shd w:val="clear" w:color="auto" w:fill="BDD6EE" w:themeFill="accent1" w:themeFillTint="66"/>
            <w:vAlign w:val="center"/>
            <w:hideMark/>
          </w:tcPr>
          <w:p w14:paraId="5F76A56A" w14:textId="77777777" w:rsidR="00C24948" w:rsidRPr="00EB7ACF" w:rsidRDefault="00C24948" w:rsidP="00C2494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  <w:vAlign w:val="center"/>
            <w:hideMark/>
          </w:tcPr>
          <w:p w14:paraId="65B4B0A4" w14:textId="77777777" w:rsidR="00C24948" w:rsidRPr="00EB7ACF" w:rsidRDefault="00C24948" w:rsidP="00C2494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  <w:vAlign w:val="center"/>
            <w:hideMark/>
          </w:tcPr>
          <w:p w14:paraId="5FE97B50" w14:textId="77777777" w:rsidR="00C24948" w:rsidRPr="00EB7ACF" w:rsidRDefault="00C24948" w:rsidP="00C2494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850" w:type="dxa"/>
            <w:shd w:val="clear" w:color="auto" w:fill="BDD6EE" w:themeFill="accent1" w:themeFillTint="66"/>
            <w:noWrap/>
            <w:vAlign w:val="center"/>
            <w:hideMark/>
          </w:tcPr>
          <w:p w14:paraId="1B2C8FF2" w14:textId="77777777" w:rsidR="00C24948" w:rsidRPr="00EB7ACF" w:rsidRDefault="3C87A00B" w:rsidP="3C87A0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Mrd Ft</w:t>
            </w:r>
          </w:p>
        </w:tc>
        <w:tc>
          <w:tcPr>
            <w:tcW w:w="771" w:type="dxa"/>
            <w:shd w:val="clear" w:color="auto" w:fill="BDD6EE" w:themeFill="accent1" w:themeFillTint="66"/>
            <w:noWrap/>
            <w:vAlign w:val="center"/>
            <w:hideMark/>
          </w:tcPr>
          <w:p w14:paraId="179AEF43" w14:textId="77777777" w:rsidR="00C24948" w:rsidRPr="00EB7ACF" w:rsidRDefault="3C87A00B" w:rsidP="3C87A00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%</w:t>
            </w:r>
          </w:p>
        </w:tc>
      </w:tr>
      <w:tr w:rsidR="000E4A68" w:rsidRPr="00377D59" w14:paraId="5CF52B9C" w14:textId="77777777" w:rsidTr="001E3BA9">
        <w:trPr>
          <w:trHeight w:val="510"/>
        </w:trPr>
        <w:tc>
          <w:tcPr>
            <w:tcW w:w="5382" w:type="dxa"/>
            <w:vAlign w:val="center"/>
            <w:hideMark/>
          </w:tcPr>
          <w:p w14:paraId="11FF4C49" w14:textId="77777777" w:rsidR="000E4A68" w:rsidRPr="00EB7ACF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1E4CBD" w14:textId="6451473B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729553" w14:textId="1D268677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1112,1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D76081" w14:textId="6A014983" w:rsidR="000E4A68" w:rsidRPr="00EF6267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62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E9DF60E" w14:textId="4E6E0EF7" w:rsidR="000E4A68" w:rsidRPr="000E4A68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108,</w:t>
            </w:r>
            <w:r w:rsidR="00FA16EC"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0E4A68" w:rsidRPr="00377D59" w14:paraId="66D88640" w14:textId="77777777" w:rsidTr="001E3BA9">
        <w:trPr>
          <w:trHeight w:val="340"/>
        </w:trPr>
        <w:tc>
          <w:tcPr>
            <w:tcW w:w="5382" w:type="dxa"/>
            <w:vAlign w:val="center"/>
            <w:hideMark/>
          </w:tcPr>
          <w:p w14:paraId="4496E62C" w14:textId="77777777" w:rsidR="000E4A68" w:rsidRPr="00EB7ACF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helyi önkormányzatok működésének általános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091267" w14:textId="6F40F48A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13F341" w14:textId="29F25808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7C594" w14:textId="5127F529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</w:t>
            </w:r>
            <w:r w:rsidR="239528D4"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B1384BF" w14:textId="04F4FFF6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102,3</w:t>
            </w:r>
          </w:p>
        </w:tc>
      </w:tr>
      <w:tr w:rsidR="000E4A68" w:rsidRPr="00377D59" w14:paraId="644FC967" w14:textId="77777777" w:rsidTr="001E3BA9">
        <w:trPr>
          <w:trHeight w:val="510"/>
        </w:trPr>
        <w:tc>
          <w:tcPr>
            <w:tcW w:w="5382" w:type="dxa"/>
            <w:vAlign w:val="center"/>
            <w:hideMark/>
          </w:tcPr>
          <w:p w14:paraId="1BA330A0" w14:textId="77777777" w:rsidR="000E4A68" w:rsidRPr="00EB7ACF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egyes köznevelési feladatainak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8D28C3" w14:textId="460C4095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61BB58" w14:textId="5F166127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5D1E80" w14:textId="789A0AE1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767CDD1" w14:textId="48A0414A" w:rsidR="000E4A68" w:rsidRPr="000E4A68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113,5</w:t>
            </w:r>
          </w:p>
        </w:tc>
      </w:tr>
      <w:tr w:rsidR="000E4A68" w:rsidRPr="00377D59" w14:paraId="11F06AEB" w14:textId="77777777" w:rsidTr="001E3BA9">
        <w:trPr>
          <w:trHeight w:val="510"/>
        </w:trPr>
        <w:tc>
          <w:tcPr>
            <w:tcW w:w="5382" w:type="dxa"/>
            <w:vAlign w:val="center"/>
            <w:hideMark/>
          </w:tcPr>
          <w:p w14:paraId="63EE65A2" w14:textId="77777777" w:rsidR="000E4A68" w:rsidRPr="00EB7ACF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egyes szociális, gyermekjóléti és gyermekétkeztetési feladatainak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BDE34C" w14:textId="46F58EEC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C5C695" w14:textId="5578C1CF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601228" w14:textId="14B00662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4A53BB5" w14:textId="3FF18B75" w:rsidR="000E4A68" w:rsidRPr="000E4A68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108,4</w:t>
            </w:r>
          </w:p>
        </w:tc>
      </w:tr>
      <w:tr w:rsidR="000E4A68" w:rsidRPr="00377D59" w14:paraId="1FC403F4" w14:textId="77777777" w:rsidTr="001E3BA9">
        <w:trPr>
          <w:trHeight w:val="340"/>
        </w:trPr>
        <w:tc>
          <w:tcPr>
            <w:tcW w:w="5382" w:type="dxa"/>
            <w:vAlign w:val="center"/>
            <w:hideMark/>
          </w:tcPr>
          <w:p w14:paraId="4F427CE2" w14:textId="77777777" w:rsidR="000E4A68" w:rsidRPr="00EB7ACF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települési önkormányzatok kulturális feladatainak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BDB6D4" w14:textId="307FE7A3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1BBCDB" w14:textId="35E633C7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28EF3A" w14:textId="5B5D31C8" w:rsidR="000E4A68" w:rsidRPr="000E4A68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96E83D2" w14:textId="214BB35A" w:rsidR="000E4A68" w:rsidRPr="000E4A68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A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0E4A68" w:rsidRPr="00377D59" w14:paraId="44EF96BF" w14:textId="77777777" w:rsidTr="001E3BA9">
        <w:trPr>
          <w:trHeight w:val="340"/>
        </w:trPr>
        <w:tc>
          <w:tcPr>
            <w:tcW w:w="5382" w:type="dxa"/>
            <w:vAlign w:val="center"/>
            <w:hideMark/>
          </w:tcPr>
          <w:p w14:paraId="3DD87A70" w14:textId="766307B5" w:rsidR="000E4A68" w:rsidRPr="00EB7ACF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Helyi önkormányzatok kiegészítő támogatása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DDE983" w14:textId="702C5A89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5423BA" w14:textId="709A279D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EB67F0" w14:textId="64EE96F6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FFF6C6E" w14:textId="30224EFC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139,8</w:t>
            </w:r>
          </w:p>
        </w:tc>
      </w:tr>
      <w:tr w:rsidR="000E4A68" w:rsidRPr="00377D59" w14:paraId="648C3F54" w14:textId="77777777" w:rsidTr="001E3BA9">
        <w:trPr>
          <w:trHeight w:val="340"/>
        </w:trPr>
        <w:tc>
          <w:tcPr>
            <w:tcW w:w="5382" w:type="dxa"/>
            <w:vAlign w:val="center"/>
            <w:hideMark/>
          </w:tcPr>
          <w:p w14:paraId="3676EE9C" w14:textId="4925EF27" w:rsidR="000E4A68" w:rsidRPr="00EB7ACF" w:rsidRDefault="3C87A00B" w:rsidP="3C87A00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 közben létrejött új jogcímek kiadásai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ACAC9E" w14:textId="2F3CD770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="239528D4" w:rsidRPr="00FA1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66E9FC" w14:textId="4C21BEE0" w:rsidR="000E4A68" w:rsidRPr="000E4A68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2B586A" w14:textId="45A47363" w:rsidR="000E4A68" w:rsidRPr="000E4A68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FA16EC"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FA1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EEBBBB0" w14:textId="50EB78E7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78,0</w:t>
            </w:r>
          </w:p>
        </w:tc>
      </w:tr>
      <w:tr w:rsidR="000E4A68" w:rsidRPr="00377D59" w14:paraId="60064293" w14:textId="77777777" w:rsidTr="001E3BA9">
        <w:trPr>
          <w:trHeight w:val="340"/>
        </w:trPr>
        <w:tc>
          <w:tcPr>
            <w:tcW w:w="5382" w:type="dxa"/>
            <w:noWrap/>
            <w:vAlign w:val="center"/>
            <w:hideMark/>
          </w:tcPr>
          <w:p w14:paraId="73666509" w14:textId="770E1DDA" w:rsidR="000E4A68" w:rsidRPr="00EB7ACF" w:rsidRDefault="3C87A00B" w:rsidP="3C87A0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3EFD36" w14:textId="748A0AE2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1138</w:t>
            </w:r>
            <w:r w:rsidR="239528D4" w:rsidRPr="00FA1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84CCAC" w14:textId="6ED07F8D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1257,7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ACA3FA" w14:textId="4FBA4360" w:rsidR="000E4A68" w:rsidRPr="000E4A68" w:rsidRDefault="00FA16EC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119,4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C1B57DC" w14:textId="37B79D28" w:rsidR="000E4A68" w:rsidRPr="000E4A68" w:rsidRDefault="239528D4" w:rsidP="239528D4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A1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110,</w:t>
            </w:r>
            <w:r w:rsidR="00FA16EC" w:rsidRPr="00FA1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bookmarkEnd w:id="0"/>
    <w:p w14:paraId="294CBB33" w14:textId="03EB0BAB" w:rsidR="74B9DF17" w:rsidRPr="00CD1AC2" w:rsidRDefault="691A06BB" w:rsidP="251DAD54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91A06BB">
        <w:rPr>
          <w:rFonts w:ascii="Times New Roman" w:eastAsia="Times New Roman" w:hAnsi="Times New Roman" w:cs="Times New Roman"/>
          <w:b/>
          <w:bCs/>
          <w:sz w:val="26"/>
          <w:szCs w:val="26"/>
        </w:rPr>
        <w:t>Uniós programok kiadásai</w:t>
      </w:r>
      <w:r w:rsidRPr="691A06B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mérlegsoron 2025.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1925,3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milliárd forint összegű kifizetés történt, amely a törvényi előirányzat (3023,8 milliárd forint)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63,7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%-os teljesítését jelenti. A felmerült kiadások jelentős részét a 2021-2027-es Széchenyi </w:t>
      </w:r>
      <w:r w:rsidR="0018560D">
        <w:rPr>
          <w:rFonts w:ascii="Times New Roman" w:eastAsia="Times New Roman" w:hAnsi="Times New Roman" w:cs="Times New Roman"/>
          <w:sz w:val="26"/>
          <w:szCs w:val="26"/>
        </w:rPr>
        <w:t xml:space="preserve">Terv 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>Plusz programjai adták.</w:t>
      </w:r>
    </w:p>
    <w:p w14:paraId="6ABC464B" w14:textId="4D5CB4B2" w:rsidR="74B9DF17" w:rsidRPr="00CD1AC2" w:rsidRDefault="3C87A00B" w:rsidP="3C87A00B">
      <w:pPr>
        <w:spacing w:befor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 legnagyobb összegű kifizetéseket ezen időszakban a Széchenyi Terv Plusz operatív programok közül az Emberi Erőforrás Fejlesztési OP Plusz (EFOP Plusz) és a Terület- és Településfejlesztési OP (TOP Plusz) teljesítette. Kiemelkedők továbbá a Vidékfejlesztési Program és a KAP Stratégiai Terv Vidékfejlesztési Intézkedéseinek kifizetése.</w:t>
      </w:r>
    </w:p>
    <w:p w14:paraId="0EE0B389" w14:textId="0B4FBC4D" w:rsidR="029C2633" w:rsidRPr="00CD1AC2" w:rsidRDefault="6DEE8A84" w:rsidP="6DEE8A84">
      <w:pPr>
        <w:keepLines/>
        <w:spacing w:befor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DEE8A84">
        <w:rPr>
          <w:rFonts w:ascii="Times New Roman" w:eastAsia="Times New Roman" w:hAnsi="Times New Roman" w:cs="Times New Roman"/>
          <w:b/>
          <w:bCs/>
          <w:sz w:val="26"/>
          <w:szCs w:val="26"/>
        </w:rPr>
        <w:t>állami vagyonnal kapcsolatos kiadások</w:t>
      </w: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 2025 első </w:t>
      </w:r>
      <w:r w:rsidR="069D33D9" w:rsidRPr="069D33D9">
        <w:rPr>
          <w:rFonts w:ascii="Times New Roman" w:eastAsia="Times New Roman" w:hAnsi="Times New Roman" w:cs="Times New Roman"/>
          <w:sz w:val="26"/>
          <w:szCs w:val="26"/>
        </w:rPr>
        <w:t>tizenegy havi</w:t>
      </w:r>
      <w:r w:rsidRPr="6DEE8A84">
        <w:rPr>
          <w:rFonts w:ascii="Times New Roman" w:eastAsia="Times New Roman" w:hAnsi="Times New Roman" w:cs="Times New Roman"/>
          <w:sz w:val="26"/>
          <w:szCs w:val="26"/>
        </w:rPr>
        <w:t xml:space="preserve"> összege </w:t>
      </w:r>
      <w:r w:rsidR="069D33D9" w:rsidRPr="069D33D9">
        <w:rPr>
          <w:rFonts w:ascii="Times New Roman" w:eastAsia="Times New Roman" w:hAnsi="Times New Roman" w:cs="Times New Roman"/>
          <w:sz w:val="26"/>
          <w:szCs w:val="26"/>
        </w:rPr>
        <w:t>649,3</w:t>
      </w:r>
      <w:r w:rsidRPr="6DEE8A84">
        <w:rPr>
          <w:rFonts w:ascii="Times New Roman" w:eastAsia="Times New Roman" w:hAnsi="Times New Roman" w:cs="Times New Roman"/>
          <w:sz w:val="26"/>
          <w:szCs w:val="26"/>
        </w:rPr>
        <w:t> milliárd forint volt, amelynek meghatározó része ingatlanokhoz kapcsolódóan került kifizetésre.</w:t>
      </w:r>
    </w:p>
    <w:p w14:paraId="4D36018A" w14:textId="760B16A4" w:rsidR="000B49AE" w:rsidRPr="00377D59" w:rsidRDefault="009F5DC5" w:rsidP="000B49A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2708738" wp14:editId="7A58DF11">
            <wp:extent cx="5312792" cy="3357880"/>
            <wp:effectExtent l="0" t="0" r="2540" b="0"/>
            <wp:docPr id="203102621" name="Kép 1" descr="A képen szöveg, képernyőkép, sor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2621" name="Kép 1" descr="A képen szöveg, képernyőkép, sor, Diagram látható&#10;&#10;Előfordulhat, hogy a mesterséges intelligencia által létrehozott tartalom helytele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5016" cy="337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26D3" w14:textId="3DB7B91F" w:rsidR="5B67C7D7" w:rsidRPr="00CB07DE" w:rsidRDefault="2D9251E6" w:rsidP="2D9251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D9251E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</w:t>
      </w:r>
      <w:r w:rsidRPr="2D9251E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állami beruházási fejezet kiadásait 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alapvetően az egyes projektek előrehaladása határozza meg. 2025 első 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tizenegy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 hónapjában 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374,9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 milliárd forint kiadás teljesült, amely jelentősen alacsonyabb a 2024 azonos időszakában teljesültekhez képest, 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amelyet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 xml:space="preserve"> főként az állami közútfejlesztési 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 xml:space="preserve">és az egyedi magasépítési 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>beruházások előző évihez képest alacsonyabb teljesítménye okoz. A kifizetések nagy része az állami közútfejlesztési beruházásokhoz (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228,0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> milliárd forint), az európai uniós forrásokból megvalósuló beruházásokhoz (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106,6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> milliárd forint) és az egyedi magasépítési beruházásokhoz (</w:t>
      </w:r>
      <w:r w:rsidR="198A79AC" w:rsidRPr="198A79AC">
        <w:rPr>
          <w:rFonts w:ascii="Times New Roman" w:eastAsia="Times New Roman" w:hAnsi="Times New Roman" w:cs="Times New Roman"/>
          <w:sz w:val="26"/>
          <w:szCs w:val="26"/>
        </w:rPr>
        <w:t>25,8</w:t>
      </w:r>
      <w:r w:rsidRPr="2D9251E6">
        <w:rPr>
          <w:rFonts w:ascii="Times New Roman" w:eastAsia="Times New Roman" w:hAnsi="Times New Roman" w:cs="Times New Roman"/>
          <w:sz w:val="26"/>
          <w:szCs w:val="26"/>
        </w:rPr>
        <w:t> milliárd forint) kapcsolódtak</w:t>
      </w:r>
      <w:r w:rsidRPr="2D9251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CEA5E" w14:textId="6B2B5B49" w:rsidR="00C224F5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egyéb kiadások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2025. évi első </w:t>
      </w:r>
      <w:r w:rsidR="009F5DC5">
        <w:rPr>
          <w:rFonts w:ascii="Times New Roman" w:eastAsia="Times New Roman" w:hAnsi="Times New Roman" w:cs="Times New Roman"/>
          <w:sz w:val="26"/>
          <w:szCs w:val="26"/>
        </w:rPr>
        <w:t>tizenegy</w:t>
      </w:r>
      <w:r w:rsidR="001856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5DC5">
        <w:rPr>
          <w:rFonts w:ascii="Times New Roman" w:eastAsia="Times New Roman" w:hAnsi="Times New Roman" w:cs="Times New Roman"/>
          <w:sz w:val="26"/>
          <w:szCs w:val="26"/>
        </w:rPr>
        <w:t>havi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teljesítése </w:t>
      </w:r>
      <w:r w:rsidR="009F5DC5">
        <w:rPr>
          <w:rFonts w:ascii="Times New Roman" w:eastAsia="Times New Roman" w:hAnsi="Times New Roman" w:cs="Times New Roman"/>
          <w:sz w:val="26"/>
          <w:szCs w:val="26"/>
        </w:rPr>
        <w:t>595,5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 forint lett, ami </w:t>
      </w:r>
      <w:r w:rsidR="009F5DC5">
        <w:rPr>
          <w:rFonts w:ascii="Times New Roman" w:eastAsia="Times New Roman" w:hAnsi="Times New Roman" w:cs="Times New Roman"/>
          <w:sz w:val="26"/>
          <w:szCs w:val="26"/>
        </w:rPr>
        <w:t>63,2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 forinttal magasabban alakult az előző év azonos időszakához képest. </w:t>
      </w:r>
    </w:p>
    <w:p w14:paraId="15F013A7" w14:textId="61FF9710" w:rsidR="74B9DF17" w:rsidRDefault="691A06BB" w:rsidP="691A06B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691A06BB">
        <w:rPr>
          <w:rFonts w:ascii="Times New Roman" w:eastAsia="Times New Roman" w:hAnsi="Times New Roman" w:cs="Times New Roman"/>
          <w:b/>
          <w:bCs/>
          <w:sz w:val="26"/>
          <w:szCs w:val="26"/>
        </w:rPr>
        <w:t>Hozzájárulás az EU költségvetéséhez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mérlegsoron 2025.</w:t>
      </w:r>
      <w:r w:rsidR="0018560D">
        <w:rPr>
          <w:rFonts w:ascii="Times New Roman" w:eastAsia="Times New Roman" w:hAnsi="Times New Roman" w:cs="Times New Roman"/>
          <w:sz w:val="26"/>
          <w:szCs w:val="26"/>
        </w:rPr>
        <w:t> 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="0018560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végéig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656,7</w:t>
      </w:r>
      <w:r w:rsidR="009F5DC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milliárd forint kiadás teljesült, ami a törvényi előirányzat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94,1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%-a. E hozzájárulás </w:t>
      </w:r>
      <w:r w:rsidR="251DAD54" w:rsidRPr="251DAD54">
        <w:rPr>
          <w:rFonts w:ascii="Times New Roman" w:eastAsia="Times New Roman" w:hAnsi="Times New Roman" w:cs="Times New Roman"/>
          <w:sz w:val="26"/>
          <w:szCs w:val="26"/>
        </w:rPr>
        <w:t>62,7</w:t>
      </w:r>
      <w:r w:rsidRPr="691A06BB">
        <w:rPr>
          <w:rFonts w:ascii="Times New Roman" w:eastAsia="Times New Roman" w:hAnsi="Times New Roman" w:cs="Times New Roman"/>
          <w:sz w:val="26"/>
          <w:szCs w:val="26"/>
        </w:rPr>
        <w:t xml:space="preserve"> milliárd forinttal haladja meg a 2024. év azonos időszakában teljesített kiadásokat.</w:t>
      </w:r>
    </w:p>
    <w:p w14:paraId="0F5A0F03" w14:textId="12C6EC97" w:rsidR="6462B5A6" w:rsidRPr="00920F4D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Nemzeti Kutatási, Fejlesztési és Innovációs Alapból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(NKFI Alap) 2025. </w:t>
      </w:r>
      <w:r w:rsidR="00E96D02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="00334D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végéig </w:t>
      </w:r>
      <w:r w:rsidR="00334D9F">
        <w:rPr>
          <w:rFonts w:ascii="Times New Roman" w:eastAsia="Times New Roman" w:hAnsi="Times New Roman" w:cs="Times New Roman"/>
          <w:sz w:val="26"/>
          <w:szCs w:val="26"/>
        </w:rPr>
        <w:t>1</w:t>
      </w:r>
      <w:r w:rsidR="00E96D02">
        <w:rPr>
          <w:rFonts w:ascii="Times New Roman" w:eastAsia="Times New Roman" w:hAnsi="Times New Roman" w:cs="Times New Roman"/>
          <w:sz w:val="26"/>
          <w:szCs w:val="26"/>
        </w:rPr>
        <w:t>11,4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 forint kiadás teljesült, ami </w:t>
      </w:r>
      <w:r w:rsidR="00E96D02">
        <w:rPr>
          <w:rFonts w:ascii="Times New Roman" w:eastAsia="Times New Roman" w:hAnsi="Times New Roman" w:cs="Times New Roman"/>
          <w:sz w:val="26"/>
          <w:szCs w:val="26"/>
        </w:rPr>
        <w:t>7,1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 milliárd forinttal kevesebb kifizetést jelent a 2024. évi azonos időszak teljesítéséhez képest. </w:t>
      </w:r>
    </w:p>
    <w:p w14:paraId="17605E21" w14:textId="0C00C918" w:rsidR="6462B5A6" w:rsidRPr="00CB07DE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Nemzeti Foglalkoztatási Alap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(NFA) kiadásai esetében a Start-munkaprogramra összesen 1</w:t>
      </w:r>
      <w:r w:rsidR="00D21C70">
        <w:rPr>
          <w:rFonts w:ascii="Times New Roman" w:eastAsia="Times New Roman" w:hAnsi="Times New Roman" w:cs="Times New Roman"/>
          <w:sz w:val="26"/>
          <w:szCs w:val="26"/>
        </w:rPr>
        <w:t>23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,3 milliárd forint teljesült. Az uniós elő- és társfinanszírozásra </w:t>
      </w:r>
      <w:r w:rsidR="00D21C70">
        <w:rPr>
          <w:rFonts w:ascii="Times New Roman" w:eastAsia="Times New Roman" w:hAnsi="Times New Roman" w:cs="Times New Roman"/>
          <w:sz w:val="26"/>
          <w:szCs w:val="26"/>
        </w:rPr>
        <w:t>71,7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> milliárd forintot fordítottak.</w:t>
      </w:r>
    </w:p>
    <w:p w14:paraId="76B18BB1" w14:textId="3AFC2995" w:rsidR="123EFD2F" w:rsidRPr="00CB07DE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Bethlen Gábor Alapból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(BGA) az év első </w:t>
      </w:r>
      <w:r w:rsidR="1FFBA893" w:rsidRPr="1FFBA893">
        <w:rPr>
          <w:rFonts w:ascii="Times New Roman" w:eastAsia="Times New Roman" w:hAnsi="Times New Roman" w:cs="Times New Roman"/>
          <w:sz w:val="26"/>
          <w:szCs w:val="26"/>
        </w:rPr>
        <w:t>tizenegy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hónapjában összesen </w:t>
      </w:r>
      <w:r w:rsidR="1FFBA893" w:rsidRPr="1FFBA893">
        <w:rPr>
          <w:rFonts w:ascii="Times New Roman" w:eastAsia="Times New Roman" w:hAnsi="Times New Roman" w:cs="Times New Roman"/>
          <w:sz w:val="26"/>
          <w:szCs w:val="26"/>
        </w:rPr>
        <w:t xml:space="preserve">83,0 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>milliárd forint kiadás teljesült. Az alapból nyújtott támogatások a BGA irányítását ellátó Bizottság döntései alapján, ütemezetten kerültek kifizetésre.</w:t>
      </w:r>
    </w:p>
    <w:p w14:paraId="51683CC2" w14:textId="5D5DD58C" w:rsidR="00043E49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70631177">
        <w:rPr>
          <w:rFonts w:ascii="Times New Roman" w:eastAsia="Times New Roman" w:hAnsi="Times New Roman" w:cs="Times New Roman"/>
          <w:b/>
          <w:bCs/>
          <w:sz w:val="26"/>
          <w:szCs w:val="26"/>
        </w:rPr>
        <w:t>Nyugdíjbiztosítási Alap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nyugellátási kiadásai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6113,1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 milliárd forintban teljesültek, ami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385,</w:t>
      </w:r>
      <w:r w:rsidR="007870CF">
        <w:rPr>
          <w:rFonts w:ascii="Times New Roman" w:eastAsia="Times New Roman" w:hAnsi="Times New Roman" w:cs="Times New Roman"/>
          <w:sz w:val="26"/>
          <w:szCs w:val="26"/>
        </w:rPr>
        <w:t>4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 milliárd forinttal haladta meg az előző év azonos időszakának teljesítési adatait. A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6,7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%-os kiadásnövekedést a tárgyév január hónapban végrehajtott inflációkövető nyugdíjemelés hatása,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 xml:space="preserve">illetve a tárgyév novemberi kiegészítő nyugdíjemelés kiadásnövelő hatása, 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valamint az eltelt időszakban bekövetkezett létszámváltozás és cserélődés együttes hatása eredményezte.</w:t>
      </w:r>
    </w:p>
    <w:p w14:paraId="26EFB518" w14:textId="537C5D15" w:rsidR="00043E49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Február hónapban több mint 2 millió öregségi nyugdíjban és hozzátartozói nyugellátásban részesülő személy részére folyósítottak 13. havi nyugdíjat. A 13. havi nyugdíj Nyugdíjbiztosítási Alapot terhelő kiadása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végéig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501,4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 milliárd forint volt, ami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29,6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 milliárd forinttal haladta meg az előző év azonos időszakában ezen a jogcímen teljesített kiadások összegét.</w:t>
      </w:r>
    </w:p>
    <w:p w14:paraId="08D09E62" w14:textId="24DC404E" w:rsidR="021DF365" w:rsidRDefault="021DF365" w:rsidP="021DF36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21DF365">
        <w:rPr>
          <w:rFonts w:ascii="Times New Roman" w:eastAsia="Times New Roman" w:hAnsi="Times New Roman" w:cs="Times New Roman"/>
          <w:sz w:val="26"/>
          <w:szCs w:val="26"/>
        </w:rPr>
        <w:t>A novemberi kiegészítő nyugdíjemelés 1,6%-os emelésének Nyugdíjbiztosítási Alapot terhelő kiadásnövelő hatása novemberben meghaladta a 90</w:t>
      </w:r>
      <w:r w:rsidR="007870CF">
        <w:rPr>
          <w:rFonts w:ascii="Times New Roman" w:eastAsia="Times New Roman" w:hAnsi="Times New Roman" w:cs="Times New Roman"/>
          <w:sz w:val="26"/>
          <w:szCs w:val="26"/>
        </w:rPr>
        <w:t>,0</w:t>
      </w:r>
      <w:r w:rsidRPr="021DF365">
        <w:rPr>
          <w:rFonts w:ascii="Times New Roman" w:eastAsia="Times New Roman" w:hAnsi="Times New Roman" w:cs="Times New Roman"/>
          <w:sz w:val="26"/>
          <w:szCs w:val="26"/>
        </w:rPr>
        <w:t xml:space="preserve"> milliárd forintot.</w:t>
      </w:r>
    </w:p>
    <w:p w14:paraId="168226B1" w14:textId="7805BF6C" w:rsidR="00D72777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Az első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tizenegy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hónap adatai alapján a nyugellátási kiadásokon belül a korbetöltött öregségi nyugellátások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7,3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%-kal, a nők 40 év jogosultsági idővel igénybe vehető öregségi nyugdíja („nők 40”) pedig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4,7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%-kal haladta meg az előző év azonos időszakának kiadásait.</w:t>
      </w:r>
    </w:p>
    <w:p w14:paraId="0F073B32" w14:textId="5C707C90" w:rsidR="00C35E13" w:rsidRDefault="00C54B21" w:rsidP="00C54B21">
      <w:pPr>
        <w:pStyle w:val="NormlWeb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6267811E" wp14:editId="11E252C6">
            <wp:extent cx="5940425" cy="2484000"/>
            <wp:effectExtent l="0" t="0" r="3175" b="0"/>
            <wp:docPr id="2138666446" name="Kép 1" descr="A képen szöveg, diagram, képernyőkép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66446" name="Kép 1" descr="A képen szöveg, diagram, képernyőkép, Betűtípus látható&#10;&#10;Előfordulhat, hogy a mesterséges intelligencia által létrehozott tartalom helytelen."/>
                    <pic:cNvPicPr/>
                  </pic:nvPicPr>
                  <pic:blipFill rotWithShape="1">
                    <a:blip r:embed="rId20"/>
                    <a:srcRect b="8879"/>
                    <a:stretch/>
                  </pic:blipFill>
                  <pic:spPr bwMode="auto">
                    <a:xfrm>
                      <a:off x="0" y="0"/>
                      <a:ext cx="5940425" cy="24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74D45" w14:textId="2AD9EC03" w:rsidR="00884EDC" w:rsidRPr="00CB07DE" w:rsidRDefault="70631177" w:rsidP="00C54B21">
      <w:pPr>
        <w:spacing w:before="100" w:before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>Az öregségi nyugdíjban részesülők 2025. 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november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havi </w:t>
      </w:r>
      <w:r w:rsidRPr="70631177">
        <w:rPr>
          <w:rFonts w:ascii="Times New Roman" w:eastAsia="Times New Roman" w:hAnsi="Times New Roman" w:cs="Times New Roman"/>
          <w:b/>
          <w:bCs/>
          <w:sz w:val="26"/>
          <w:szCs w:val="26"/>
        </w:rPr>
        <w:t>átlagos statisztikai állományi létszáma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kis mértékben növekedett,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5358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 fővel haladta meg az előző év azonos időszakának létszámát, ez mintegy 2 millió főt jelent. Az öregségi nyugdíjban részesülők létszámán belül a nők kedvezményes nyugdíjában részesülők (korhatár alattiak) létszáma a korhatárbetöltés, az újonnan belépők és az elhalálozás együttes hatásaként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4306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 fővel csökkent a 2024. 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novemberi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 adathoz képest, jelenleg 137 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526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 fő veszi igénybe a „nők 40” kedvezményes nyugdíját.</w:t>
      </w:r>
    </w:p>
    <w:p w14:paraId="61DC0A5C" w14:textId="6223F1DD" w:rsidR="00884EDC" w:rsidRPr="00CB07DE" w:rsidRDefault="70631177" w:rsidP="7063117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70631177">
        <w:rPr>
          <w:rFonts w:ascii="Times New Roman" w:eastAsia="Times New Roman" w:hAnsi="Times New Roman" w:cs="Times New Roman"/>
          <w:sz w:val="26"/>
          <w:szCs w:val="26"/>
        </w:rPr>
        <w:t xml:space="preserve">Az öregségi nyugdíjak átlagos havi összege egy év alatt 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16</w:t>
      </w:r>
      <w:r w:rsidR="007870CF">
        <w:rPr>
          <w:rFonts w:ascii="Times New Roman" w:eastAsia="Times New Roman" w:hAnsi="Times New Roman" w:cs="Times New Roman"/>
          <w:sz w:val="26"/>
          <w:szCs w:val="26"/>
        </w:rPr>
        <w:t> 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125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 forinttal emelkedett, 2025.</w:t>
      </w:r>
      <w:r w:rsidR="00C54B21">
        <w:rPr>
          <w:rFonts w:ascii="Times New Roman" w:eastAsia="Times New Roman" w:hAnsi="Times New Roman" w:cs="Times New Roman"/>
          <w:sz w:val="26"/>
          <w:szCs w:val="26"/>
        </w:rPr>
        <w:t> </w:t>
      </w:r>
      <w:r w:rsidR="021DF365" w:rsidRPr="021DF365">
        <w:rPr>
          <w:rFonts w:ascii="Times New Roman" w:eastAsia="Times New Roman" w:hAnsi="Times New Roman" w:cs="Times New Roman"/>
          <w:sz w:val="26"/>
          <w:szCs w:val="26"/>
        </w:rPr>
        <w:t>novemberben 250 290</w:t>
      </w:r>
      <w:r w:rsidRPr="70631177">
        <w:rPr>
          <w:rFonts w:ascii="Times New Roman" w:eastAsia="Times New Roman" w:hAnsi="Times New Roman" w:cs="Times New Roman"/>
          <w:sz w:val="26"/>
          <w:szCs w:val="26"/>
        </w:rPr>
        <w:t> forint volt.</w:t>
      </w:r>
    </w:p>
    <w:p w14:paraId="725BF303" w14:textId="60C58C4B" w:rsidR="7BF38582" w:rsidRDefault="3C87A00B" w:rsidP="3C87A00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Az ellátások egy főre jutó havi átlagos összege az egyes ellátotti jogcímeken belül az előző év azonos időszakával összehasonlítva az alábbiak szerint növekedett.</w:t>
      </w:r>
    </w:p>
    <w:p w14:paraId="503DFEB7" w14:textId="3906E51D" w:rsidR="00EF1F5B" w:rsidRDefault="00C05249" w:rsidP="002D6802">
      <w:pPr>
        <w:pStyle w:val="Norm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8904A7F" wp14:editId="2E93F327">
            <wp:extent cx="5583106" cy="3600000"/>
            <wp:effectExtent l="0" t="0" r="0" b="635"/>
            <wp:docPr id="1019681453" name="Kép 1" descr="A képen szöveg, képernyőkép, Betűtípus, szá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81453" name="Kép 1" descr="A képen szöveg, képernyőkép, Betűtípus, szám látható&#10;&#10;Előfordulhat, hogy a mesterséges intelligencia által létrehozott tartalom helytelen."/>
                    <pic:cNvPicPr/>
                  </pic:nvPicPr>
                  <pic:blipFill rotWithShape="1">
                    <a:blip r:embed="rId21"/>
                    <a:srcRect b="3840"/>
                    <a:stretch/>
                  </pic:blipFill>
                  <pic:spPr bwMode="auto">
                    <a:xfrm>
                      <a:off x="0" y="0"/>
                      <a:ext cx="5596700" cy="3608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9DB9C" w14:textId="246CB37A" w:rsidR="0022104D" w:rsidRDefault="00D33920" w:rsidP="00A31F84">
      <w:pPr>
        <w:widowControl w:val="0"/>
        <w:spacing w:before="2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br w:type="column"/>
      </w:r>
      <w:r w:rsidR="7C285CBA" w:rsidRPr="7C285CB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Az öregségi nyugdíjban, hozzátartozói nyugellátásban részesülők jogcím szerinti megoszlásának összehasonlítását a korábbi adatokkal az alábbi ábrák mutatják. </w:t>
      </w:r>
    </w:p>
    <w:p w14:paraId="6E229341" w14:textId="0B533657" w:rsidR="00EF1F5B" w:rsidRDefault="00C05249" w:rsidP="00A31F84">
      <w:pPr>
        <w:pStyle w:val="NormlWeb"/>
        <w:widowControl w:val="0"/>
        <w:jc w:val="center"/>
      </w:pPr>
      <w:r>
        <w:rPr>
          <w:noProof/>
        </w:rPr>
        <w:drawing>
          <wp:inline distT="0" distB="0" distL="0" distR="0" wp14:anchorId="12585192" wp14:editId="0F03EBBD">
            <wp:extent cx="5940425" cy="2500630"/>
            <wp:effectExtent l="0" t="0" r="3175" b="0"/>
            <wp:docPr id="2140023713" name="Kép 1" descr="A képen szöveg, képernyőkép, Betűtípus, diagra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23713" name="Kép 1" descr="A képen szöveg, képernyőkép, Betűtípus, diagram látható&#10;&#10;Előfordulhat, hogy a mesterséges intelligencia által létrehozott tartalom helytelen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F88FB" w14:textId="558B9764" w:rsidR="00D4148C" w:rsidRPr="002B492B" w:rsidRDefault="3C87A00B" w:rsidP="3C87A00B">
      <w:pPr>
        <w:widowContro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>Egészségbiztosítási Alap kiadásainak</w:t>
      </w:r>
      <w:r w:rsidRPr="3C87A00B">
        <w:rPr>
          <w:rFonts w:ascii="Times New Roman" w:eastAsia="Times New Roman" w:hAnsi="Times New Roman" w:cs="Times New Roman"/>
          <w:sz w:val="26"/>
          <w:szCs w:val="26"/>
        </w:rPr>
        <w:t xml:space="preserve"> összetételét a következő ábra mutatja be: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7C38B59" w14:textId="22558AA3" w:rsidR="00D4148C" w:rsidRDefault="00E53B23" w:rsidP="00E53B23">
      <w:pPr>
        <w:widowControl w:val="0"/>
        <w:spacing w:after="240"/>
        <w:ind w:lef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6B44204" wp14:editId="30803258">
            <wp:extent cx="5940425" cy="2588654"/>
            <wp:effectExtent l="0" t="0" r="3175" b="2540"/>
            <wp:docPr id="626149273" name="Kép 1" descr="A képen szöveg, diagram, képernyőkép, kö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49273" name="Kép 1" descr="A képen szöveg, diagram, képernyőkép, kör látható&#10;&#10;Előfordulhat, hogy a mesterséges intelligencia által létrehozott tartalom helytelen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719" cy="2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DF989" w14:textId="38707529" w:rsidR="00CA3468" w:rsidRDefault="68A23DD0" w:rsidP="68A23DD0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8A23DD0">
        <w:rPr>
          <w:rFonts w:ascii="Times New Roman" w:eastAsia="Times New Roman" w:hAnsi="Times New Roman" w:cs="Times New Roman"/>
          <w:sz w:val="26"/>
          <w:szCs w:val="26"/>
        </w:rPr>
        <w:t xml:space="preserve">Az </w:t>
      </w:r>
      <w:r w:rsidRPr="68A23DD0">
        <w:rPr>
          <w:rFonts w:ascii="Times New Roman" w:eastAsia="Times New Roman" w:hAnsi="Times New Roman" w:cs="Times New Roman"/>
          <w:b/>
          <w:bCs/>
          <w:sz w:val="26"/>
          <w:szCs w:val="26"/>
        </w:rPr>
        <w:t>Egészségbiztosítási Alap</w:t>
      </w:r>
      <w:r w:rsidRPr="68A23DD0">
        <w:rPr>
          <w:rFonts w:ascii="Times New Roman" w:eastAsia="Times New Roman" w:hAnsi="Times New Roman" w:cs="Times New Roman"/>
          <w:sz w:val="26"/>
          <w:szCs w:val="26"/>
        </w:rPr>
        <w:t xml:space="preserve"> összes kiadásának 25,9%-át a </w:t>
      </w:r>
      <w:r w:rsidRPr="68A23DD0">
        <w:rPr>
          <w:rFonts w:ascii="Times New Roman" w:eastAsia="Times New Roman" w:hAnsi="Times New Roman" w:cs="Times New Roman"/>
          <w:b/>
          <w:bCs/>
          <w:sz w:val="26"/>
          <w:szCs w:val="26"/>
        </w:rPr>
        <w:t>pénzbeli ellátásokra</w:t>
      </w:r>
      <w:r w:rsidRPr="68A23DD0">
        <w:rPr>
          <w:rFonts w:ascii="Times New Roman" w:eastAsia="Times New Roman" w:hAnsi="Times New Roman" w:cs="Times New Roman"/>
          <w:sz w:val="26"/>
          <w:szCs w:val="26"/>
        </w:rPr>
        <w:t xml:space="preserve"> fordított összeg adta. Az ellátások részletes bemutatását a következő táblázat tartalmazza:</w:t>
      </w:r>
    </w:p>
    <w:p w14:paraId="1D31F2C8" w14:textId="3F5AAC59" w:rsidR="00DA4FBC" w:rsidRPr="001074A1" w:rsidRDefault="3C87A00B" w:rsidP="3C87A00B">
      <w:pPr>
        <w:widowControl w:val="0"/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  <w:r w:rsidRPr="3C87A00B">
        <w:rPr>
          <w:rFonts w:ascii="Times New Roman" w:eastAsia="Times New Roman" w:hAnsi="Times New Roman" w:cs="Times New Roman"/>
          <w:b/>
          <w:bCs/>
        </w:rPr>
        <w:t>Az Egészségbiztosítási Alap pénzbeli ellátásokra fordított kiadásainak alakulása (milliárd forint)</w:t>
      </w:r>
    </w:p>
    <w:tbl>
      <w:tblPr>
        <w:tblpPr w:leftFromText="141" w:rightFromText="141" w:vertAnchor="text" w:tblpXSpec="center" w:tblpY="1"/>
        <w:tblOverlap w:val="never"/>
        <w:tblW w:w="87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1209"/>
        <w:gridCol w:w="992"/>
        <w:gridCol w:w="993"/>
      </w:tblGrid>
      <w:tr w:rsidR="00E601EF" w:rsidRPr="00377D59" w14:paraId="06E6BC15" w14:textId="77777777" w:rsidTr="68A23DD0">
        <w:trPr>
          <w:trHeight w:val="34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10863DA" w14:textId="77777777" w:rsidR="00E601EF" w:rsidRPr="00377D59" w:rsidRDefault="3C87A00B" w:rsidP="3C87A0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</w:rPr>
              <w:t>Megnevezés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BB44369" w14:textId="11A125E0" w:rsidR="00E601EF" w:rsidRPr="00377D59" w:rsidRDefault="68A23DD0" w:rsidP="68A23D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8A23DD0">
              <w:rPr>
                <w:rFonts w:ascii="Times New Roman" w:eastAsia="Times New Roman" w:hAnsi="Times New Roman" w:cs="Times New Roman"/>
                <w:b/>
                <w:bCs/>
              </w:rPr>
              <w:t xml:space="preserve">2024. </w:t>
            </w:r>
            <w:r w:rsidR="239528D4">
              <w:br/>
            </w:r>
            <w:r w:rsidRPr="68A23DD0">
              <w:rPr>
                <w:rFonts w:ascii="Times New Roman" w:eastAsia="Times New Roman" w:hAnsi="Times New Roman" w:cs="Times New Roman"/>
                <w:b/>
                <w:bCs/>
              </w:rPr>
              <w:t>I-XI. hó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1BFE64" w14:textId="1C1B89CF" w:rsidR="00E601EF" w:rsidRPr="00377D59" w:rsidRDefault="68A23DD0" w:rsidP="68A23D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68A23DD0">
              <w:rPr>
                <w:rFonts w:ascii="Times New Roman" w:eastAsia="Times New Roman" w:hAnsi="Times New Roman" w:cs="Times New Roman"/>
                <w:b/>
                <w:bCs/>
              </w:rPr>
              <w:t xml:space="preserve">2025. </w:t>
            </w:r>
            <w:r w:rsidR="239528D4">
              <w:br/>
            </w:r>
            <w:r w:rsidRPr="68A23DD0">
              <w:rPr>
                <w:rFonts w:ascii="Times New Roman" w:eastAsia="Times New Roman" w:hAnsi="Times New Roman" w:cs="Times New Roman"/>
                <w:b/>
                <w:bCs/>
              </w:rPr>
              <w:t>I-XI. hó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EFB39D6" w14:textId="77777777" w:rsidR="00E601EF" w:rsidRPr="00377D59" w:rsidRDefault="3C87A00B" w:rsidP="3C87A0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</w:rPr>
              <w:t>Eltérés</w:t>
            </w:r>
          </w:p>
        </w:tc>
      </w:tr>
      <w:tr w:rsidR="00E601EF" w:rsidRPr="00377D59" w14:paraId="67C6C54B" w14:textId="77777777" w:rsidTr="68A23DD0">
        <w:trPr>
          <w:trHeight w:val="34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CA367D" w14:textId="77777777" w:rsidR="00E601EF" w:rsidRPr="00377D59" w:rsidRDefault="00E601EF" w:rsidP="00A31F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499307A" w14:textId="77777777" w:rsidR="00E601EF" w:rsidRPr="00377D59" w:rsidRDefault="00E601EF" w:rsidP="00A31F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E594B6" w14:textId="77777777" w:rsidR="00E601EF" w:rsidRPr="00377D59" w:rsidRDefault="00E601EF" w:rsidP="00A31F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986BC2B" w14:textId="77777777" w:rsidR="00E601EF" w:rsidRPr="00377D59" w:rsidRDefault="3C87A00B" w:rsidP="3C87A0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Mrd Ft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0EDA458" w14:textId="77777777" w:rsidR="00E601EF" w:rsidRPr="00377D59" w:rsidRDefault="3C87A00B" w:rsidP="3C87A0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%</w:t>
            </w:r>
          </w:p>
        </w:tc>
      </w:tr>
      <w:tr w:rsidR="00494D4B" w:rsidRPr="00377D59" w14:paraId="0F7FB8C0" w14:textId="77777777" w:rsidTr="68A23DD0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BBDE" w14:textId="77777777" w:rsidR="00494D4B" w:rsidRPr="00377D59" w:rsidRDefault="3C87A00B" w:rsidP="3C87A00B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0386" w14:textId="29695FC9" w:rsidR="00494D4B" w:rsidRPr="001074A1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1067,0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F748" w14:textId="257CE002" w:rsidR="00494D4B" w:rsidRPr="001074A1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698F" w14:textId="52A54D15" w:rsidR="00494D4B" w:rsidRPr="001074A1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7C13" w14:textId="7526C92E" w:rsidR="00494D4B" w:rsidRPr="001074A1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107,8</w:t>
            </w:r>
          </w:p>
        </w:tc>
      </w:tr>
      <w:tr w:rsidR="00494D4B" w:rsidRPr="00377D59" w14:paraId="07715518" w14:textId="77777777" w:rsidTr="68A23DD0">
        <w:trPr>
          <w:trHeight w:val="2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5B0B" w14:textId="77777777" w:rsidR="00494D4B" w:rsidRPr="003D21B5" w:rsidRDefault="3C87A00B" w:rsidP="3C87A00B">
            <w:pPr>
              <w:widowControl w:val="0"/>
              <w:spacing w:after="0" w:line="240" w:lineRule="auto"/>
              <w:ind w:firstLine="285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Ebből: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7ECC" w14:textId="007D4839" w:rsidR="00494D4B" w:rsidRPr="003D21B5" w:rsidRDefault="239528D4" w:rsidP="239528D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494D4B" w:rsidRPr="00377D59" w14:paraId="72B9616A" w14:textId="77777777" w:rsidTr="68A23DD0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2C4C" w14:textId="77777777" w:rsidR="00494D4B" w:rsidRPr="003D21B5" w:rsidRDefault="3C87A00B" w:rsidP="3C87A00B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lang w:eastAsia="hu-HU"/>
              </w:rPr>
              <w:t>Rokkantsági, rehabilitációs ellátások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2A63" w14:textId="64EC6869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369,0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FC73" w14:textId="678A78E2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394,5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6B24" w14:textId="5630EB4D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3A17" w14:textId="3DD3DC96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106,9</w:t>
            </w:r>
          </w:p>
        </w:tc>
      </w:tr>
      <w:tr w:rsidR="00494D4B" w:rsidRPr="00377D59" w14:paraId="778FD915" w14:textId="77777777" w:rsidTr="68A23DD0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1046" w14:textId="4891E4FD" w:rsidR="00494D4B" w:rsidRPr="003D21B5" w:rsidRDefault="3C87A00B" w:rsidP="3C87A00B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lang w:eastAsia="hu-HU"/>
              </w:rPr>
              <w:t>Gyermekgondozási díj és örökbefogadói díj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3582" w14:textId="570E56ED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346,2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7B2A" w14:textId="496693D7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363,5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EA46" w14:textId="2F7EAEDB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A6E8D" w14:textId="6129418B" w:rsidR="00494D4B" w:rsidRPr="003D21B5" w:rsidRDefault="239528D4" w:rsidP="239528D4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239528D4">
              <w:rPr>
                <w:rFonts w:ascii="Times New Roman" w:eastAsia="Times New Roman" w:hAnsi="Times New Roman" w:cs="Times New Roman"/>
                <w:lang w:eastAsia="hu-HU"/>
              </w:rPr>
              <w:t>105,0</w:t>
            </w:r>
          </w:p>
        </w:tc>
      </w:tr>
      <w:tr w:rsidR="00494D4B" w:rsidRPr="00377D59" w14:paraId="7D62EFFD" w14:textId="77777777" w:rsidTr="68A23DD0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DDE" w14:textId="77777777" w:rsidR="00494D4B" w:rsidRPr="003D21B5" w:rsidRDefault="3C87A00B" w:rsidP="3C87A00B">
            <w:pPr>
              <w:widowControl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lang w:eastAsia="hu-HU"/>
              </w:rPr>
            </w:pPr>
            <w:r w:rsidRPr="3C87A00B">
              <w:rPr>
                <w:rFonts w:ascii="Times New Roman" w:eastAsia="Times New Roman" w:hAnsi="Times New Roman" w:cs="Times New Roman"/>
                <w:lang w:eastAsia="hu-HU"/>
              </w:rPr>
              <w:t>Táppénz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4593" w14:textId="5EC3ABFA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196,1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EFC4" w14:textId="78864C43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226,3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2A76" w14:textId="3C53C5FF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 xml:space="preserve">  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DF3D" w14:textId="2D005503" w:rsidR="00494D4B" w:rsidRPr="003D21B5" w:rsidRDefault="68A23DD0" w:rsidP="68A23DD0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68A23DD0">
              <w:rPr>
                <w:rFonts w:ascii="Times New Roman" w:eastAsia="Times New Roman" w:hAnsi="Times New Roman" w:cs="Times New Roman"/>
                <w:lang w:eastAsia="hu-HU"/>
              </w:rPr>
              <w:t>115,4</w:t>
            </w:r>
          </w:p>
        </w:tc>
      </w:tr>
    </w:tbl>
    <w:p w14:paraId="7F2895FE" w14:textId="468B802B" w:rsidR="001074A1" w:rsidRDefault="68A23DD0" w:rsidP="68A23DD0">
      <w:pPr>
        <w:widowControl w:val="0"/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8A23DD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 </w:t>
      </w:r>
      <w:r w:rsidRPr="68A23DD0">
        <w:rPr>
          <w:rFonts w:ascii="Times New Roman" w:eastAsia="Times New Roman" w:hAnsi="Times New Roman" w:cs="Times New Roman"/>
          <w:b/>
          <w:bCs/>
          <w:sz w:val="26"/>
          <w:szCs w:val="26"/>
        </w:rPr>
        <w:t>gyógyító-megelőző ellátásokra</w:t>
      </w:r>
      <w:r w:rsidRPr="68A23DD0">
        <w:rPr>
          <w:rFonts w:ascii="Times New Roman" w:eastAsia="Times New Roman" w:hAnsi="Times New Roman" w:cs="Times New Roman"/>
          <w:sz w:val="26"/>
          <w:szCs w:val="26"/>
        </w:rPr>
        <w:t xml:space="preserve"> fordított kiadás 2025 november végéig 2635,5 milliárd forintot tett ki a 2024 azonos időszakában felmerülő 2434,3 milliárd forint összegű kiadással szemben.</w:t>
      </w:r>
    </w:p>
    <w:p w14:paraId="63C09739" w14:textId="781ABBC9" w:rsidR="13E847AC" w:rsidRDefault="3C87A00B" w:rsidP="13E847AC">
      <w:pPr>
        <w:jc w:val="both"/>
      </w:pPr>
      <w:r w:rsidRPr="3C87A00B">
        <w:rPr>
          <w:rFonts w:ascii="Times New Roman" w:eastAsia="Times New Roman" w:hAnsi="Times New Roman" w:cs="Times New Roman"/>
          <w:sz w:val="26"/>
          <w:szCs w:val="26"/>
        </w:rPr>
        <w:t>Az előző évhez viszonyított magasabb összegű kiadás – többek között – az egészségügyi ágazati előmeneteli szabályok hatálya alá tartozó egészségügyi szakdolgozókat és egészségügyben dolgozókat 2024. március 1-jétől megillető, átlagosan 20%-os, valamint az alapellátásban dolgozó egészségügyi dolgozók azonos mértékű béremelésével kapcsolatosan jelentkező, 2025. évre áthúzódó hatásából ered.</w:t>
      </w:r>
    </w:p>
    <w:p w14:paraId="32E93D9D" w14:textId="683A2A35" w:rsidR="13E847AC" w:rsidRDefault="7BF38582" w:rsidP="13E847AC">
      <w:pPr>
        <w:jc w:val="both"/>
      </w:pPr>
      <w:r w:rsidRPr="7BF38582">
        <w:rPr>
          <w:rFonts w:ascii="Times New Roman" w:eastAsia="Times New Roman" w:hAnsi="Times New Roman" w:cs="Times New Roman"/>
          <w:sz w:val="26"/>
          <w:szCs w:val="26"/>
        </w:rPr>
        <w:t>Az előző évhez viszonyított növekedést az is magyarázza, hogy a fekvő- és járóbeteg-szakellátás és laboratóriumi ellátás teljesítményegységeinek forintértékéről szóló új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BM</w:t>
      </w:r>
      <w:r w:rsidR="00A23458">
        <w:rPr>
          <w:rFonts w:ascii="Times New Roman" w:eastAsia="Times New Roman" w:hAnsi="Times New Roman" w:cs="Times New Roman"/>
          <w:sz w:val="26"/>
          <w:szCs w:val="26"/>
        </w:rPr>
        <w:noBreakHyphen/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NGM együttes közlemény, illetve a Nemzeti Dialízis Központ létrehozásával kapcsolatos feladatokról és egyéb, az egészségügyi szolgáltatókat segítő finanszírozási intézkedésekről szóló 66/2025. (IV. 4.) Korm. rendelet, valamint az egészségügyi ágazati szakmai képzésekkel és az egészségügyi szolgáltatók finanszírozásával összefüggő miniszteri rendeletek módosításáról szóló 10/2025. (IV. 4.) BM rendelet alapján az</w:t>
      </w:r>
      <w:r w:rsidR="00EA34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Egészségbiztosítási Alap Gyógyító-megelőző ellátás alcímének 150,0</w:t>
      </w:r>
      <w:r w:rsidR="006F326F">
        <w:rPr>
          <w:rFonts w:ascii="Times New Roman" w:eastAsia="Times New Roman" w:hAnsi="Times New Roman" w:cs="Times New Roman"/>
          <w:sz w:val="26"/>
          <w:szCs w:val="26"/>
        </w:rPr>
        <w:t> 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milliárd</w:t>
      </w:r>
      <w:r w:rsidR="006F326F">
        <w:rPr>
          <w:rFonts w:ascii="Times New Roman" w:eastAsia="Times New Roman" w:hAnsi="Times New Roman" w:cs="Times New Roman"/>
          <w:sz w:val="26"/>
          <w:szCs w:val="26"/>
        </w:rPr>
        <w:t> forin</w:t>
      </w:r>
      <w:r w:rsidRPr="7BF38582">
        <w:rPr>
          <w:rFonts w:ascii="Times New Roman" w:eastAsia="Times New Roman" w:hAnsi="Times New Roman" w:cs="Times New Roman"/>
          <w:sz w:val="26"/>
          <w:szCs w:val="26"/>
        </w:rPr>
        <w:t>t összegű, az Egészségügyi szolgáltatók kiegészítő finanszírozása megnevezésű jogcímcsoport felhasználásával 2025. januártól megtörténik a közfinanszírozásban részesülő egészségügyi szolgáltatók kifizetése.</w:t>
      </w:r>
    </w:p>
    <w:p w14:paraId="69E4940B" w14:textId="125FA08B" w:rsidR="001074A1" w:rsidRDefault="68A23DD0" w:rsidP="68A23DD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8A23DD0">
        <w:rPr>
          <w:rFonts w:ascii="Times New Roman" w:eastAsia="Times New Roman" w:hAnsi="Times New Roman" w:cs="Times New Roman"/>
          <w:b/>
          <w:bCs/>
          <w:sz w:val="26"/>
          <w:szCs w:val="26"/>
        </w:rPr>
        <w:t>Gyógyszertámogatásra</w:t>
      </w:r>
      <w:r w:rsidRPr="68A23DD0">
        <w:rPr>
          <w:rFonts w:ascii="Times New Roman" w:eastAsia="Times New Roman" w:hAnsi="Times New Roman" w:cs="Times New Roman"/>
          <w:sz w:val="26"/>
          <w:szCs w:val="26"/>
        </w:rPr>
        <w:t xml:space="preserve"> 2025 november végéig 523,8 milliárd forint került kifizetésre, amely 23,6 milliárd forinttal magasabb az előző év azonos időszakában kifizetett összegnél.</w:t>
      </w:r>
    </w:p>
    <w:p w14:paraId="7B768C24" w14:textId="4F783F64" w:rsidR="00B155FE" w:rsidRPr="004966FE" w:rsidRDefault="3C87A00B" w:rsidP="3C87A00B">
      <w:pPr>
        <w:keepNext/>
        <w:pageBreakBefore/>
        <w:numPr>
          <w:ilvl w:val="0"/>
          <w:numId w:val="3"/>
        </w:numPr>
        <w:spacing w:after="12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lastRenderedPageBreak/>
        <w:t>A költségvetési szervek és fejezeti kezelésű előirányzatok alakulása</w:t>
      </w:r>
    </w:p>
    <w:p w14:paraId="41120C33" w14:textId="77777777" w:rsidR="00484365" w:rsidRPr="00145F79" w:rsidRDefault="00484365" w:rsidP="00484365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költségvetési szervek bevételei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 első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tizenegy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735,3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milliárd forintot tettek ki, amely 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5,5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magasabb </w:t>
      </w:r>
      <w:r w:rsidRP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>az előző év azonos időszakának bevételeihez képest. Az intézmények bevételei közül 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432,0</w:t>
      </w:r>
      <w:r w:rsidRPr="00AC34D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milliárd forintot tett ki a Nemzeti Egészségbiztosítási Alapkezelő által az egészségügyi intézményeknek utalt </w:t>
      </w:r>
      <w:r w:rsidRPr="00145F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támogatás.</w:t>
      </w:r>
    </w:p>
    <w:p w14:paraId="6C6ADA97" w14:textId="77777777" w:rsidR="00484365" w:rsidRPr="007B6DF2" w:rsidRDefault="00484365" w:rsidP="0048436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szakmai fejezeti kezelésű előirányzatok bevételei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 első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tizenegy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581,5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milliárd forintot tettek ki, mely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14,6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alacsonyabb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előző év azonos időszakának bevételéhez képest. A bevételek jelentős részét az „Alapok alapja GINOP pénzügyi eszközök” törvényi sorra befolyt összegek teszik ki, melyek nem uniós bevételként jóváírt tételek.</w:t>
      </w:r>
    </w:p>
    <w:p w14:paraId="5A50B96E" w14:textId="77777777" w:rsidR="00484365" w:rsidRPr="004966FE" w:rsidRDefault="00484365" w:rsidP="0048436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2025. év első </w:t>
      </w:r>
      <w:r>
        <w:rPr>
          <w:rFonts w:ascii="Times New Roman" w:hAnsi="Times New Roman" w:cs="Times New Roman"/>
          <w:sz w:val="26"/>
          <w:szCs w:val="26"/>
          <w:lang w:eastAsia="hu-HU"/>
        </w:rPr>
        <w:t xml:space="preserve">tizenegy </w:t>
      </w:r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havi, </w:t>
      </w:r>
      <w:r>
        <w:rPr>
          <w:rFonts w:ascii="Times New Roman" w:hAnsi="Times New Roman" w:cs="Times New Roman"/>
          <w:sz w:val="26"/>
          <w:szCs w:val="26"/>
          <w:lang w:eastAsia="hu-HU"/>
        </w:rPr>
        <w:t>3316,7</w:t>
      </w:r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 milliárd forint összegű bevételek megoszlását a következő grafikon szemlélteti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</w:p>
    <w:p w14:paraId="576D18BB" w14:textId="2E43E28A" w:rsidR="00B056CC" w:rsidRPr="00377D59" w:rsidRDefault="00BC33ED" w:rsidP="00C2238F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7D56A737" wp14:editId="0C6B221B">
            <wp:extent cx="5940425" cy="3318510"/>
            <wp:effectExtent l="0" t="0" r="3175" b="0"/>
            <wp:docPr id="120182692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2692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8D1A9" w14:textId="77777777" w:rsidR="00484365" w:rsidRPr="00E56F21" w:rsidRDefault="00484365" w:rsidP="00484365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költségvetési szervek kiadásai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mérlegsoron 2025 első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tizenegy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hónapjában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8300,6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milliárd forint kiadás teljesült, mely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7,2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%-kal magasabb az előző év azonos időszakának kiadásaihoz képest. A kiadásból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4833,4 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forint a személyi juttatásokra és munkaadókat terhelő járulékokra kifizetett összeg.</w:t>
      </w:r>
    </w:p>
    <w:p w14:paraId="0AB00615" w14:textId="77777777" w:rsidR="00484365" w:rsidRPr="004966FE" w:rsidRDefault="00484365" w:rsidP="00484365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szakmai fejezeti kezelésű előirányzatok kiadásai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mérlegsoron 2025 első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tizenegy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 hónapjában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4770,8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milliárd forint kiadás teljesült, mely 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3,7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%-kal magasabb, mint az előző év azonos időszakának kiadása. Ezen időszak teljesítéséből az alábbi kiadások emelhetők ki:</w:t>
      </w:r>
    </w:p>
    <w:p w14:paraId="1DE60443" w14:textId="77777777" w:rsidR="00484365" w:rsidRPr="00BE4BAC" w:rsidRDefault="00484365" w:rsidP="0048436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966FE"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br w:type="page"/>
      </w:r>
    </w:p>
    <w:p w14:paraId="1C3E2D66" w14:textId="77777777" w:rsidR="00484365" w:rsidRPr="008E4041" w:rsidRDefault="00484365" w:rsidP="0048436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</w:pPr>
      <w:r w:rsidRPr="008E4041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lastRenderedPageBreak/>
        <w:t>milliárd forint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2"/>
        <w:gridCol w:w="851"/>
      </w:tblGrid>
      <w:tr w:rsidR="00484365" w:rsidRPr="008E4041" w14:paraId="12FC00B9" w14:textId="77777777" w:rsidTr="00A03982">
        <w:trPr>
          <w:trHeight w:val="340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583B" w14:textId="77777777" w:rsidR="00484365" w:rsidRPr="008E4041" w:rsidRDefault="00484365" w:rsidP="00A03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Normatív finanszírozás (köznevelési célú humánszolgáltatás és működési támogatás, hit- és erkölcstanoktatás és tankönyvtámogatás, illetve szociális, gyermekvédelmi, gyermekjóléti és fogyatékos személyek esélyegyenlőségét elősegítő célelőirányzatok)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8F6C" w14:textId="77777777" w:rsidR="00484365" w:rsidRPr="008E4041" w:rsidRDefault="00484365" w:rsidP="00A03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943,1</w:t>
            </w:r>
          </w:p>
        </w:tc>
      </w:tr>
      <w:tr w:rsidR="00484365" w:rsidRPr="008E4041" w14:paraId="062C6C8C" w14:textId="77777777" w:rsidTr="00A0398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6E8E" w14:textId="77777777" w:rsidR="00484365" w:rsidRPr="008E4041" w:rsidRDefault="00484365" w:rsidP="00A03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Nem állami felsőoktatási intézmények támogatása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2403" w14:textId="77777777" w:rsidR="00484365" w:rsidRPr="008E4041" w:rsidRDefault="00484365" w:rsidP="00A03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558,8</w:t>
            </w:r>
          </w:p>
        </w:tc>
      </w:tr>
      <w:tr w:rsidR="00484365" w:rsidRPr="008E4041" w14:paraId="08B0739D" w14:textId="77777777" w:rsidTr="00A0398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E83C" w14:textId="77777777" w:rsidR="00484365" w:rsidRPr="008E4041" w:rsidRDefault="00484365" w:rsidP="00A03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Közlekedési ágazati programok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3A89" w14:textId="77777777" w:rsidR="00484365" w:rsidRPr="008E4041" w:rsidRDefault="00484365" w:rsidP="00A03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116,8</w:t>
            </w:r>
          </w:p>
        </w:tc>
      </w:tr>
      <w:tr w:rsidR="00484365" w:rsidRPr="008E4041" w14:paraId="75855DB8" w14:textId="77777777" w:rsidTr="00A0398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F957" w14:textId="77777777" w:rsidR="00484365" w:rsidRPr="008E4041" w:rsidRDefault="00484365" w:rsidP="00A03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Térségi fejlesztési feladatok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7E5C" w14:textId="77777777" w:rsidR="00484365" w:rsidRPr="008E4041" w:rsidRDefault="00484365" w:rsidP="00A03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110,0</w:t>
            </w:r>
          </w:p>
        </w:tc>
      </w:tr>
      <w:tr w:rsidR="00484365" w:rsidRPr="008E4041" w14:paraId="465562AF" w14:textId="77777777" w:rsidTr="00A0398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54EE" w14:textId="77777777" w:rsidR="00484365" w:rsidRPr="008E4041" w:rsidRDefault="00484365" w:rsidP="00A03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Turisztikai fejlesztési célelőirányzat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F652" w14:textId="77777777" w:rsidR="00484365" w:rsidRPr="008E4041" w:rsidRDefault="00484365" w:rsidP="00A03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101,9</w:t>
            </w:r>
          </w:p>
        </w:tc>
      </w:tr>
      <w:tr w:rsidR="00484365" w:rsidRPr="008E4041" w14:paraId="14B42801" w14:textId="77777777" w:rsidTr="00A0398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A492" w14:textId="77777777" w:rsidR="00484365" w:rsidRPr="008E4041" w:rsidRDefault="00484365" w:rsidP="00A03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Beruházás ösztönzési célelőirányzat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5C71" w14:textId="77777777" w:rsidR="00484365" w:rsidRPr="008E4041" w:rsidRDefault="00484365" w:rsidP="00A03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92,3</w:t>
            </w:r>
          </w:p>
        </w:tc>
      </w:tr>
      <w:tr w:rsidR="00484365" w:rsidRPr="008E4041" w14:paraId="17AA812E" w14:textId="77777777" w:rsidTr="00A03982">
        <w:trPr>
          <w:trHeight w:val="283"/>
        </w:trPr>
        <w:tc>
          <w:tcPr>
            <w:tcW w:w="8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76BE" w14:textId="77777777" w:rsidR="00484365" w:rsidRPr="008E4041" w:rsidRDefault="00484365" w:rsidP="00A03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Megváltozott munkaképességű munkavállalók foglalkoztatásának támogatása</w:t>
            </w:r>
          </w:p>
        </w:tc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42B1" w14:textId="77777777" w:rsidR="00484365" w:rsidRPr="008E4041" w:rsidRDefault="00484365" w:rsidP="00A039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8E40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67,3</w:t>
            </w:r>
          </w:p>
        </w:tc>
      </w:tr>
    </w:tbl>
    <w:p w14:paraId="032A8560" w14:textId="77777777" w:rsidR="00484365" w:rsidRPr="00A61DE1" w:rsidRDefault="00484365" w:rsidP="00484365">
      <w:pPr>
        <w:spacing w:before="160"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2025. év első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tizenegy 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havi, 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3 071,4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 forint összegű kiadások megoszlását a következő grafikon szemlélteti:</w:t>
      </w:r>
    </w:p>
    <w:p w14:paraId="3599A16D" w14:textId="51AC7085" w:rsidR="00B056CC" w:rsidRDefault="00C05249" w:rsidP="009C33A4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5F65730F" wp14:editId="04299BE1">
            <wp:extent cx="5940425" cy="3500755"/>
            <wp:effectExtent l="0" t="0" r="3175" b="4445"/>
            <wp:docPr id="1495324230" name="Kép 1" descr="A képen szöveg, képernyőkép, diagram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24230" name="Kép 1" descr="A képen szöveg, képernyőkép, diagram, sor látható&#10;&#10;Előfordulhat, hogy a mesterséges intelligencia által létrehozott tartalom helytelen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68C4E" w14:textId="3E063542" w:rsidR="00B155FE" w:rsidRPr="00377D59" w:rsidRDefault="3C87A00B" w:rsidP="3C87A00B">
      <w:pPr>
        <w:keepNext/>
        <w:numPr>
          <w:ilvl w:val="0"/>
          <w:numId w:val="3"/>
        </w:numPr>
        <w:ind w:left="714" w:hanging="357"/>
        <w:jc w:val="both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hu-HU"/>
        </w:rPr>
        <w:t>Kamategyenleg</w:t>
      </w:r>
    </w:p>
    <w:p w14:paraId="0047F521" w14:textId="648ED446" w:rsidR="003F3151" w:rsidRDefault="3C87A00B" w:rsidP="3C87A00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1416201"/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A bevételek és kiadások egyenlegeként adódó </w:t>
      </w:r>
      <w:r w:rsidR="003C5470" w:rsidRPr="003C5470">
        <w:rPr>
          <w:rFonts w:ascii="Times New Roman" w:hAnsi="Times New Roman" w:cs="Times New Roman"/>
          <w:sz w:val="26"/>
          <w:szCs w:val="26"/>
          <w:lang w:eastAsia="hu-HU"/>
        </w:rPr>
        <w:t>3684,</w:t>
      </w:r>
      <w:r w:rsidR="007F2661">
        <w:rPr>
          <w:rFonts w:ascii="Times New Roman" w:hAnsi="Times New Roman" w:cs="Times New Roman"/>
          <w:sz w:val="26"/>
          <w:szCs w:val="26"/>
          <w:lang w:eastAsia="hu-HU"/>
        </w:rPr>
        <w:t>7</w:t>
      </w:r>
      <w:r w:rsidRPr="3C87A00B">
        <w:rPr>
          <w:rFonts w:ascii="Times New Roman" w:hAnsi="Times New Roman" w:cs="Times New Roman"/>
          <w:sz w:val="26"/>
          <w:szCs w:val="26"/>
          <w:lang w:eastAsia="hu-HU"/>
        </w:rPr>
        <w:t xml:space="preserve"> milliárd forint összegű </w:t>
      </w:r>
      <w:r w:rsidRPr="3C87A00B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nettó</w:t>
      </w:r>
      <w:r w:rsidRPr="3C87A00B">
        <w:rPr>
          <w:rFonts w:ascii="Times New Roman" w:hAnsi="Times New Roman" w:cs="Times New Roman"/>
          <w:b/>
          <w:bCs/>
          <w:sz w:val="26"/>
          <w:szCs w:val="26"/>
        </w:rPr>
        <w:t xml:space="preserve"> kamatkiadás</w:t>
      </w:r>
      <w:r w:rsidRPr="3C87A00B">
        <w:rPr>
          <w:rFonts w:ascii="Times New Roman" w:hAnsi="Times New Roman" w:cs="Times New Roman"/>
          <w:sz w:val="26"/>
          <w:szCs w:val="26"/>
        </w:rPr>
        <w:t xml:space="preserve"> </w:t>
      </w:r>
      <w:r w:rsidR="003C5470">
        <w:rPr>
          <w:rFonts w:ascii="Times New Roman" w:hAnsi="Times New Roman" w:cs="Times New Roman"/>
          <w:sz w:val="26"/>
          <w:szCs w:val="26"/>
        </w:rPr>
        <w:t>november</w:t>
      </w:r>
      <w:r w:rsidRPr="3C87A00B">
        <w:rPr>
          <w:rFonts w:ascii="Times New Roman" w:hAnsi="Times New Roman" w:cs="Times New Roman"/>
          <w:sz w:val="26"/>
          <w:szCs w:val="26"/>
        </w:rPr>
        <w:t xml:space="preserve"> végéig </w:t>
      </w:r>
      <w:r w:rsidR="003C5470" w:rsidRPr="003C5470">
        <w:rPr>
          <w:rFonts w:ascii="Times New Roman" w:hAnsi="Times New Roman" w:cs="Times New Roman"/>
          <w:sz w:val="26"/>
          <w:szCs w:val="26"/>
        </w:rPr>
        <w:t>657,</w:t>
      </w:r>
      <w:r w:rsidR="007F2661">
        <w:rPr>
          <w:rFonts w:ascii="Times New Roman" w:hAnsi="Times New Roman" w:cs="Times New Roman"/>
          <w:sz w:val="26"/>
          <w:szCs w:val="26"/>
        </w:rPr>
        <w:t>5</w:t>
      </w:r>
      <w:r w:rsidRPr="3C87A00B">
        <w:rPr>
          <w:rFonts w:ascii="Times New Roman" w:hAnsi="Times New Roman" w:cs="Times New Roman"/>
          <w:sz w:val="26"/>
          <w:szCs w:val="26"/>
        </w:rPr>
        <w:t> milliárd forinttal lett magasabb az előző évhez képest, mely az előző évitől különböző hozamokkal és finanszírozási szerkezettel magyarázható.</w:t>
      </w:r>
    </w:p>
    <w:bookmarkEnd w:id="1"/>
    <w:p w14:paraId="1475120F" w14:textId="77777777" w:rsidR="00224E67" w:rsidRDefault="00224E67" w:rsidP="716D41F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833000" w14:textId="77777777" w:rsidR="00224E67" w:rsidRDefault="00224E67" w:rsidP="716D41F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768C50" w14:textId="77777777" w:rsidR="00B155FE" w:rsidRPr="00377D59" w:rsidRDefault="00B155FE" w:rsidP="00B155FE">
      <w:pPr>
        <w:tabs>
          <w:tab w:val="left" w:pos="55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0"/>
          <w:lang w:eastAsia="hu-HU"/>
        </w:rPr>
      </w:pPr>
      <w:r w:rsidRPr="00377D59">
        <w:rPr>
          <w:rFonts w:ascii="Times New Roman" w:eastAsia="Times New Roman" w:hAnsi="Times New Roman" w:cs="Times New Roman"/>
          <w:caps/>
          <w:sz w:val="26"/>
          <w:szCs w:val="20"/>
          <w:lang w:eastAsia="hu-HU"/>
        </w:rPr>
        <w:br w:type="page"/>
      </w:r>
    </w:p>
    <w:p w14:paraId="688B9DA7" w14:textId="77777777" w:rsidR="00C9408B" w:rsidRDefault="3C87A00B" w:rsidP="3C87A00B">
      <w:pPr>
        <w:keepNext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lastRenderedPageBreak/>
        <w:t>II.</w:t>
      </w:r>
    </w:p>
    <w:p w14:paraId="7B768C51" w14:textId="63BB059C" w:rsidR="00B155FE" w:rsidRPr="00377D59" w:rsidRDefault="3C87A00B" w:rsidP="3C87A00B">
      <w:pPr>
        <w:keepNext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hu-HU"/>
        </w:rPr>
        <w:t>Az államháztartás központi alrendszerének finanszírozása</w:t>
      </w:r>
    </w:p>
    <w:p w14:paraId="1C71E48D" w14:textId="0DB2B27A" w:rsidR="00224E67" w:rsidRPr="008E6DF0" w:rsidRDefault="3C87A00B" w:rsidP="00B37A83">
      <w:pPr>
        <w:ind w:right="2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központi költségvetés adóssága 2025. </w:t>
      </w:r>
      <w:r w:rsid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november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végéig </w:t>
      </w:r>
      <w:r w:rsidR="003C5470"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4091,9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 forinttal növekedett a következő négy tényező eredményeképpen:</w:t>
      </w:r>
    </w:p>
    <w:p w14:paraId="60B1A72F" w14:textId="40F65545" w:rsidR="003C5470" w:rsidRPr="003C5470" w:rsidRDefault="003C5470" w:rsidP="003C5470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C547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Az első tényező 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a nettó forintkibocsátás, amely 3179,6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milliárd forinttal </w:t>
      </w:r>
      <w:r w:rsidRPr="003C547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növelte 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az adósságot, így segítette a költségvetési hiány egy részének finanszírozását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4D407D10" w14:textId="7C2CD759" w:rsidR="003C5470" w:rsidRPr="003C5470" w:rsidRDefault="003C5470" w:rsidP="00B37A8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C547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második – szintén növelő hatású – tényező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nettó devizakibocsátás, amely 2350,</w:t>
      </w:r>
      <w:r w:rsidR="007F2661">
        <w:rPr>
          <w:rFonts w:ascii="Times New Roman" w:eastAsia="Times New Roman" w:hAnsi="Times New Roman" w:cs="Times New Roman"/>
          <w:sz w:val="26"/>
          <w:szCs w:val="26"/>
          <w:lang w:eastAsia="hu-H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 forint összegben hozzájárul a hiány finanszírozásához és a devizabetétállomány növekedéséhez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3C0B8849" w14:textId="64543AFD" w:rsidR="003C5470" w:rsidRPr="003C5470" w:rsidRDefault="003C5470" w:rsidP="00B37A83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C547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harmadik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– fentiekkel ellentétes, </w:t>
      </w:r>
      <w:r w:rsidRPr="003C547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csökkentő hatású – tényező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forint árfolyamának az elmúlt év végéhez képest bekövetkezett erősödése, amely az adósság devizában fennálló részének forintban számított nyilvántartási értékét 1348,9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 forinttal mérsékelte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4882F075" w14:textId="63DE7701" w:rsidR="00B37A83" w:rsidRPr="00B37A83" w:rsidRDefault="003C5470" w:rsidP="003C5470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C547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negyedik – további csökkentő hatású – tényező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deviza-keresztárfolyamok változása és az egyéb tényezők miatt bekövetkezett mark-</w:t>
      </w:r>
      <w:proofErr w:type="spellStart"/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to</w:t>
      </w:r>
      <w:proofErr w:type="spellEnd"/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-market betétállományok csökkenése 88,9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milliárd forint összegben</w:t>
      </w:r>
      <w:r w:rsidR="00B37A83" w:rsidRPr="00B37A8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510E0310" w14:textId="55B98873" w:rsidR="00CE4893" w:rsidRDefault="00CE4893" w:rsidP="00224E67">
      <w:pPr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11568C6" w14:textId="77777777" w:rsidR="007B0B76" w:rsidRDefault="007B0B76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57CBCF7" w14:textId="192A582E" w:rsidR="007B0B76" w:rsidRPr="007B0B76" w:rsidRDefault="007B0B76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  <w:sectPr w:rsidR="007B0B76" w:rsidRPr="007B0B76" w:rsidSect="007449BF">
          <w:headerReference w:type="default" r:id="rId26"/>
          <w:footerReference w:type="default" r:id="rId27"/>
          <w:footnotePr>
            <w:numRestart w:val="eachPage"/>
          </w:footnotePr>
          <w:pgSz w:w="11907" w:h="16840" w:code="9"/>
          <w:pgMar w:top="1134" w:right="1134" w:bottom="1418" w:left="1418" w:header="709" w:footer="709" w:gutter="0"/>
          <w:cols w:space="708"/>
          <w:docGrid w:linePitch="354"/>
        </w:sectPr>
      </w:pPr>
    </w:p>
    <w:p w14:paraId="7B768C5C" w14:textId="1423927F" w:rsidR="00B155FE" w:rsidRPr="00377D59" w:rsidRDefault="3C87A00B" w:rsidP="3C87A00B">
      <w:pPr>
        <w:spacing w:after="12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 xml:space="preserve">Az előzetes adatok szerint 2025. </w:t>
      </w:r>
      <w:r w:rsidR="003C5470">
        <w:rPr>
          <w:rFonts w:ascii="Times New Roman" w:eastAsia="Times New Roman" w:hAnsi="Times New Roman" w:cs="Times New Roman"/>
          <w:sz w:val="26"/>
          <w:szCs w:val="26"/>
          <w:lang w:eastAsia="hu-HU"/>
        </w:rPr>
        <w:t>novem</w:t>
      </w:r>
      <w:r w:rsidR="004B33EA">
        <w:rPr>
          <w:rFonts w:ascii="Times New Roman" w:eastAsia="Times New Roman" w:hAnsi="Times New Roman" w:cs="Times New Roman"/>
          <w:sz w:val="26"/>
          <w:szCs w:val="26"/>
          <w:lang w:eastAsia="hu-HU"/>
        </w:rPr>
        <w:t>ber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végén a </w:t>
      </w:r>
      <w:r w:rsidRPr="3C87A00B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központi költségvetés forint- és devizaadóssága </w:t>
      </w: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az alábbiak szerint alakult:</w:t>
      </w:r>
    </w:p>
    <w:p w14:paraId="7B768C5D" w14:textId="252296E8" w:rsidR="00B155FE" w:rsidRDefault="3C87A00B" w:rsidP="3C87A00B">
      <w:pPr>
        <w:overflowPunct w:val="0"/>
        <w:autoSpaceDE w:val="0"/>
        <w:autoSpaceDN w:val="0"/>
        <w:adjustRightInd w:val="0"/>
        <w:spacing w:after="120" w:line="240" w:lineRule="auto"/>
        <w:ind w:right="23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3C87A00B">
        <w:rPr>
          <w:rFonts w:ascii="Times New Roman" w:eastAsia="Times New Roman" w:hAnsi="Times New Roman" w:cs="Times New Roman"/>
          <w:sz w:val="26"/>
          <w:szCs w:val="26"/>
          <w:lang w:eastAsia="hu-HU"/>
        </w:rPr>
        <w:t>A központi költségvetés adósságának alakulása 2025-ben, milliárd forint</w:t>
      </w:r>
    </w:p>
    <w:p w14:paraId="31C86ED1" w14:textId="21775A7E" w:rsidR="007B0B76" w:rsidRDefault="003C5470" w:rsidP="13E847AC">
      <w:pPr>
        <w:overflowPunct w:val="0"/>
        <w:autoSpaceDE w:val="0"/>
        <w:autoSpaceDN w:val="0"/>
        <w:adjustRightInd w:val="0"/>
        <w:spacing w:after="120" w:line="240" w:lineRule="auto"/>
        <w:ind w:right="23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C5470">
        <w:rPr>
          <w:noProof/>
        </w:rPr>
        <w:drawing>
          <wp:inline distT="0" distB="0" distL="0" distR="0" wp14:anchorId="7CD5977E" wp14:editId="3374C35B">
            <wp:extent cx="8932545" cy="4228465"/>
            <wp:effectExtent l="0" t="0" r="1905" b="635"/>
            <wp:docPr id="157427680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545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8C5F" w14:textId="77777777" w:rsidR="00B155FE" w:rsidRPr="00377D59" w:rsidRDefault="3C87A00B" w:rsidP="3C87A0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3C87A00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Megjegyzés: a táblában szereplő tizedes eltérések kerekítésből adódnak.</w:t>
      </w:r>
    </w:p>
    <w:p w14:paraId="67FEF71B" w14:textId="4352F928" w:rsidR="00617877" w:rsidRPr="00377D59" w:rsidRDefault="00617877" w:rsidP="00617877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12D5E01" w14:textId="247C2A7A" w:rsidR="00617877" w:rsidRPr="00377D59" w:rsidRDefault="00617877" w:rsidP="00617877">
      <w:pPr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A764331" w14:textId="77777777" w:rsidR="00EA1F58" w:rsidRPr="00377D59" w:rsidRDefault="00EA1F58" w:rsidP="00617877">
      <w:pPr>
        <w:rPr>
          <w:rFonts w:ascii="Times New Roman" w:eastAsia="Times New Roman" w:hAnsi="Times New Roman" w:cs="Times New Roman"/>
          <w:sz w:val="26"/>
          <w:szCs w:val="26"/>
          <w:lang w:eastAsia="hu-HU"/>
        </w:rPr>
        <w:sectPr w:rsidR="00EA1F58" w:rsidRPr="00377D59" w:rsidSect="007449BF">
          <w:headerReference w:type="default" r:id="rId29"/>
          <w:headerReference w:type="first" r:id="rId30"/>
          <w:footnotePr>
            <w:numRestart w:val="eachPage"/>
          </w:footnotePr>
          <w:pgSz w:w="16840" w:h="11907" w:orient="landscape" w:code="9"/>
          <w:pgMar w:top="993" w:right="1134" w:bottom="1134" w:left="1418" w:header="709" w:footer="709" w:gutter="0"/>
          <w:pgNumType w:start="19"/>
          <w:cols w:space="708"/>
          <w:titlePg/>
          <w:docGrid w:linePitch="299"/>
        </w:sectPr>
      </w:pPr>
    </w:p>
    <w:p w14:paraId="613D8FF9" w14:textId="4744CE60" w:rsidR="00CE4482" w:rsidRPr="00CE4482" w:rsidRDefault="004B33EA" w:rsidP="00CE4482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33E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A központi költségvetés devizaadóssága</w:t>
      </w:r>
      <w:r w:rsid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CE4482"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2025-ben 1001,2</w:t>
      </w:r>
      <w:r w:rsid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="00CE4482"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17</w:t>
      </w:r>
      <w:r w:rsid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="00CE4482"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559,0</w:t>
      </w:r>
      <w:r w:rsid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="00CE4482"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forintra növekedett az elmúlt év végéhez képest. A devizaadósság részaránya a 2024. év végi 29,8%-os szintről 29,5%-os szintre mérséklődött a teljes adósságon belül.</w:t>
      </w:r>
    </w:p>
    <w:p w14:paraId="11C93008" w14:textId="280C1437" w:rsidR="00CE4482" w:rsidRPr="00CE4482" w:rsidRDefault="00CE4482" w:rsidP="00CE4482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A növekedés hátterében döntően a devizakötvény-kibocsátások állnak. 2025. január 7-én sor került az idei év első nemzetközi eurókötvény-kibocsátására összesen 1035,7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(2,5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összegben. Két sorozat piacra vitele történt meg, egy 10 éves futamidejű hagyományos sorozat 621,4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és egy 15 éves futamidejű zöld sorozat 414,3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EUR) összegben. 2025. június 16-án valósult meg a második nemzetközi devizakötvénykibocsátás, összesen 1404,6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értékben. Ez három tételből állt, az 5 éves futamidejű 526,7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összegű, a 10 éves futamidejű 351,1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 és a</w:t>
      </w:r>
      <w:r w:rsidR="007F2661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30</w:t>
      </w:r>
      <w:r w:rsidR="007F2661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éves futamidejű 526,7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USD) összegű sorozatból. </w:t>
      </w:r>
      <w:r w:rsidR="007F2661"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2025. július 22</w:t>
      </w:r>
      <w:r w:rsidR="007F2661">
        <w:rPr>
          <w:rFonts w:ascii="Times New Roman" w:eastAsia="Times New Roman" w:hAnsi="Times New Roman" w:cs="Times New Roman"/>
          <w:sz w:val="26"/>
          <w:szCs w:val="26"/>
          <w:lang w:eastAsia="hu-HU"/>
        </w:rPr>
        <w:noBreakHyphen/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én volt Magyarország idei harmadik devizakötvény kibocsátása, amely egyben hazánk ötödik Panda Kötvény kibocsátása Kínában, összesen 237,8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összegben. Két sorozat értékesítése történt meg, egy 3 éves futamidejű 190,2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és egy 5 éves futamidejű 47,6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CNY) összegű. </w:t>
      </w:r>
    </w:p>
    <w:p w14:paraId="6E445DF2" w14:textId="5FCAD7A4" w:rsidR="00CE4482" w:rsidRPr="00CE4482" w:rsidRDefault="00CE4482" w:rsidP="00CE4482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ECP (Euro </w:t>
      </w:r>
      <w:proofErr w:type="spellStart"/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Commercial</w:t>
      </w:r>
      <w:proofErr w:type="spellEnd"/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Paper</w:t>
      </w:r>
      <w:proofErr w:type="spellEnd"/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) program keretében áprilisban kibocsátott devizaértékpapírok összege 180,1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(500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millió USD) volt. A további devizahitel lehívások összege szintén emelte, míg az árfolyamerősödés ugyanakkor csökkentette a devizaadósság részarányát.</w:t>
      </w:r>
    </w:p>
    <w:p w14:paraId="3C2880DA" w14:textId="57BF4428" w:rsidR="00CE4482" w:rsidRPr="00CE4482" w:rsidRDefault="00CE4482" w:rsidP="00CE4482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735A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 költségvetés forintadóssága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november végéig 3179,6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növekedett és 41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881,2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ért el, a forint adósság a teljes államadósság 70,3%-át teszi ki. 2024</w:t>
      </w:r>
      <w:r w:rsidR="007F2661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decemberében ez az arány 69,8% volt. </w:t>
      </w:r>
    </w:p>
    <w:p w14:paraId="78E3FFDC" w14:textId="12A072FB" w:rsidR="00CE4482" w:rsidRPr="00CE4482" w:rsidRDefault="00CE4482" w:rsidP="00CE4482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2025. november végén a forint lakossági állampapírok állománya 11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520,1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ki, ami 257,2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növekedést jelent 2024. december vége óta. A Prémium Magyar Állampapír állománya 2025. november végére 3180,9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csökkent, amely így 3780,1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Fix Magyar Állampapír állománya 2470,9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növekedett és elérte a 3487,8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hó végén. Szintén emelkedett a Bónusz Magyar Állampapír állománya is, 863,0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növekedést követően a hó végén 2071,9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Magyar Állampapír Plusz állománya, a nyomdai kibocsátású és a korábban értékesített papírokkal együtt, 331,7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emelkedett, így hó végén 1094,3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ki. A lakossági állampapírok közül a</w:t>
      </w:r>
      <w:r w:rsidR="007F2661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Fix Magyar Állampapír értékesítése volt a legmagasabb novemberben.</w:t>
      </w:r>
    </w:p>
    <w:p w14:paraId="4E509B8F" w14:textId="4E0526A9" w:rsidR="00CE4482" w:rsidRPr="00CE4482" w:rsidRDefault="00CE4482" w:rsidP="00CE4482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Az ÁKK Zrt. november hó folyamán összesen 11,1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összegben vásárolt vissza lakossági állampapírokat a forgalmazó bankoktól. 2025 áprilisától a forgalmazóknak lehetőség nyílt saját számlájukra került lakossági állampapírok cseréjére. Ennek keretében novemberben 24,0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összegben váltották be a saját számlájukra került lakossági állampapírokat az épp értékesítés alatt álló sorozatokra, amit a másodpiacon tovább értékesíthetnek a lakosság számára.</w:t>
      </w:r>
    </w:p>
    <w:p w14:paraId="056C9EA9" w14:textId="181FE3AC" w:rsidR="00CE4482" w:rsidRPr="00CE4482" w:rsidRDefault="00CE4482" w:rsidP="00CE4482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735A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A külföldi befektetők állampapír állománya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novemberben 264,8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7513,9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forintra emelkedett az előző hónaphoz képest. A külföldi állomány 99,6%-a, 7484,4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államkötvény, 0,4%-a, 29,5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 diszkontkincstárjegy. A</w:t>
      </w:r>
      <w:r w:rsidR="007F2661">
        <w:rPr>
          <w:rFonts w:ascii="Times New Roman" w:eastAsia="Times New Roman" w:hAnsi="Times New Roman" w:cs="Times New Roman"/>
          <w:sz w:val="26"/>
          <w:szCs w:val="26"/>
          <w:lang w:eastAsia="hu-HU"/>
        </w:rPr>
        <w:t> 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külföldi állomány átlagos hátralévő futamideje november végén 5,7 év volt.</w:t>
      </w:r>
    </w:p>
    <w:p w14:paraId="41B275C0" w14:textId="6AE899C5" w:rsidR="007B0B76" w:rsidRDefault="00CE4482" w:rsidP="00CE4482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devizaállamadósság kockázatainak mérséklése érdekében az ÁKK Zrt. </w:t>
      </w:r>
      <w:proofErr w:type="spellStart"/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swapügyleteket</w:t>
      </w:r>
      <w:proofErr w:type="spellEnd"/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köt. Ezen ügyletekhez kapcsolódóan az ÁKK Zrt.-nél elhelyezett fedezeti összegek (ún. mark-</w:t>
      </w:r>
      <w:proofErr w:type="spellStart"/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to</w:t>
      </w:r>
      <w:proofErr w:type="spellEnd"/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>-market betétek) az adósságállomány részét képezik, és az „egyéb kötelezettségek” soron kerülnek kimutatásra. A vizsgált időszakban az egyéb kötelezettségek állománya 88,9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forinttal csökkent. November végén az állomány 130,7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milliárd</w:t>
      </w:r>
      <w:r w:rsidRPr="00CE448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forintot tett ki, ami a teljes államadósság 0,2%-át jelenti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32E988AF" w14:textId="77777777" w:rsidR="00807A87" w:rsidRPr="007B0B76" w:rsidRDefault="00807A87" w:rsidP="007B0B76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sectPr w:rsidR="00807A87" w:rsidRPr="007B0B76" w:rsidSect="007449BF">
      <w:headerReference w:type="even" r:id="rId31"/>
      <w:footerReference w:type="default" r:id="rId32"/>
      <w:footerReference w:type="first" r:id="rId33"/>
      <w:pgSz w:w="11906" w:h="16838"/>
      <w:pgMar w:top="1418" w:right="1134" w:bottom="1418" w:left="1134" w:header="708" w:footer="6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A65B" w14:textId="77777777" w:rsidR="00482CC1" w:rsidRDefault="00482CC1" w:rsidP="00B155FE">
      <w:pPr>
        <w:spacing w:after="0" w:line="240" w:lineRule="auto"/>
      </w:pPr>
      <w:r>
        <w:separator/>
      </w:r>
    </w:p>
  </w:endnote>
  <w:endnote w:type="continuationSeparator" w:id="0">
    <w:p w14:paraId="1C7BD2A8" w14:textId="77777777" w:rsidR="00482CC1" w:rsidRDefault="00482CC1" w:rsidP="00B155FE">
      <w:pPr>
        <w:spacing w:after="0" w:line="240" w:lineRule="auto"/>
      </w:pPr>
      <w:r>
        <w:continuationSeparator/>
      </w:r>
    </w:p>
  </w:endnote>
  <w:endnote w:type="continuationNotice" w:id="1">
    <w:p w14:paraId="0FB7689F" w14:textId="77777777" w:rsidR="00482CC1" w:rsidRDefault="00482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2D1F" w14:textId="4DE2DC1D" w:rsidR="00473AC1" w:rsidRDefault="00473AC1">
    <w:pPr>
      <w:pStyle w:val="llb"/>
      <w:jc w:val="center"/>
    </w:pPr>
  </w:p>
  <w:p w14:paraId="41773F2F" w14:textId="77777777" w:rsidR="00473AC1" w:rsidRDefault="00473A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154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2C756D2" w14:textId="3800D4A3" w:rsidR="00473AC1" w:rsidRPr="005A1E0F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 w:rsidRPr="005A1E0F">
          <w:rPr>
            <w:rFonts w:ascii="Times New Roman" w:hAnsi="Times New Roman" w:cs="Times New Roman"/>
          </w:rPr>
          <w:t>20</w:t>
        </w:r>
      </w:p>
    </w:sdtContent>
  </w:sdt>
  <w:p w14:paraId="64304736" w14:textId="77777777" w:rsidR="00473AC1" w:rsidRDefault="00473AC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558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0FD5F29" w14:textId="7D80A60B" w:rsidR="00473AC1" w:rsidRPr="00470868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 w:rsidRPr="00470868">
          <w:rPr>
            <w:rFonts w:ascii="Times New Roman" w:hAnsi="Times New Roman" w:cs="Times New Roman"/>
            <w:sz w:val="24"/>
          </w:rPr>
          <w:fldChar w:fldCharType="begin"/>
        </w:r>
        <w:r w:rsidRPr="00470868">
          <w:rPr>
            <w:rFonts w:ascii="Times New Roman" w:hAnsi="Times New Roman" w:cs="Times New Roman"/>
            <w:sz w:val="24"/>
          </w:rPr>
          <w:instrText>PAGE   \* MERGEFORMAT</w:instrText>
        </w:r>
        <w:r w:rsidRPr="00470868">
          <w:rPr>
            <w:rFonts w:ascii="Times New Roman" w:hAnsi="Times New Roman" w:cs="Times New Roman"/>
            <w:sz w:val="24"/>
          </w:rPr>
          <w:fldChar w:fldCharType="separate"/>
        </w:r>
        <w:r w:rsidR="007B6DF2">
          <w:rPr>
            <w:rFonts w:ascii="Times New Roman" w:hAnsi="Times New Roman" w:cs="Times New Roman"/>
            <w:noProof/>
            <w:sz w:val="24"/>
          </w:rPr>
          <w:t>19</w:t>
        </w:r>
        <w:r w:rsidRPr="004708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7329691" w14:textId="773A5D5E" w:rsidR="00473AC1" w:rsidRPr="00556984" w:rsidRDefault="00473AC1" w:rsidP="00556984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18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ADCE6C8" w14:textId="77777777" w:rsidR="00473AC1" w:rsidRPr="00D4148C" w:rsidRDefault="00473AC1">
        <w:pPr>
          <w:pStyle w:val="llb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22</w:t>
        </w:r>
      </w:p>
    </w:sdtContent>
  </w:sdt>
  <w:p w14:paraId="078E8FA1" w14:textId="77777777" w:rsidR="00473AC1" w:rsidRDefault="00473AC1" w:rsidP="00C74E0F">
    <w:pPr>
      <w:pStyle w:val="llb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0D1" w14:textId="0EBE225F" w:rsidR="00473AC1" w:rsidRDefault="239528D4" w:rsidP="004A3001">
    <w:pPr>
      <w:pStyle w:val="llb"/>
      <w:jc w:val="center"/>
    </w:pPr>
    <w:r w:rsidRPr="239528D4">
      <w:rPr>
        <w:rFonts w:ascii="Times New Roman" w:hAnsi="Times New Roman" w:cs="Times New Roman"/>
        <w:sz w:val="24"/>
        <w:szCs w:val="24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B1A9" w14:textId="77777777" w:rsidR="00482CC1" w:rsidRDefault="00482CC1" w:rsidP="00B155FE">
      <w:pPr>
        <w:spacing w:after="0" w:line="240" w:lineRule="auto"/>
      </w:pPr>
      <w:r>
        <w:separator/>
      </w:r>
    </w:p>
  </w:footnote>
  <w:footnote w:type="continuationSeparator" w:id="0">
    <w:p w14:paraId="4C795B76" w14:textId="77777777" w:rsidR="00482CC1" w:rsidRDefault="00482CC1" w:rsidP="00B155FE">
      <w:pPr>
        <w:spacing w:after="0" w:line="240" w:lineRule="auto"/>
      </w:pPr>
      <w:r>
        <w:continuationSeparator/>
      </w:r>
    </w:p>
  </w:footnote>
  <w:footnote w:type="continuationNotice" w:id="1">
    <w:p w14:paraId="093C8605" w14:textId="77777777" w:rsidR="00482CC1" w:rsidRDefault="00482C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473AC1" w14:paraId="1027336C" w14:textId="77777777" w:rsidTr="75E7E8C2">
      <w:tc>
        <w:tcPr>
          <w:tcW w:w="3118" w:type="dxa"/>
        </w:tcPr>
        <w:p w14:paraId="4C837DDD" w14:textId="79A8EEFC" w:rsidR="00473AC1" w:rsidRDefault="00473AC1" w:rsidP="75E7E8C2">
          <w:pPr>
            <w:pStyle w:val="lfej"/>
            <w:ind w:left="-115"/>
          </w:pPr>
        </w:p>
      </w:tc>
      <w:tc>
        <w:tcPr>
          <w:tcW w:w="3118" w:type="dxa"/>
        </w:tcPr>
        <w:p w14:paraId="215A5B55" w14:textId="4B5EFC16" w:rsidR="00473AC1" w:rsidRDefault="00473AC1" w:rsidP="75E7E8C2">
          <w:pPr>
            <w:pStyle w:val="lfej"/>
            <w:jc w:val="center"/>
          </w:pPr>
        </w:p>
      </w:tc>
      <w:tc>
        <w:tcPr>
          <w:tcW w:w="3118" w:type="dxa"/>
        </w:tcPr>
        <w:p w14:paraId="08CD3A76" w14:textId="283AC16D" w:rsidR="00473AC1" w:rsidRDefault="00473AC1" w:rsidP="75E7E8C2">
          <w:pPr>
            <w:pStyle w:val="lfej"/>
            <w:ind w:right="-115"/>
            <w:jc w:val="right"/>
          </w:pPr>
        </w:p>
      </w:tc>
    </w:tr>
  </w:tbl>
  <w:p w14:paraId="4176297E" w14:textId="7CD13837" w:rsidR="00473AC1" w:rsidRDefault="00473AC1" w:rsidP="75E7E8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47D1" w14:textId="3D0DDD49" w:rsidR="00473AC1" w:rsidRDefault="00473AC1" w:rsidP="75E7E8C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C96" w14:textId="77777777" w:rsidR="00473AC1" w:rsidRPr="00881044" w:rsidRDefault="00473AC1" w:rsidP="00C74E0F">
    <w:pPr>
      <w:pStyle w:val="lfej"/>
      <w:rPr>
        <w:rStyle w:val="Oldalszm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C97" w14:textId="77777777" w:rsidR="00473AC1" w:rsidRPr="00FE4DD1" w:rsidRDefault="00473AC1" w:rsidP="00C74E0F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0095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B15785" w14:textId="77777777" w:rsidR="00473AC1" w:rsidRDefault="00473AC1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A775F7D" w14:textId="77777777" w:rsidR="00473AC1" w:rsidRDefault="00473A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298"/>
    <w:multiLevelType w:val="hybridMultilevel"/>
    <w:tmpl w:val="44CCC2AC"/>
    <w:lvl w:ilvl="0" w:tplc="08783BE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2D43"/>
    <w:multiLevelType w:val="hybridMultilevel"/>
    <w:tmpl w:val="390E53F2"/>
    <w:lvl w:ilvl="0" w:tplc="F872D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C4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C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EF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66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06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A3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3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4D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7670D"/>
    <w:multiLevelType w:val="hybridMultilevel"/>
    <w:tmpl w:val="FDDC7674"/>
    <w:lvl w:ilvl="0" w:tplc="9120D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33469"/>
    <w:multiLevelType w:val="hybridMultilevel"/>
    <w:tmpl w:val="D612FE54"/>
    <w:lvl w:ilvl="0" w:tplc="85BCE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8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61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4C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48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00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0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AE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CE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3523A"/>
    <w:multiLevelType w:val="hybridMultilevel"/>
    <w:tmpl w:val="92D45DA0"/>
    <w:lvl w:ilvl="0" w:tplc="5E429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F720B"/>
    <w:multiLevelType w:val="hybridMultilevel"/>
    <w:tmpl w:val="9D346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3289">
    <w:abstractNumId w:val="3"/>
  </w:num>
  <w:num w:numId="2" w16cid:durableId="1171026080">
    <w:abstractNumId w:val="4"/>
  </w:num>
  <w:num w:numId="3" w16cid:durableId="1245341741">
    <w:abstractNumId w:val="0"/>
  </w:num>
  <w:num w:numId="4" w16cid:durableId="1549414595">
    <w:abstractNumId w:val="5"/>
  </w:num>
  <w:num w:numId="5" w16cid:durableId="993993450">
    <w:abstractNumId w:val="2"/>
  </w:num>
  <w:num w:numId="6" w16cid:durableId="89535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FE"/>
    <w:rsid w:val="00000517"/>
    <w:rsid w:val="0000169C"/>
    <w:rsid w:val="000017BD"/>
    <w:rsid w:val="00001DDD"/>
    <w:rsid w:val="00001F08"/>
    <w:rsid w:val="000044C3"/>
    <w:rsid w:val="00007D4A"/>
    <w:rsid w:val="000103E9"/>
    <w:rsid w:val="000118DE"/>
    <w:rsid w:val="00015558"/>
    <w:rsid w:val="00015945"/>
    <w:rsid w:val="00020D17"/>
    <w:rsid w:val="0002105A"/>
    <w:rsid w:val="00022205"/>
    <w:rsid w:val="00022974"/>
    <w:rsid w:val="000237EA"/>
    <w:rsid w:val="00024158"/>
    <w:rsid w:val="0002586B"/>
    <w:rsid w:val="00025889"/>
    <w:rsid w:val="00026266"/>
    <w:rsid w:val="0002674A"/>
    <w:rsid w:val="000302F3"/>
    <w:rsid w:val="00031896"/>
    <w:rsid w:val="00031C82"/>
    <w:rsid w:val="00031C9D"/>
    <w:rsid w:val="00034760"/>
    <w:rsid w:val="000365DC"/>
    <w:rsid w:val="0003668B"/>
    <w:rsid w:val="0003701E"/>
    <w:rsid w:val="0004032B"/>
    <w:rsid w:val="000407DB"/>
    <w:rsid w:val="00042512"/>
    <w:rsid w:val="00043E49"/>
    <w:rsid w:val="00044042"/>
    <w:rsid w:val="000458BD"/>
    <w:rsid w:val="00045DF7"/>
    <w:rsid w:val="000471E4"/>
    <w:rsid w:val="000512BB"/>
    <w:rsid w:val="00051E9B"/>
    <w:rsid w:val="0005236D"/>
    <w:rsid w:val="00052502"/>
    <w:rsid w:val="0005250F"/>
    <w:rsid w:val="00052554"/>
    <w:rsid w:val="00052E4F"/>
    <w:rsid w:val="00054358"/>
    <w:rsid w:val="00054CDA"/>
    <w:rsid w:val="00055632"/>
    <w:rsid w:val="00057916"/>
    <w:rsid w:val="000611EC"/>
    <w:rsid w:val="000617B7"/>
    <w:rsid w:val="00064521"/>
    <w:rsid w:val="0006496D"/>
    <w:rsid w:val="00064D6A"/>
    <w:rsid w:val="00064E2A"/>
    <w:rsid w:val="00065E19"/>
    <w:rsid w:val="00067A57"/>
    <w:rsid w:val="00070EAC"/>
    <w:rsid w:val="00071FA3"/>
    <w:rsid w:val="00072A58"/>
    <w:rsid w:val="0007336F"/>
    <w:rsid w:val="0007525D"/>
    <w:rsid w:val="000770F3"/>
    <w:rsid w:val="00077440"/>
    <w:rsid w:val="0008062F"/>
    <w:rsid w:val="000809B3"/>
    <w:rsid w:val="00081A0C"/>
    <w:rsid w:val="00081A16"/>
    <w:rsid w:val="00081FF0"/>
    <w:rsid w:val="00082ADE"/>
    <w:rsid w:val="000846A7"/>
    <w:rsid w:val="00085B09"/>
    <w:rsid w:val="00085C37"/>
    <w:rsid w:val="00085DCC"/>
    <w:rsid w:val="000874F4"/>
    <w:rsid w:val="00087C75"/>
    <w:rsid w:val="00091B18"/>
    <w:rsid w:val="00091F16"/>
    <w:rsid w:val="0009484D"/>
    <w:rsid w:val="00095983"/>
    <w:rsid w:val="00095C95"/>
    <w:rsid w:val="00096300"/>
    <w:rsid w:val="000A0A88"/>
    <w:rsid w:val="000A0C4E"/>
    <w:rsid w:val="000A18F9"/>
    <w:rsid w:val="000A1F24"/>
    <w:rsid w:val="000A2818"/>
    <w:rsid w:val="000A296F"/>
    <w:rsid w:val="000A2EAB"/>
    <w:rsid w:val="000A4669"/>
    <w:rsid w:val="000A4732"/>
    <w:rsid w:val="000A4839"/>
    <w:rsid w:val="000A531B"/>
    <w:rsid w:val="000A7964"/>
    <w:rsid w:val="000A7B53"/>
    <w:rsid w:val="000B1235"/>
    <w:rsid w:val="000B2569"/>
    <w:rsid w:val="000B49AE"/>
    <w:rsid w:val="000B58F0"/>
    <w:rsid w:val="000B6723"/>
    <w:rsid w:val="000B6BE0"/>
    <w:rsid w:val="000B7018"/>
    <w:rsid w:val="000C1105"/>
    <w:rsid w:val="000C13F2"/>
    <w:rsid w:val="000C1781"/>
    <w:rsid w:val="000C1B6F"/>
    <w:rsid w:val="000C20F7"/>
    <w:rsid w:val="000C2BFE"/>
    <w:rsid w:val="000C31E5"/>
    <w:rsid w:val="000C3D4C"/>
    <w:rsid w:val="000C46F3"/>
    <w:rsid w:val="000C7CC7"/>
    <w:rsid w:val="000D074C"/>
    <w:rsid w:val="000D1BA8"/>
    <w:rsid w:val="000D39EE"/>
    <w:rsid w:val="000D4A41"/>
    <w:rsid w:val="000D4E21"/>
    <w:rsid w:val="000D59E2"/>
    <w:rsid w:val="000D5A5C"/>
    <w:rsid w:val="000D6C88"/>
    <w:rsid w:val="000D76F4"/>
    <w:rsid w:val="000D7836"/>
    <w:rsid w:val="000D7C83"/>
    <w:rsid w:val="000D7EFD"/>
    <w:rsid w:val="000E08FE"/>
    <w:rsid w:val="000E3639"/>
    <w:rsid w:val="000E4202"/>
    <w:rsid w:val="000E4745"/>
    <w:rsid w:val="000E488F"/>
    <w:rsid w:val="000E4A68"/>
    <w:rsid w:val="000E4B01"/>
    <w:rsid w:val="000E4BA6"/>
    <w:rsid w:val="000E4F73"/>
    <w:rsid w:val="000E5868"/>
    <w:rsid w:val="000E5AA8"/>
    <w:rsid w:val="000E690A"/>
    <w:rsid w:val="000E78FE"/>
    <w:rsid w:val="000F046E"/>
    <w:rsid w:val="000F13BA"/>
    <w:rsid w:val="000F63B6"/>
    <w:rsid w:val="000F765C"/>
    <w:rsid w:val="0010108E"/>
    <w:rsid w:val="00101618"/>
    <w:rsid w:val="001023AC"/>
    <w:rsid w:val="00103FE9"/>
    <w:rsid w:val="00104A6A"/>
    <w:rsid w:val="001074A1"/>
    <w:rsid w:val="0010753C"/>
    <w:rsid w:val="00110C6D"/>
    <w:rsid w:val="001135FA"/>
    <w:rsid w:val="001138B8"/>
    <w:rsid w:val="0011423A"/>
    <w:rsid w:val="00115834"/>
    <w:rsid w:val="00115AF5"/>
    <w:rsid w:val="00117E64"/>
    <w:rsid w:val="001209E7"/>
    <w:rsid w:val="00120B53"/>
    <w:rsid w:val="001215DC"/>
    <w:rsid w:val="001229C6"/>
    <w:rsid w:val="0012490F"/>
    <w:rsid w:val="00125040"/>
    <w:rsid w:val="0012611D"/>
    <w:rsid w:val="001266D5"/>
    <w:rsid w:val="00126D53"/>
    <w:rsid w:val="00127579"/>
    <w:rsid w:val="00130472"/>
    <w:rsid w:val="00131103"/>
    <w:rsid w:val="00133EE6"/>
    <w:rsid w:val="0013421A"/>
    <w:rsid w:val="0013434A"/>
    <w:rsid w:val="00134BE6"/>
    <w:rsid w:val="00134EEA"/>
    <w:rsid w:val="001357E1"/>
    <w:rsid w:val="0013596C"/>
    <w:rsid w:val="00135EA3"/>
    <w:rsid w:val="00136087"/>
    <w:rsid w:val="001366F9"/>
    <w:rsid w:val="001378AC"/>
    <w:rsid w:val="00142F01"/>
    <w:rsid w:val="00146517"/>
    <w:rsid w:val="00147C0E"/>
    <w:rsid w:val="00150CCD"/>
    <w:rsid w:val="0015200F"/>
    <w:rsid w:val="0015256A"/>
    <w:rsid w:val="00153722"/>
    <w:rsid w:val="0015385C"/>
    <w:rsid w:val="00153C19"/>
    <w:rsid w:val="00155283"/>
    <w:rsid w:val="001552F0"/>
    <w:rsid w:val="00155301"/>
    <w:rsid w:val="00155BD4"/>
    <w:rsid w:val="00156079"/>
    <w:rsid w:val="001615DE"/>
    <w:rsid w:val="00161C4F"/>
    <w:rsid w:val="00162178"/>
    <w:rsid w:val="00163233"/>
    <w:rsid w:val="00167874"/>
    <w:rsid w:val="00170E23"/>
    <w:rsid w:val="001722D8"/>
    <w:rsid w:val="00174A9A"/>
    <w:rsid w:val="001765F3"/>
    <w:rsid w:val="00180316"/>
    <w:rsid w:val="00180337"/>
    <w:rsid w:val="00182D6E"/>
    <w:rsid w:val="00182EA1"/>
    <w:rsid w:val="00183D4C"/>
    <w:rsid w:val="001849A2"/>
    <w:rsid w:val="00185268"/>
    <w:rsid w:val="001855C0"/>
    <w:rsid w:val="0018560D"/>
    <w:rsid w:val="00186B09"/>
    <w:rsid w:val="0019060B"/>
    <w:rsid w:val="00190E21"/>
    <w:rsid w:val="0019257A"/>
    <w:rsid w:val="00193514"/>
    <w:rsid w:val="001936BE"/>
    <w:rsid w:val="00193DF7"/>
    <w:rsid w:val="00194065"/>
    <w:rsid w:val="00194E8F"/>
    <w:rsid w:val="00194EEE"/>
    <w:rsid w:val="001967FC"/>
    <w:rsid w:val="001970FB"/>
    <w:rsid w:val="00197516"/>
    <w:rsid w:val="001A025E"/>
    <w:rsid w:val="001A2835"/>
    <w:rsid w:val="001A4175"/>
    <w:rsid w:val="001A4E5E"/>
    <w:rsid w:val="001A57FD"/>
    <w:rsid w:val="001A5B43"/>
    <w:rsid w:val="001A5BE2"/>
    <w:rsid w:val="001A7E0B"/>
    <w:rsid w:val="001B0DB1"/>
    <w:rsid w:val="001B307C"/>
    <w:rsid w:val="001B389C"/>
    <w:rsid w:val="001B4158"/>
    <w:rsid w:val="001B416B"/>
    <w:rsid w:val="001B4DF1"/>
    <w:rsid w:val="001B50D2"/>
    <w:rsid w:val="001B6F61"/>
    <w:rsid w:val="001C0209"/>
    <w:rsid w:val="001C1935"/>
    <w:rsid w:val="001C21CA"/>
    <w:rsid w:val="001C456C"/>
    <w:rsid w:val="001D04A8"/>
    <w:rsid w:val="001D04FF"/>
    <w:rsid w:val="001D17F4"/>
    <w:rsid w:val="001D1FEA"/>
    <w:rsid w:val="001D22D6"/>
    <w:rsid w:val="001D42E6"/>
    <w:rsid w:val="001D4975"/>
    <w:rsid w:val="001D49AD"/>
    <w:rsid w:val="001D6BA0"/>
    <w:rsid w:val="001D701F"/>
    <w:rsid w:val="001D709B"/>
    <w:rsid w:val="001D7FB5"/>
    <w:rsid w:val="001E0CF6"/>
    <w:rsid w:val="001E2D1E"/>
    <w:rsid w:val="001E3BA9"/>
    <w:rsid w:val="001E4B4D"/>
    <w:rsid w:val="001E4C57"/>
    <w:rsid w:val="001E6717"/>
    <w:rsid w:val="001E6750"/>
    <w:rsid w:val="001E689B"/>
    <w:rsid w:val="001E7243"/>
    <w:rsid w:val="001E7C1C"/>
    <w:rsid w:val="001F0233"/>
    <w:rsid w:val="001F10C2"/>
    <w:rsid w:val="001F14EB"/>
    <w:rsid w:val="001F4D95"/>
    <w:rsid w:val="001F7400"/>
    <w:rsid w:val="001F7BB0"/>
    <w:rsid w:val="001F7CA7"/>
    <w:rsid w:val="00201050"/>
    <w:rsid w:val="00201886"/>
    <w:rsid w:val="00201D91"/>
    <w:rsid w:val="00202A40"/>
    <w:rsid w:val="00203266"/>
    <w:rsid w:val="0020367E"/>
    <w:rsid w:val="0020471C"/>
    <w:rsid w:val="00204D0A"/>
    <w:rsid w:val="00204EA6"/>
    <w:rsid w:val="0020759E"/>
    <w:rsid w:val="00210593"/>
    <w:rsid w:val="002107FF"/>
    <w:rsid w:val="00210B1E"/>
    <w:rsid w:val="00213E49"/>
    <w:rsid w:val="002147CD"/>
    <w:rsid w:val="00215B35"/>
    <w:rsid w:val="00215F73"/>
    <w:rsid w:val="00217D8B"/>
    <w:rsid w:val="0022104D"/>
    <w:rsid w:val="0022196A"/>
    <w:rsid w:val="00221A06"/>
    <w:rsid w:val="002223AF"/>
    <w:rsid w:val="00224466"/>
    <w:rsid w:val="0022447A"/>
    <w:rsid w:val="00224692"/>
    <w:rsid w:val="00224714"/>
    <w:rsid w:val="002247AD"/>
    <w:rsid w:val="00224E67"/>
    <w:rsid w:val="002260BF"/>
    <w:rsid w:val="002267D0"/>
    <w:rsid w:val="00226A85"/>
    <w:rsid w:val="002276A7"/>
    <w:rsid w:val="0022DF0C"/>
    <w:rsid w:val="002310C9"/>
    <w:rsid w:val="00232288"/>
    <w:rsid w:val="00232FCD"/>
    <w:rsid w:val="00235F55"/>
    <w:rsid w:val="0023693F"/>
    <w:rsid w:val="00236BF8"/>
    <w:rsid w:val="0024009D"/>
    <w:rsid w:val="002400E5"/>
    <w:rsid w:val="002409BB"/>
    <w:rsid w:val="00241A82"/>
    <w:rsid w:val="00241E69"/>
    <w:rsid w:val="0024232D"/>
    <w:rsid w:val="0024454E"/>
    <w:rsid w:val="0024586E"/>
    <w:rsid w:val="0025038B"/>
    <w:rsid w:val="00250E1F"/>
    <w:rsid w:val="0025229C"/>
    <w:rsid w:val="00252EE5"/>
    <w:rsid w:val="00255506"/>
    <w:rsid w:val="002564C4"/>
    <w:rsid w:val="00256C78"/>
    <w:rsid w:val="00257190"/>
    <w:rsid w:val="00261221"/>
    <w:rsid w:val="0026130A"/>
    <w:rsid w:val="00261F15"/>
    <w:rsid w:val="00262041"/>
    <w:rsid w:val="0026208D"/>
    <w:rsid w:val="002655BB"/>
    <w:rsid w:val="00265E51"/>
    <w:rsid w:val="00266768"/>
    <w:rsid w:val="002678FB"/>
    <w:rsid w:val="00271066"/>
    <w:rsid w:val="002725E9"/>
    <w:rsid w:val="00272765"/>
    <w:rsid w:val="00272CF0"/>
    <w:rsid w:val="002734B7"/>
    <w:rsid w:val="002736E9"/>
    <w:rsid w:val="0027381C"/>
    <w:rsid w:val="00275CF5"/>
    <w:rsid w:val="002763AE"/>
    <w:rsid w:val="00280C09"/>
    <w:rsid w:val="00280E99"/>
    <w:rsid w:val="00281CE8"/>
    <w:rsid w:val="0028274C"/>
    <w:rsid w:val="002827DF"/>
    <w:rsid w:val="00282A85"/>
    <w:rsid w:val="00284631"/>
    <w:rsid w:val="00285866"/>
    <w:rsid w:val="00286170"/>
    <w:rsid w:val="0028671F"/>
    <w:rsid w:val="00290289"/>
    <w:rsid w:val="002910F0"/>
    <w:rsid w:val="0029176A"/>
    <w:rsid w:val="002921A1"/>
    <w:rsid w:val="0029251A"/>
    <w:rsid w:val="0029365F"/>
    <w:rsid w:val="00293965"/>
    <w:rsid w:val="00295391"/>
    <w:rsid w:val="002954AA"/>
    <w:rsid w:val="00295EBB"/>
    <w:rsid w:val="002975B9"/>
    <w:rsid w:val="002A11AD"/>
    <w:rsid w:val="002A1BCD"/>
    <w:rsid w:val="002A34E6"/>
    <w:rsid w:val="002A41A8"/>
    <w:rsid w:val="002A4B97"/>
    <w:rsid w:val="002A4F7A"/>
    <w:rsid w:val="002A6144"/>
    <w:rsid w:val="002B0545"/>
    <w:rsid w:val="002B09F4"/>
    <w:rsid w:val="002B1FE2"/>
    <w:rsid w:val="002B2B83"/>
    <w:rsid w:val="002B39F8"/>
    <w:rsid w:val="002B3F6F"/>
    <w:rsid w:val="002B492B"/>
    <w:rsid w:val="002B4E58"/>
    <w:rsid w:val="002B5961"/>
    <w:rsid w:val="002B7BB9"/>
    <w:rsid w:val="002B7C36"/>
    <w:rsid w:val="002C11E9"/>
    <w:rsid w:val="002C1531"/>
    <w:rsid w:val="002C25D3"/>
    <w:rsid w:val="002C34B8"/>
    <w:rsid w:val="002C4EE9"/>
    <w:rsid w:val="002C5F14"/>
    <w:rsid w:val="002C6300"/>
    <w:rsid w:val="002C688F"/>
    <w:rsid w:val="002C6917"/>
    <w:rsid w:val="002C6B74"/>
    <w:rsid w:val="002C6F14"/>
    <w:rsid w:val="002D04D3"/>
    <w:rsid w:val="002D0677"/>
    <w:rsid w:val="002D1B11"/>
    <w:rsid w:val="002D20E7"/>
    <w:rsid w:val="002D387C"/>
    <w:rsid w:val="002D4984"/>
    <w:rsid w:val="002D56EC"/>
    <w:rsid w:val="002D6497"/>
    <w:rsid w:val="002D6802"/>
    <w:rsid w:val="002D7478"/>
    <w:rsid w:val="002D7CCE"/>
    <w:rsid w:val="002D7D55"/>
    <w:rsid w:val="002E08A7"/>
    <w:rsid w:val="002E1C57"/>
    <w:rsid w:val="002E2022"/>
    <w:rsid w:val="002E31EF"/>
    <w:rsid w:val="002E401D"/>
    <w:rsid w:val="002E4CE9"/>
    <w:rsid w:val="002E4E83"/>
    <w:rsid w:val="002E502E"/>
    <w:rsid w:val="002E589F"/>
    <w:rsid w:val="002E5FBF"/>
    <w:rsid w:val="002E70D5"/>
    <w:rsid w:val="002E75A7"/>
    <w:rsid w:val="002E7744"/>
    <w:rsid w:val="002E7EAD"/>
    <w:rsid w:val="002F0795"/>
    <w:rsid w:val="002F0E70"/>
    <w:rsid w:val="002F150D"/>
    <w:rsid w:val="002F2521"/>
    <w:rsid w:val="002F25C3"/>
    <w:rsid w:val="002F3D61"/>
    <w:rsid w:val="002F4854"/>
    <w:rsid w:val="002F4E3B"/>
    <w:rsid w:val="002F5E69"/>
    <w:rsid w:val="002F6126"/>
    <w:rsid w:val="002F6DDD"/>
    <w:rsid w:val="002F7F1A"/>
    <w:rsid w:val="0030136A"/>
    <w:rsid w:val="003016AA"/>
    <w:rsid w:val="003018B0"/>
    <w:rsid w:val="00303306"/>
    <w:rsid w:val="003050ED"/>
    <w:rsid w:val="00306C97"/>
    <w:rsid w:val="00306EFA"/>
    <w:rsid w:val="00307C4F"/>
    <w:rsid w:val="003100A2"/>
    <w:rsid w:val="003112A9"/>
    <w:rsid w:val="0031139E"/>
    <w:rsid w:val="00311E85"/>
    <w:rsid w:val="003138FC"/>
    <w:rsid w:val="00313E8A"/>
    <w:rsid w:val="00314245"/>
    <w:rsid w:val="0031468F"/>
    <w:rsid w:val="0031479F"/>
    <w:rsid w:val="00315E40"/>
    <w:rsid w:val="00316788"/>
    <w:rsid w:val="00316DCC"/>
    <w:rsid w:val="003208C8"/>
    <w:rsid w:val="00322101"/>
    <w:rsid w:val="0032261D"/>
    <w:rsid w:val="00323B30"/>
    <w:rsid w:val="00324B1E"/>
    <w:rsid w:val="0032514C"/>
    <w:rsid w:val="00326644"/>
    <w:rsid w:val="00327378"/>
    <w:rsid w:val="00327D30"/>
    <w:rsid w:val="003310E3"/>
    <w:rsid w:val="00331938"/>
    <w:rsid w:val="00331B23"/>
    <w:rsid w:val="00331DCD"/>
    <w:rsid w:val="00333A2D"/>
    <w:rsid w:val="00334321"/>
    <w:rsid w:val="0033462C"/>
    <w:rsid w:val="00334D9F"/>
    <w:rsid w:val="00334DE1"/>
    <w:rsid w:val="00336B23"/>
    <w:rsid w:val="00336E30"/>
    <w:rsid w:val="0034134A"/>
    <w:rsid w:val="003415FE"/>
    <w:rsid w:val="0034232F"/>
    <w:rsid w:val="00343A3D"/>
    <w:rsid w:val="00343F69"/>
    <w:rsid w:val="00345686"/>
    <w:rsid w:val="00346073"/>
    <w:rsid w:val="00346908"/>
    <w:rsid w:val="0034721A"/>
    <w:rsid w:val="00347F4F"/>
    <w:rsid w:val="00350210"/>
    <w:rsid w:val="00350F76"/>
    <w:rsid w:val="00351743"/>
    <w:rsid w:val="003517A3"/>
    <w:rsid w:val="00351831"/>
    <w:rsid w:val="00351B39"/>
    <w:rsid w:val="00351D59"/>
    <w:rsid w:val="003524B0"/>
    <w:rsid w:val="003526BB"/>
    <w:rsid w:val="003550F2"/>
    <w:rsid w:val="003558B8"/>
    <w:rsid w:val="003559D3"/>
    <w:rsid w:val="00356959"/>
    <w:rsid w:val="0035701C"/>
    <w:rsid w:val="00360024"/>
    <w:rsid w:val="00362276"/>
    <w:rsid w:val="003632EE"/>
    <w:rsid w:val="00364745"/>
    <w:rsid w:val="0036497A"/>
    <w:rsid w:val="00366359"/>
    <w:rsid w:val="00370B57"/>
    <w:rsid w:val="00370CD6"/>
    <w:rsid w:val="0037227B"/>
    <w:rsid w:val="00373612"/>
    <w:rsid w:val="0037378C"/>
    <w:rsid w:val="003754BF"/>
    <w:rsid w:val="00375C19"/>
    <w:rsid w:val="0037705D"/>
    <w:rsid w:val="003772C6"/>
    <w:rsid w:val="00377D59"/>
    <w:rsid w:val="003804A3"/>
    <w:rsid w:val="00380D8A"/>
    <w:rsid w:val="00381A54"/>
    <w:rsid w:val="003824FA"/>
    <w:rsid w:val="00382EE1"/>
    <w:rsid w:val="003847D8"/>
    <w:rsid w:val="00384AA3"/>
    <w:rsid w:val="00385EC8"/>
    <w:rsid w:val="003865FB"/>
    <w:rsid w:val="00387FF8"/>
    <w:rsid w:val="00390A19"/>
    <w:rsid w:val="00390D71"/>
    <w:rsid w:val="0039133A"/>
    <w:rsid w:val="00391ACC"/>
    <w:rsid w:val="003942C9"/>
    <w:rsid w:val="003943D5"/>
    <w:rsid w:val="00395832"/>
    <w:rsid w:val="00397C7F"/>
    <w:rsid w:val="003A0943"/>
    <w:rsid w:val="003A0BA1"/>
    <w:rsid w:val="003A2419"/>
    <w:rsid w:val="003A4B83"/>
    <w:rsid w:val="003A4D97"/>
    <w:rsid w:val="003A5C78"/>
    <w:rsid w:val="003A6B84"/>
    <w:rsid w:val="003A7E2F"/>
    <w:rsid w:val="003A7F3F"/>
    <w:rsid w:val="003B04CA"/>
    <w:rsid w:val="003B2E1F"/>
    <w:rsid w:val="003B356C"/>
    <w:rsid w:val="003B53B6"/>
    <w:rsid w:val="003B55AB"/>
    <w:rsid w:val="003B5A9A"/>
    <w:rsid w:val="003C09EA"/>
    <w:rsid w:val="003C1306"/>
    <w:rsid w:val="003C13C6"/>
    <w:rsid w:val="003C1F7C"/>
    <w:rsid w:val="003C20B2"/>
    <w:rsid w:val="003C2D6B"/>
    <w:rsid w:val="003C391B"/>
    <w:rsid w:val="003C501E"/>
    <w:rsid w:val="003C5470"/>
    <w:rsid w:val="003C57BB"/>
    <w:rsid w:val="003C6F64"/>
    <w:rsid w:val="003D0602"/>
    <w:rsid w:val="003D16B4"/>
    <w:rsid w:val="003D21B5"/>
    <w:rsid w:val="003D27F6"/>
    <w:rsid w:val="003D4300"/>
    <w:rsid w:val="003D5132"/>
    <w:rsid w:val="003D61A8"/>
    <w:rsid w:val="003E2A67"/>
    <w:rsid w:val="003E46ED"/>
    <w:rsid w:val="003E4A11"/>
    <w:rsid w:val="003E4A41"/>
    <w:rsid w:val="003E508C"/>
    <w:rsid w:val="003E622C"/>
    <w:rsid w:val="003E634A"/>
    <w:rsid w:val="003E7547"/>
    <w:rsid w:val="003F1571"/>
    <w:rsid w:val="003F18A4"/>
    <w:rsid w:val="003F267F"/>
    <w:rsid w:val="003F3149"/>
    <w:rsid w:val="003F3151"/>
    <w:rsid w:val="003F354B"/>
    <w:rsid w:val="003F417E"/>
    <w:rsid w:val="003F4F73"/>
    <w:rsid w:val="00400149"/>
    <w:rsid w:val="004003D1"/>
    <w:rsid w:val="00401229"/>
    <w:rsid w:val="004012A0"/>
    <w:rsid w:val="00401B4D"/>
    <w:rsid w:val="00402B47"/>
    <w:rsid w:val="00403D7E"/>
    <w:rsid w:val="00404793"/>
    <w:rsid w:val="0040704D"/>
    <w:rsid w:val="00411AC0"/>
    <w:rsid w:val="00411BDD"/>
    <w:rsid w:val="00414CDD"/>
    <w:rsid w:val="004163D7"/>
    <w:rsid w:val="004206D8"/>
    <w:rsid w:val="00421775"/>
    <w:rsid w:val="004220DE"/>
    <w:rsid w:val="00422213"/>
    <w:rsid w:val="00422A0B"/>
    <w:rsid w:val="0042380D"/>
    <w:rsid w:val="004269CF"/>
    <w:rsid w:val="00427EF9"/>
    <w:rsid w:val="00427F34"/>
    <w:rsid w:val="00427FBF"/>
    <w:rsid w:val="0043012E"/>
    <w:rsid w:val="00430D26"/>
    <w:rsid w:val="00433577"/>
    <w:rsid w:val="0043393D"/>
    <w:rsid w:val="00436C3A"/>
    <w:rsid w:val="004412D5"/>
    <w:rsid w:val="0044233D"/>
    <w:rsid w:val="00442993"/>
    <w:rsid w:val="0044396F"/>
    <w:rsid w:val="00444303"/>
    <w:rsid w:val="00444554"/>
    <w:rsid w:val="00444BD9"/>
    <w:rsid w:val="0044587B"/>
    <w:rsid w:val="00446026"/>
    <w:rsid w:val="004478CA"/>
    <w:rsid w:val="004523FE"/>
    <w:rsid w:val="00453786"/>
    <w:rsid w:val="00455A9C"/>
    <w:rsid w:val="004561EE"/>
    <w:rsid w:val="0045694E"/>
    <w:rsid w:val="00456EAE"/>
    <w:rsid w:val="00457124"/>
    <w:rsid w:val="00457711"/>
    <w:rsid w:val="00457918"/>
    <w:rsid w:val="00457950"/>
    <w:rsid w:val="004603AD"/>
    <w:rsid w:val="004605F2"/>
    <w:rsid w:val="00461216"/>
    <w:rsid w:val="00462EDD"/>
    <w:rsid w:val="00463BF1"/>
    <w:rsid w:val="00464B6D"/>
    <w:rsid w:val="00464D42"/>
    <w:rsid w:val="00465074"/>
    <w:rsid w:val="00466164"/>
    <w:rsid w:val="00466390"/>
    <w:rsid w:val="00466A47"/>
    <w:rsid w:val="00466C80"/>
    <w:rsid w:val="00467A58"/>
    <w:rsid w:val="00467BD6"/>
    <w:rsid w:val="00470868"/>
    <w:rsid w:val="004726B3"/>
    <w:rsid w:val="004727C2"/>
    <w:rsid w:val="004730BE"/>
    <w:rsid w:val="00473AC1"/>
    <w:rsid w:val="00474AC8"/>
    <w:rsid w:val="00477B37"/>
    <w:rsid w:val="004816C1"/>
    <w:rsid w:val="00482908"/>
    <w:rsid w:val="00482CC1"/>
    <w:rsid w:val="0048361E"/>
    <w:rsid w:val="004837DC"/>
    <w:rsid w:val="00484365"/>
    <w:rsid w:val="0048484D"/>
    <w:rsid w:val="00485019"/>
    <w:rsid w:val="004854D3"/>
    <w:rsid w:val="00485E1E"/>
    <w:rsid w:val="004879B8"/>
    <w:rsid w:val="00490330"/>
    <w:rsid w:val="0049287F"/>
    <w:rsid w:val="00492CAB"/>
    <w:rsid w:val="00494B89"/>
    <w:rsid w:val="00494D4B"/>
    <w:rsid w:val="004951E8"/>
    <w:rsid w:val="004966FE"/>
    <w:rsid w:val="00496C75"/>
    <w:rsid w:val="00496EAA"/>
    <w:rsid w:val="004971F1"/>
    <w:rsid w:val="004A0A15"/>
    <w:rsid w:val="004A2974"/>
    <w:rsid w:val="004A3001"/>
    <w:rsid w:val="004A3258"/>
    <w:rsid w:val="004A6A8F"/>
    <w:rsid w:val="004A6DD1"/>
    <w:rsid w:val="004B0F31"/>
    <w:rsid w:val="004B1132"/>
    <w:rsid w:val="004B1AF1"/>
    <w:rsid w:val="004B2192"/>
    <w:rsid w:val="004B2CAC"/>
    <w:rsid w:val="004B2DC3"/>
    <w:rsid w:val="004B30A3"/>
    <w:rsid w:val="004B3295"/>
    <w:rsid w:val="004B33EA"/>
    <w:rsid w:val="004B3704"/>
    <w:rsid w:val="004B391E"/>
    <w:rsid w:val="004B60A5"/>
    <w:rsid w:val="004B7931"/>
    <w:rsid w:val="004B7DC9"/>
    <w:rsid w:val="004C0575"/>
    <w:rsid w:val="004C0F47"/>
    <w:rsid w:val="004C1AE7"/>
    <w:rsid w:val="004C1B57"/>
    <w:rsid w:val="004C2BB5"/>
    <w:rsid w:val="004C3A05"/>
    <w:rsid w:val="004C3E54"/>
    <w:rsid w:val="004C5206"/>
    <w:rsid w:val="004C5E84"/>
    <w:rsid w:val="004C64E7"/>
    <w:rsid w:val="004C6BF5"/>
    <w:rsid w:val="004C73AF"/>
    <w:rsid w:val="004C74F8"/>
    <w:rsid w:val="004D06BA"/>
    <w:rsid w:val="004D0EEC"/>
    <w:rsid w:val="004D32C3"/>
    <w:rsid w:val="004D3C6E"/>
    <w:rsid w:val="004D50F6"/>
    <w:rsid w:val="004D5146"/>
    <w:rsid w:val="004D549E"/>
    <w:rsid w:val="004D72BB"/>
    <w:rsid w:val="004D7623"/>
    <w:rsid w:val="004E069E"/>
    <w:rsid w:val="004E12D4"/>
    <w:rsid w:val="004E13F6"/>
    <w:rsid w:val="004E141D"/>
    <w:rsid w:val="004E1FF6"/>
    <w:rsid w:val="004E23DD"/>
    <w:rsid w:val="004E259E"/>
    <w:rsid w:val="004E504E"/>
    <w:rsid w:val="004E6FA2"/>
    <w:rsid w:val="004E7487"/>
    <w:rsid w:val="004F2496"/>
    <w:rsid w:val="004F25F4"/>
    <w:rsid w:val="004F277F"/>
    <w:rsid w:val="004F3641"/>
    <w:rsid w:val="004F3AFD"/>
    <w:rsid w:val="004F3B57"/>
    <w:rsid w:val="004F3F73"/>
    <w:rsid w:val="004F41FE"/>
    <w:rsid w:val="004F4571"/>
    <w:rsid w:val="004F6040"/>
    <w:rsid w:val="004F63CD"/>
    <w:rsid w:val="00502998"/>
    <w:rsid w:val="00504A64"/>
    <w:rsid w:val="00504F0B"/>
    <w:rsid w:val="0050611B"/>
    <w:rsid w:val="00507BC3"/>
    <w:rsid w:val="0051029C"/>
    <w:rsid w:val="00510390"/>
    <w:rsid w:val="00510655"/>
    <w:rsid w:val="005106CA"/>
    <w:rsid w:val="00512E06"/>
    <w:rsid w:val="00512F67"/>
    <w:rsid w:val="00515112"/>
    <w:rsid w:val="005171E0"/>
    <w:rsid w:val="005173AB"/>
    <w:rsid w:val="00520DE7"/>
    <w:rsid w:val="00521BEE"/>
    <w:rsid w:val="00523670"/>
    <w:rsid w:val="00523772"/>
    <w:rsid w:val="00523C26"/>
    <w:rsid w:val="005246B0"/>
    <w:rsid w:val="00525D74"/>
    <w:rsid w:val="00526D67"/>
    <w:rsid w:val="005271DC"/>
    <w:rsid w:val="005278BA"/>
    <w:rsid w:val="00527BF5"/>
    <w:rsid w:val="0053032B"/>
    <w:rsid w:val="00530561"/>
    <w:rsid w:val="00530DB0"/>
    <w:rsid w:val="0053190B"/>
    <w:rsid w:val="00531A41"/>
    <w:rsid w:val="00533CAF"/>
    <w:rsid w:val="005349A5"/>
    <w:rsid w:val="00540FF8"/>
    <w:rsid w:val="00541866"/>
    <w:rsid w:val="00541988"/>
    <w:rsid w:val="00541D66"/>
    <w:rsid w:val="00543F6A"/>
    <w:rsid w:val="00545562"/>
    <w:rsid w:val="00545BAB"/>
    <w:rsid w:val="0054669C"/>
    <w:rsid w:val="00546DC0"/>
    <w:rsid w:val="00547A9D"/>
    <w:rsid w:val="00547E18"/>
    <w:rsid w:val="0055132B"/>
    <w:rsid w:val="005518E4"/>
    <w:rsid w:val="005521BE"/>
    <w:rsid w:val="00553319"/>
    <w:rsid w:val="005535B5"/>
    <w:rsid w:val="00556984"/>
    <w:rsid w:val="0055711F"/>
    <w:rsid w:val="00557FA3"/>
    <w:rsid w:val="0056020F"/>
    <w:rsid w:val="00560E0A"/>
    <w:rsid w:val="0056202F"/>
    <w:rsid w:val="005635A9"/>
    <w:rsid w:val="005652EE"/>
    <w:rsid w:val="00565662"/>
    <w:rsid w:val="00567CCD"/>
    <w:rsid w:val="00570628"/>
    <w:rsid w:val="005710F5"/>
    <w:rsid w:val="00572182"/>
    <w:rsid w:val="00577309"/>
    <w:rsid w:val="00577BC5"/>
    <w:rsid w:val="005824F1"/>
    <w:rsid w:val="00584382"/>
    <w:rsid w:val="00584DFC"/>
    <w:rsid w:val="00585F22"/>
    <w:rsid w:val="005861AE"/>
    <w:rsid w:val="005865EE"/>
    <w:rsid w:val="00587EF6"/>
    <w:rsid w:val="00590630"/>
    <w:rsid w:val="00590E73"/>
    <w:rsid w:val="005916AF"/>
    <w:rsid w:val="00591D8B"/>
    <w:rsid w:val="00591E27"/>
    <w:rsid w:val="005920CB"/>
    <w:rsid w:val="0059272E"/>
    <w:rsid w:val="005933D0"/>
    <w:rsid w:val="00595277"/>
    <w:rsid w:val="005961B9"/>
    <w:rsid w:val="00597117"/>
    <w:rsid w:val="005971AF"/>
    <w:rsid w:val="00597EA7"/>
    <w:rsid w:val="005A0706"/>
    <w:rsid w:val="005A0AFC"/>
    <w:rsid w:val="005A1631"/>
    <w:rsid w:val="005A1E0F"/>
    <w:rsid w:val="005A246F"/>
    <w:rsid w:val="005A29CC"/>
    <w:rsid w:val="005A2C54"/>
    <w:rsid w:val="005A2FAA"/>
    <w:rsid w:val="005A34A7"/>
    <w:rsid w:val="005A684D"/>
    <w:rsid w:val="005A799B"/>
    <w:rsid w:val="005B053D"/>
    <w:rsid w:val="005B0833"/>
    <w:rsid w:val="005B2320"/>
    <w:rsid w:val="005B2606"/>
    <w:rsid w:val="005B326D"/>
    <w:rsid w:val="005B3CDC"/>
    <w:rsid w:val="005B3D58"/>
    <w:rsid w:val="005B4611"/>
    <w:rsid w:val="005B5A7D"/>
    <w:rsid w:val="005C0096"/>
    <w:rsid w:val="005C15F7"/>
    <w:rsid w:val="005C1AC5"/>
    <w:rsid w:val="005C32F3"/>
    <w:rsid w:val="005C34CA"/>
    <w:rsid w:val="005C3CF0"/>
    <w:rsid w:val="005C3E1F"/>
    <w:rsid w:val="005C3ECD"/>
    <w:rsid w:val="005C4E5A"/>
    <w:rsid w:val="005D02FC"/>
    <w:rsid w:val="005D119B"/>
    <w:rsid w:val="005D2900"/>
    <w:rsid w:val="005D3512"/>
    <w:rsid w:val="005D3B78"/>
    <w:rsid w:val="005D3E59"/>
    <w:rsid w:val="005D42A9"/>
    <w:rsid w:val="005D513C"/>
    <w:rsid w:val="005D5304"/>
    <w:rsid w:val="005E0C48"/>
    <w:rsid w:val="005E1651"/>
    <w:rsid w:val="005E1A83"/>
    <w:rsid w:val="005E31AC"/>
    <w:rsid w:val="005E34FD"/>
    <w:rsid w:val="005E45B0"/>
    <w:rsid w:val="005E5043"/>
    <w:rsid w:val="005E58C2"/>
    <w:rsid w:val="005F0581"/>
    <w:rsid w:val="005F1EEB"/>
    <w:rsid w:val="005F252F"/>
    <w:rsid w:val="005F5EDA"/>
    <w:rsid w:val="005F608E"/>
    <w:rsid w:val="005F7D0D"/>
    <w:rsid w:val="006013D2"/>
    <w:rsid w:val="00601C5A"/>
    <w:rsid w:val="00602E3C"/>
    <w:rsid w:val="00603461"/>
    <w:rsid w:val="006068B4"/>
    <w:rsid w:val="00607B0F"/>
    <w:rsid w:val="00607C87"/>
    <w:rsid w:val="006106CD"/>
    <w:rsid w:val="006116FE"/>
    <w:rsid w:val="00611B90"/>
    <w:rsid w:val="00614293"/>
    <w:rsid w:val="00614FF0"/>
    <w:rsid w:val="00616AB4"/>
    <w:rsid w:val="00617877"/>
    <w:rsid w:val="00617ED1"/>
    <w:rsid w:val="006200F6"/>
    <w:rsid w:val="00620CC0"/>
    <w:rsid w:val="00621840"/>
    <w:rsid w:val="006222FA"/>
    <w:rsid w:val="006224FC"/>
    <w:rsid w:val="006246EB"/>
    <w:rsid w:val="00625A7C"/>
    <w:rsid w:val="006260BC"/>
    <w:rsid w:val="00626339"/>
    <w:rsid w:val="00626577"/>
    <w:rsid w:val="0063002E"/>
    <w:rsid w:val="006314BC"/>
    <w:rsid w:val="00631F76"/>
    <w:rsid w:val="006320E9"/>
    <w:rsid w:val="00632B6F"/>
    <w:rsid w:val="006330AD"/>
    <w:rsid w:val="00637245"/>
    <w:rsid w:val="0063782C"/>
    <w:rsid w:val="00637F9C"/>
    <w:rsid w:val="00640595"/>
    <w:rsid w:val="00641968"/>
    <w:rsid w:val="00644395"/>
    <w:rsid w:val="006449C9"/>
    <w:rsid w:val="006461FB"/>
    <w:rsid w:val="00650D65"/>
    <w:rsid w:val="00650D9E"/>
    <w:rsid w:val="00656077"/>
    <w:rsid w:val="006569D7"/>
    <w:rsid w:val="00656DFE"/>
    <w:rsid w:val="00656E38"/>
    <w:rsid w:val="00657D8D"/>
    <w:rsid w:val="00660576"/>
    <w:rsid w:val="0066185B"/>
    <w:rsid w:val="0066786F"/>
    <w:rsid w:val="00667FF1"/>
    <w:rsid w:val="00670A50"/>
    <w:rsid w:val="0067190E"/>
    <w:rsid w:val="006737F6"/>
    <w:rsid w:val="00673E4A"/>
    <w:rsid w:val="006750CB"/>
    <w:rsid w:val="00675784"/>
    <w:rsid w:val="006757CD"/>
    <w:rsid w:val="00676F5C"/>
    <w:rsid w:val="0067747F"/>
    <w:rsid w:val="00677483"/>
    <w:rsid w:val="006777EF"/>
    <w:rsid w:val="006817A6"/>
    <w:rsid w:val="006818BE"/>
    <w:rsid w:val="0068195E"/>
    <w:rsid w:val="00681D20"/>
    <w:rsid w:val="00681D46"/>
    <w:rsid w:val="00681D62"/>
    <w:rsid w:val="00681ED2"/>
    <w:rsid w:val="006821C2"/>
    <w:rsid w:val="006829CF"/>
    <w:rsid w:val="00684395"/>
    <w:rsid w:val="006843D1"/>
    <w:rsid w:val="00684D06"/>
    <w:rsid w:val="0068535B"/>
    <w:rsid w:val="00685DCD"/>
    <w:rsid w:val="00686075"/>
    <w:rsid w:val="0068706A"/>
    <w:rsid w:val="00687159"/>
    <w:rsid w:val="006879C8"/>
    <w:rsid w:val="0068D30D"/>
    <w:rsid w:val="006909E9"/>
    <w:rsid w:val="0069214F"/>
    <w:rsid w:val="006921DD"/>
    <w:rsid w:val="00692C42"/>
    <w:rsid w:val="0069385B"/>
    <w:rsid w:val="006949BB"/>
    <w:rsid w:val="00695394"/>
    <w:rsid w:val="00695B1B"/>
    <w:rsid w:val="0069615E"/>
    <w:rsid w:val="00696F46"/>
    <w:rsid w:val="006A0D78"/>
    <w:rsid w:val="006A18B3"/>
    <w:rsid w:val="006A36E4"/>
    <w:rsid w:val="006A38AE"/>
    <w:rsid w:val="006A486D"/>
    <w:rsid w:val="006A4AFD"/>
    <w:rsid w:val="006A624D"/>
    <w:rsid w:val="006A6F7F"/>
    <w:rsid w:val="006B0D06"/>
    <w:rsid w:val="006B0E36"/>
    <w:rsid w:val="006B0F2B"/>
    <w:rsid w:val="006B1170"/>
    <w:rsid w:val="006B2682"/>
    <w:rsid w:val="006B3F67"/>
    <w:rsid w:val="006B5076"/>
    <w:rsid w:val="006B50D4"/>
    <w:rsid w:val="006B6C1C"/>
    <w:rsid w:val="006B7816"/>
    <w:rsid w:val="006C1AFA"/>
    <w:rsid w:val="006C240C"/>
    <w:rsid w:val="006C2769"/>
    <w:rsid w:val="006C2DF5"/>
    <w:rsid w:val="006C3879"/>
    <w:rsid w:val="006C5291"/>
    <w:rsid w:val="006C5426"/>
    <w:rsid w:val="006C7878"/>
    <w:rsid w:val="006C7960"/>
    <w:rsid w:val="006C7B4D"/>
    <w:rsid w:val="006D0DB6"/>
    <w:rsid w:val="006D25BB"/>
    <w:rsid w:val="006D304F"/>
    <w:rsid w:val="006D363A"/>
    <w:rsid w:val="006D3BF5"/>
    <w:rsid w:val="006D5492"/>
    <w:rsid w:val="006D57FF"/>
    <w:rsid w:val="006D626D"/>
    <w:rsid w:val="006D67B9"/>
    <w:rsid w:val="006D7645"/>
    <w:rsid w:val="006D7D00"/>
    <w:rsid w:val="006E045D"/>
    <w:rsid w:val="006E12D4"/>
    <w:rsid w:val="006E1380"/>
    <w:rsid w:val="006E1E70"/>
    <w:rsid w:val="006E311E"/>
    <w:rsid w:val="006E3762"/>
    <w:rsid w:val="006E3821"/>
    <w:rsid w:val="006E690D"/>
    <w:rsid w:val="006E789B"/>
    <w:rsid w:val="006E7C4E"/>
    <w:rsid w:val="006F0156"/>
    <w:rsid w:val="006F0DD1"/>
    <w:rsid w:val="006F1C22"/>
    <w:rsid w:val="006F1CEC"/>
    <w:rsid w:val="006F2528"/>
    <w:rsid w:val="006F263E"/>
    <w:rsid w:val="006F2D56"/>
    <w:rsid w:val="006F326F"/>
    <w:rsid w:val="006F6524"/>
    <w:rsid w:val="006F7D2B"/>
    <w:rsid w:val="0070016B"/>
    <w:rsid w:val="007007A3"/>
    <w:rsid w:val="00700FD8"/>
    <w:rsid w:val="007031B7"/>
    <w:rsid w:val="007046C5"/>
    <w:rsid w:val="0070715D"/>
    <w:rsid w:val="00710A26"/>
    <w:rsid w:val="00711792"/>
    <w:rsid w:val="00712607"/>
    <w:rsid w:val="00712EB6"/>
    <w:rsid w:val="00713E95"/>
    <w:rsid w:val="00714BC4"/>
    <w:rsid w:val="00715220"/>
    <w:rsid w:val="00715222"/>
    <w:rsid w:val="0071549A"/>
    <w:rsid w:val="00716A54"/>
    <w:rsid w:val="007173BC"/>
    <w:rsid w:val="007176FE"/>
    <w:rsid w:val="0072076F"/>
    <w:rsid w:val="007211BE"/>
    <w:rsid w:val="00721D27"/>
    <w:rsid w:val="007224D4"/>
    <w:rsid w:val="007225C9"/>
    <w:rsid w:val="007229B6"/>
    <w:rsid w:val="00723659"/>
    <w:rsid w:val="007247B7"/>
    <w:rsid w:val="00725531"/>
    <w:rsid w:val="00726F02"/>
    <w:rsid w:val="00727AFB"/>
    <w:rsid w:val="00727F10"/>
    <w:rsid w:val="00727FE7"/>
    <w:rsid w:val="007308FE"/>
    <w:rsid w:val="007310D9"/>
    <w:rsid w:val="007316D3"/>
    <w:rsid w:val="00731A13"/>
    <w:rsid w:val="007342E3"/>
    <w:rsid w:val="00734D72"/>
    <w:rsid w:val="007359C7"/>
    <w:rsid w:val="00736977"/>
    <w:rsid w:val="0073772C"/>
    <w:rsid w:val="00741A5C"/>
    <w:rsid w:val="00742B4A"/>
    <w:rsid w:val="007449BF"/>
    <w:rsid w:val="00745FE6"/>
    <w:rsid w:val="0074788C"/>
    <w:rsid w:val="00751A9D"/>
    <w:rsid w:val="00752242"/>
    <w:rsid w:val="007535E7"/>
    <w:rsid w:val="00753A39"/>
    <w:rsid w:val="00755595"/>
    <w:rsid w:val="007557AF"/>
    <w:rsid w:val="00756037"/>
    <w:rsid w:val="00757FD8"/>
    <w:rsid w:val="007600C9"/>
    <w:rsid w:val="00761C71"/>
    <w:rsid w:val="007627B9"/>
    <w:rsid w:val="00762DDE"/>
    <w:rsid w:val="00763ED2"/>
    <w:rsid w:val="00763F5B"/>
    <w:rsid w:val="00766F20"/>
    <w:rsid w:val="00767472"/>
    <w:rsid w:val="00767D38"/>
    <w:rsid w:val="00770976"/>
    <w:rsid w:val="00772B2E"/>
    <w:rsid w:val="00775995"/>
    <w:rsid w:val="00776277"/>
    <w:rsid w:val="0077698F"/>
    <w:rsid w:val="007770BD"/>
    <w:rsid w:val="007804BF"/>
    <w:rsid w:val="00780E0D"/>
    <w:rsid w:val="0078168D"/>
    <w:rsid w:val="00781776"/>
    <w:rsid w:val="00783764"/>
    <w:rsid w:val="00783E66"/>
    <w:rsid w:val="007847A7"/>
    <w:rsid w:val="00785089"/>
    <w:rsid w:val="0078542D"/>
    <w:rsid w:val="00785DD9"/>
    <w:rsid w:val="007870CF"/>
    <w:rsid w:val="0078755A"/>
    <w:rsid w:val="00787E89"/>
    <w:rsid w:val="007946EA"/>
    <w:rsid w:val="00794A5E"/>
    <w:rsid w:val="0079570B"/>
    <w:rsid w:val="00796589"/>
    <w:rsid w:val="00796D93"/>
    <w:rsid w:val="00797CE0"/>
    <w:rsid w:val="007A45B7"/>
    <w:rsid w:val="007A4DC5"/>
    <w:rsid w:val="007A6AE5"/>
    <w:rsid w:val="007A6D89"/>
    <w:rsid w:val="007B0346"/>
    <w:rsid w:val="007B0B76"/>
    <w:rsid w:val="007B18F1"/>
    <w:rsid w:val="007B2A80"/>
    <w:rsid w:val="007B2B9E"/>
    <w:rsid w:val="007B2E0D"/>
    <w:rsid w:val="007B3563"/>
    <w:rsid w:val="007B6DF2"/>
    <w:rsid w:val="007B6E5B"/>
    <w:rsid w:val="007C2B68"/>
    <w:rsid w:val="007C4EF2"/>
    <w:rsid w:val="007C6787"/>
    <w:rsid w:val="007C7FEB"/>
    <w:rsid w:val="007D0565"/>
    <w:rsid w:val="007D310A"/>
    <w:rsid w:val="007D3F8F"/>
    <w:rsid w:val="007D43AE"/>
    <w:rsid w:val="007D7E03"/>
    <w:rsid w:val="007E1135"/>
    <w:rsid w:val="007E123A"/>
    <w:rsid w:val="007E13DB"/>
    <w:rsid w:val="007E22F7"/>
    <w:rsid w:val="007E2E82"/>
    <w:rsid w:val="007E4009"/>
    <w:rsid w:val="007E43EC"/>
    <w:rsid w:val="007E6FFE"/>
    <w:rsid w:val="007F08CB"/>
    <w:rsid w:val="007F131A"/>
    <w:rsid w:val="007F13C6"/>
    <w:rsid w:val="007F13D1"/>
    <w:rsid w:val="007F1E17"/>
    <w:rsid w:val="007F2661"/>
    <w:rsid w:val="007F3648"/>
    <w:rsid w:val="007F3717"/>
    <w:rsid w:val="007F3D0C"/>
    <w:rsid w:val="007F45B4"/>
    <w:rsid w:val="007F5DD2"/>
    <w:rsid w:val="007F6469"/>
    <w:rsid w:val="007F76C4"/>
    <w:rsid w:val="007F778F"/>
    <w:rsid w:val="00800328"/>
    <w:rsid w:val="00801AAF"/>
    <w:rsid w:val="00801B64"/>
    <w:rsid w:val="0080295F"/>
    <w:rsid w:val="00802964"/>
    <w:rsid w:val="00802AA9"/>
    <w:rsid w:val="00803666"/>
    <w:rsid w:val="0080387B"/>
    <w:rsid w:val="00803A01"/>
    <w:rsid w:val="0080426C"/>
    <w:rsid w:val="008042C5"/>
    <w:rsid w:val="0080528F"/>
    <w:rsid w:val="0080731D"/>
    <w:rsid w:val="00807A87"/>
    <w:rsid w:val="00812402"/>
    <w:rsid w:val="00812D11"/>
    <w:rsid w:val="00815AAA"/>
    <w:rsid w:val="00815E8F"/>
    <w:rsid w:val="008206F1"/>
    <w:rsid w:val="0082381D"/>
    <w:rsid w:val="008275C6"/>
    <w:rsid w:val="00827E74"/>
    <w:rsid w:val="008303AC"/>
    <w:rsid w:val="008317C5"/>
    <w:rsid w:val="00831975"/>
    <w:rsid w:val="00832955"/>
    <w:rsid w:val="008343F0"/>
    <w:rsid w:val="00834482"/>
    <w:rsid w:val="00835E74"/>
    <w:rsid w:val="00836208"/>
    <w:rsid w:val="0083681E"/>
    <w:rsid w:val="00837F7C"/>
    <w:rsid w:val="008408B4"/>
    <w:rsid w:val="00841ABD"/>
    <w:rsid w:val="0084253B"/>
    <w:rsid w:val="0084330A"/>
    <w:rsid w:val="00843640"/>
    <w:rsid w:val="00844879"/>
    <w:rsid w:val="008467BD"/>
    <w:rsid w:val="00847DD0"/>
    <w:rsid w:val="00852731"/>
    <w:rsid w:val="00856A6C"/>
    <w:rsid w:val="00856DEE"/>
    <w:rsid w:val="0086123B"/>
    <w:rsid w:val="00861563"/>
    <w:rsid w:val="008618F5"/>
    <w:rsid w:val="00863CDD"/>
    <w:rsid w:val="008642C6"/>
    <w:rsid w:val="008647C5"/>
    <w:rsid w:val="00865224"/>
    <w:rsid w:val="008655FB"/>
    <w:rsid w:val="00865CA2"/>
    <w:rsid w:val="00867A22"/>
    <w:rsid w:val="00872377"/>
    <w:rsid w:val="008728FD"/>
    <w:rsid w:val="008735A6"/>
    <w:rsid w:val="00873644"/>
    <w:rsid w:val="00873BD8"/>
    <w:rsid w:val="00873F9F"/>
    <w:rsid w:val="00875487"/>
    <w:rsid w:val="00880C11"/>
    <w:rsid w:val="00880D1C"/>
    <w:rsid w:val="00884EDC"/>
    <w:rsid w:val="00885FCD"/>
    <w:rsid w:val="008877C7"/>
    <w:rsid w:val="00890030"/>
    <w:rsid w:val="00890B2A"/>
    <w:rsid w:val="00890C69"/>
    <w:rsid w:val="008916DB"/>
    <w:rsid w:val="00892166"/>
    <w:rsid w:val="0089371E"/>
    <w:rsid w:val="00893728"/>
    <w:rsid w:val="00897EAF"/>
    <w:rsid w:val="008A20E7"/>
    <w:rsid w:val="008A2877"/>
    <w:rsid w:val="008A3B0D"/>
    <w:rsid w:val="008A3C12"/>
    <w:rsid w:val="008A4DB8"/>
    <w:rsid w:val="008A524B"/>
    <w:rsid w:val="008A5892"/>
    <w:rsid w:val="008A66DB"/>
    <w:rsid w:val="008A6C91"/>
    <w:rsid w:val="008A7027"/>
    <w:rsid w:val="008A7D1D"/>
    <w:rsid w:val="008A7E51"/>
    <w:rsid w:val="008B047F"/>
    <w:rsid w:val="008B0614"/>
    <w:rsid w:val="008B14E9"/>
    <w:rsid w:val="008B2A36"/>
    <w:rsid w:val="008B4734"/>
    <w:rsid w:val="008B5D03"/>
    <w:rsid w:val="008B685D"/>
    <w:rsid w:val="008B75B5"/>
    <w:rsid w:val="008C06B6"/>
    <w:rsid w:val="008C1B69"/>
    <w:rsid w:val="008C22A1"/>
    <w:rsid w:val="008C2CFF"/>
    <w:rsid w:val="008C3359"/>
    <w:rsid w:val="008C355E"/>
    <w:rsid w:val="008C3E79"/>
    <w:rsid w:val="008C6211"/>
    <w:rsid w:val="008C74F0"/>
    <w:rsid w:val="008D01C3"/>
    <w:rsid w:val="008D0B8A"/>
    <w:rsid w:val="008D1089"/>
    <w:rsid w:val="008D17C3"/>
    <w:rsid w:val="008D1D54"/>
    <w:rsid w:val="008D1FFF"/>
    <w:rsid w:val="008D26F8"/>
    <w:rsid w:val="008D2842"/>
    <w:rsid w:val="008D2C21"/>
    <w:rsid w:val="008D3E76"/>
    <w:rsid w:val="008D41C5"/>
    <w:rsid w:val="008D6609"/>
    <w:rsid w:val="008D7836"/>
    <w:rsid w:val="008E0260"/>
    <w:rsid w:val="008E0435"/>
    <w:rsid w:val="008E1BBA"/>
    <w:rsid w:val="008E232B"/>
    <w:rsid w:val="008E2BC7"/>
    <w:rsid w:val="008E322E"/>
    <w:rsid w:val="008E34AF"/>
    <w:rsid w:val="008E5197"/>
    <w:rsid w:val="008E5513"/>
    <w:rsid w:val="008E5FE2"/>
    <w:rsid w:val="008E647E"/>
    <w:rsid w:val="008E6833"/>
    <w:rsid w:val="008E6A94"/>
    <w:rsid w:val="008E6DF0"/>
    <w:rsid w:val="008E727C"/>
    <w:rsid w:val="008F0603"/>
    <w:rsid w:val="008F1384"/>
    <w:rsid w:val="008F18AC"/>
    <w:rsid w:val="008F2C57"/>
    <w:rsid w:val="008F4B41"/>
    <w:rsid w:val="008F506C"/>
    <w:rsid w:val="008F511B"/>
    <w:rsid w:val="008F7D2C"/>
    <w:rsid w:val="009009EC"/>
    <w:rsid w:val="00901531"/>
    <w:rsid w:val="00902688"/>
    <w:rsid w:val="009033C0"/>
    <w:rsid w:val="00903806"/>
    <w:rsid w:val="00904BD8"/>
    <w:rsid w:val="00906285"/>
    <w:rsid w:val="0090700E"/>
    <w:rsid w:val="00907735"/>
    <w:rsid w:val="00911ADC"/>
    <w:rsid w:val="00911D45"/>
    <w:rsid w:val="009120C5"/>
    <w:rsid w:val="00916791"/>
    <w:rsid w:val="00917632"/>
    <w:rsid w:val="00920B37"/>
    <w:rsid w:val="00920F4D"/>
    <w:rsid w:val="009221A4"/>
    <w:rsid w:val="00922213"/>
    <w:rsid w:val="00924572"/>
    <w:rsid w:val="0092636F"/>
    <w:rsid w:val="009267C3"/>
    <w:rsid w:val="009278F9"/>
    <w:rsid w:val="00927CAB"/>
    <w:rsid w:val="00930092"/>
    <w:rsid w:val="0093390F"/>
    <w:rsid w:val="00933DA0"/>
    <w:rsid w:val="0093422D"/>
    <w:rsid w:val="00935118"/>
    <w:rsid w:val="009353CC"/>
    <w:rsid w:val="00935683"/>
    <w:rsid w:val="00936F84"/>
    <w:rsid w:val="009371F3"/>
    <w:rsid w:val="009422F9"/>
    <w:rsid w:val="009430F8"/>
    <w:rsid w:val="00943165"/>
    <w:rsid w:val="009440B1"/>
    <w:rsid w:val="00945147"/>
    <w:rsid w:val="009454E1"/>
    <w:rsid w:val="00945CE5"/>
    <w:rsid w:val="00945E04"/>
    <w:rsid w:val="00946E3A"/>
    <w:rsid w:val="00947C6B"/>
    <w:rsid w:val="00947DAB"/>
    <w:rsid w:val="0095149A"/>
    <w:rsid w:val="009521B4"/>
    <w:rsid w:val="0095423E"/>
    <w:rsid w:val="00955BAE"/>
    <w:rsid w:val="00960E81"/>
    <w:rsid w:val="009621AE"/>
    <w:rsid w:val="00964981"/>
    <w:rsid w:val="00964AB3"/>
    <w:rsid w:val="00964C0D"/>
    <w:rsid w:val="00964F0D"/>
    <w:rsid w:val="009657EE"/>
    <w:rsid w:val="009704FA"/>
    <w:rsid w:val="00970EE4"/>
    <w:rsid w:val="00971B20"/>
    <w:rsid w:val="0097271E"/>
    <w:rsid w:val="0097327C"/>
    <w:rsid w:val="0097329F"/>
    <w:rsid w:val="0097449A"/>
    <w:rsid w:val="009756D7"/>
    <w:rsid w:val="00975C2C"/>
    <w:rsid w:val="00976E1E"/>
    <w:rsid w:val="009778E0"/>
    <w:rsid w:val="00980084"/>
    <w:rsid w:val="00980E46"/>
    <w:rsid w:val="00980E56"/>
    <w:rsid w:val="0098157F"/>
    <w:rsid w:val="00984C17"/>
    <w:rsid w:val="009866E5"/>
    <w:rsid w:val="0098678C"/>
    <w:rsid w:val="00987B39"/>
    <w:rsid w:val="00990E48"/>
    <w:rsid w:val="00990E75"/>
    <w:rsid w:val="00991169"/>
    <w:rsid w:val="00991946"/>
    <w:rsid w:val="009926FC"/>
    <w:rsid w:val="00993321"/>
    <w:rsid w:val="00993967"/>
    <w:rsid w:val="009946F7"/>
    <w:rsid w:val="00994856"/>
    <w:rsid w:val="00995845"/>
    <w:rsid w:val="009969A9"/>
    <w:rsid w:val="00996A51"/>
    <w:rsid w:val="00996BA2"/>
    <w:rsid w:val="009A0101"/>
    <w:rsid w:val="009A069E"/>
    <w:rsid w:val="009A0B96"/>
    <w:rsid w:val="009A1DD5"/>
    <w:rsid w:val="009A20F3"/>
    <w:rsid w:val="009A3D4A"/>
    <w:rsid w:val="009A65D0"/>
    <w:rsid w:val="009A7DCA"/>
    <w:rsid w:val="009A7F54"/>
    <w:rsid w:val="009B1108"/>
    <w:rsid w:val="009B15B4"/>
    <w:rsid w:val="009B5E5D"/>
    <w:rsid w:val="009B5E74"/>
    <w:rsid w:val="009B7BB9"/>
    <w:rsid w:val="009C33A4"/>
    <w:rsid w:val="009C40EA"/>
    <w:rsid w:val="009C49CC"/>
    <w:rsid w:val="009C4C6C"/>
    <w:rsid w:val="009C73F5"/>
    <w:rsid w:val="009C7BDF"/>
    <w:rsid w:val="009D0583"/>
    <w:rsid w:val="009D0F61"/>
    <w:rsid w:val="009D353C"/>
    <w:rsid w:val="009D533D"/>
    <w:rsid w:val="009D55B4"/>
    <w:rsid w:val="009D64CC"/>
    <w:rsid w:val="009D7D92"/>
    <w:rsid w:val="009E34AE"/>
    <w:rsid w:val="009E3E8D"/>
    <w:rsid w:val="009E4399"/>
    <w:rsid w:val="009E48A8"/>
    <w:rsid w:val="009E49CA"/>
    <w:rsid w:val="009E4A66"/>
    <w:rsid w:val="009E60E7"/>
    <w:rsid w:val="009E65F5"/>
    <w:rsid w:val="009E6FFE"/>
    <w:rsid w:val="009F019D"/>
    <w:rsid w:val="009F0426"/>
    <w:rsid w:val="009F4052"/>
    <w:rsid w:val="009F5DC5"/>
    <w:rsid w:val="009F5EE4"/>
    <w:rsid w:val="009F665B"/>
    <w:rsid w:val="009F66DB"/>
    <w:rsid w:val="009F7C5E"/>
    <w:rsid w:val="00A01580"/>
    <w:rsid w:val="00A01BFF"/>
    <w:rsid w:val="00A01D51"/>
    <w:rsid w:val="00A023F8"/>
    <w:rsid w:val="00A0268E"/>
    <w:rsid w:val="00A02DDD"/>
    <w:rsid w:val="00A0423B"/>
    <w:rsid w:val="00A0698F"/>
    <w:rsid w:val="00A069FE"/>
    <w:rsid w:val="00A07653"/>
    <w:rsid w:val="00A10571"/>
    <w:rsid w:val="00A1161C"/>
    <w:rsid w:val="00A12022"/>
    <w:rsid w:val="00A13316"/>
    <w:rsid w:val="00A136DD"/>
    <w:rsid w:val="00A14C8C"/>
    <w:rsid w:val="00A161A8"/>
    <w:rsid w:val="00A20692"/>
    <w:rsid w:val="00A23458"/>
    <w:rsid w:val="00A24316"/>
    <w:rsid w:val="00A24B83"/>
    <w:rsid w:val="00A254CF"/>
    <w:rsid w:val="00A26E31"/>
    <w:rsid w:val="00A3167F"/>
    <w:rsid w:val="00A31F84"/>
    <w:rsid w:val="00A3350E"/>
    <w:rsid w:val="00A349BC"/>
    <w:rsid w:val="00A3501B"/>
    <w:rsid w:val="00A358EC"/>
    <w:rsid w:val="00A36579"/>
    <w:rsid w:val="00A36ED5"/>
    <w:rsid w:val="00A37B00"/>
    <w:rsid w:val="00A40C03"/>
    <w:rsid w:val="00A40F40"/>
    <w:rsid w:val="00A41272"/>
    <w:rsid w:val="00A43A0F"/>
    <w:rsid w:val="00A47DF6"/>
    <w:rsid w:val="00A5012D"/>
    <w:rsid w:val="00A50271"/>
    <w:rsid w:val="00A5085A"/>
    <w:rsid w:val="00A50F8A"/>
    <w:rsid w:val="00A54466"/>
    <w:rsid w:val="00A54ACF"/>
    <w:rsid w:val="00A55AA0"/>
    <w:rsid w:val="00A601F9"/>
    <w:rsid w:val="00A60BB8"/>
    <w:rsid w:val="00A61551"/>
    <w:rsid w:val="00A61DE1"/>
    <w:rsid w:val="00A62128"/>
    <w:rsid w:val="00A623E0"/>
    <w:rsid w:val="00A62991"/>
    <w:rsid w:val="00A62B93"/>
    <w:rsid w:val="00A6446F"/>
    <w:rsid w:val="00A64CED"/>
    <w:rsid w:val="00A650E2"/>
    <w:rsid w:val="00A658A3"/>
    <w:rsid w:val="00A66196"/>
    <w:rsid w:val="00A66651"/>
    <w:rsid w:val="00A673CC"/>
    <w:rsid w:val="00A67AF0"/>
    <w:rsid w:val="00A67F78"/>
    <w:rsid w:val="00A70976"/>
    <w:rsid w:val="00A71CD2"/>
    <w:rsid w:val="00A7235E"/>
    <w:rsid w:val="00A724B2"/>
    <w:rsid w:val="00A734E7"/>
    <w:rsid w:val="00A76FE3"/>
    <w:rsid w:val="00A77FE7"/>
    <w:rsid w:val="00A80FCF"/>
    <w:rsid w:val="00A813D3"/>
    <w:rsid w:val="00A82B69"/>
    <w:rsid w:val="00A82F6B"/>
    <w:rsid w:val="00A8723E"/>
    <w:rsid w:val="00A8797E"/>
    <w:rsid w:val="00A90970"/>
    <w:rsid w:val="00A928FF"/>
    <w:rsid w:val="00A94005"/>
    <w:rsid w:val="00A9433D"/>
    <w:rsid w:val="00A94EFE"/>
    <w:rsid w:val="00A95CB6"/>
    <w:rsid w:val="00A95D1D"/>
    <w:rsid w:val="00A966B1"/>
    <w:rsid w:val="00A96796"/>
    <w:rsid w:val="00A9789C"/>
    <w:rsid w:val="00AA038F"/>
    <w:rsid w:val="00AA137D"/>
    <w:rsid w:val="00AA1864"/>
    <w:rsid w:val="00AA21D3"/>
    <w:rsid w:val="00AA21F5"/>
    <w:rsid w:val="00AA2D82"/>
    <w:rsid w:val="00AA3374"/>
    <w:rsid w:val="00AA5008"/>
    <w:rsid w:val="00AA5A9A"/>
    <w:rsid w:val="00AA7C1B"/>
    <w:rsid w:val="00AB083F"/>
    <w:rsid w:val="00AB129C"/>
    <w:rsid w:val="00AB3613"/>
    <w:rsid w:val="00AB3A4C"/>
    <w:rsid w:val="00AB56DC"/>
    <w:rsid w:val="00AB7A63"/>
    <w:rsid w:val="00AC0CBB"/>
    <w:rsid w:val="00AC2A80"/>
    <w:rsid w:val="00AC34DA"/>
    <w:rsid w:val="00AC5231"/>
    <w:rsid w:val="00AC5E67"/>
    <w:rsid w:val="00AC64A0"/>
    <w:rsid w:val="00AD034A"/>
    <w:rsid w:val="00AD1243"/>
    <w:rsid w:val="00AD169C"/>
    <w:rsid w:val="00AD2450"/>
    <w:rsid w:val="00AD2E40"/>
    <w:rsid w:val="00AD65BE"/>
    <w:rsid w:val="00AD6A38"/>
    <w:rsid w:val="00AD72B4"/>
    <w:rsid w:val="00AD7AA1"/>
    <w:rsid w:val="00AE3104"/>
    <w:rsid w:val="00AE43AD"/>
    <w:rsid w:val="00AE43BB"/>
    <w:rsid w:val="00AE4815"/>
    <w:rsid w:val="00AE53A6"/>
    <w:rsid w:val="00AE6B64"/>
    <w:rsid w:val="00AE6BB5"/>
    <w:rsid w:val="00AE73DC"/>
    <w:rsid w:val="00AE7710"/>
    <w:rsid w:val="00AF2CE8"/>
    <w:rsid w:val="00AF704D"/>
    <w:rsid w:val="00AF70F9"/>
    <w:rsid w:val="00AF7CEE"/>
    <w:rsid w:val="00AF7F6F"/>
    <w:rsid w:val="00B00CC3"/>
    <w:rsid w:val="00B0265A"/>
    <w:rsid w:val="00B04A14"/>
    <w:rsid w:val="00B05053"/>
    <w:rsid w:val="00B056CC"/>
    <w:rsid w:val="00B058B6"/>
    <w:rsid w:val="00B075D7"/>
    <w:rsid w:val="00B13AB1"/>
    <w:rsid w:val="00B14AB5"/>
    <w:rsid w:val="00B14D9C"/>
    <w:rsid w:val="00B155FE"/>
    <w:rsid w:val="00B15A4C"/>
    <w:rsid w:val="00B15CA6"/>
    <w:rsid w:val="00B15F8D"/>
    <w:rsid w:val="00B17819"/>
    <w:rsid w:val="00B206C1"/>
    <w:rsid w:val="00B2202B"/>
    <w:rsid w:val="00B221B5"/>
    <w:rsid w:val="00B22BD9"/>
    <w:rsid w:val="00B2454C"/>
    <w:rsid w:val="00B247F2"/>
    <w:rsid w:val="00B2544B"/>
    <w:rsid w:val="00B2734A"/>
    <w:rsid w:val="00B3244C"/>
    <w:rsid w:val="00B325C4"/>
    <w:rsid w:val="00B32682"/>
    <w:rsid w:val="00B33638"/>
    <w:rsid w:val="00B33C05"/>
    <w:rsid w:val="00B3469B"/>
    <w:rsid w:val="00B34A94"/>
    <w:rsid w:val="00B35B95"/>
    <w:rsid w:val="00B36150"/>
    <w:rsid w:val="00B37A83"/>
    <w:rsid w:val="00B40D0E"/>
    <w:rsid w:val="00B41B58"/>
    <w:rsid w:val="00B43A9F"/>
    <w:rsid w:val="00B44127"/>
    <w:rsid w:val="00B44EBE"/>
    <w:rsid w:val="00B46352"/>
    <w:rsid w:val="00B50B25"/>
    <w:rsid w:val="00B51261"/>
    <w:rsid w:val="00B54171"/>
    <w:rsid w:val="00B5600F"/>
    <w:rsid w:val="00B56CB1"/>
    <w:rsid w:val="00B60534"/>
    <w:rsid w:val="00B6124E"/>
    <w:rsid w:val="00B622E5"/>
    <w:rsid w:val="00B62D08"/>
    <w:rsid w:val="00B63DA3"/>
    <w:rsid w:val="00B63EBC"/>
    <w:rsid w:val="00B64063"/>
    <w:rsid w:val="00B6763B"/>
    <w:rsid w:val="00B705F2"/>
    <w:rsid w:val="00B70AB8"/>
    <w:rsid w:val="00B70FE4"/>
    <w:rsid w:val="00B72569"/>
    <w:rsid w:val="00B72FDD"/>
    <w:rsid w:val="00B7456C"/>
    <w:rsid w:val="00B7458D"/>
    <w:rsid w:val="00B745F4"/>
    <w:rsid w:val="00B75545"/>
    <w:rsid w:val="00B762E2"/>
    <w:rsid w:val="00B771CD"/>
    <w:rsid w:val="00B81C0A"/>
    <w:rsid w:val="00B8241D"/>
    <w:rsid w:val="00B83F74"/>
    <w:rsid w:val="00B843B9"/>
    <w:rsid w:val="00B8447F"/>
    <w:rsid w:val="00B84AD1"/>
    <w:rsid w:val="00B850B8"/>
    <w:rsid w:val="00B85AD1"/>
    <w:rsid w:val="00B91104"/>
    <w:rsid w:val="00B91ABD"/>
    <w:rsid w:val="00B92DCF"/>
    <w:rsid w:val="00B94CCA"/>
    <w:rsid w:val="00B95AD8"/>
    <w:rsid w:val="00B9640C"/>
    <w:rsid w:val="00B9670A"/>
    <w:rsid w:val="00B9709B"/>
    <w:rsid w:val="00B9738E"/>
    <w:rsid w:val="00B97A62"/>
    <w:rsid w:val="00BA016E"/>
    <w:rsid w:val="00BA04EA"/>
    <w:rsid w:val="00BA246F"/>
    <w:rsid w:val="00BA35CC"/>
    <w:rsid w:val="00BA38F7"/>
    <w:rsid w:val="00BA3B98"/>
    <w:rsid w:val="00BA415E"/>
    <w:rsid w:val="00BA5D1C"/>
    <w:rsid w:val="00BA60BB"/>
    <w:rsid w:val="00BA62C3"/>
    <w:rsid w:val="00BB0472"/>
    <w:rsid w:val="00BB10E1"/>
    <w:rsid w:val="00BB12FE"/>
    <w:rsid w:val="00BB1BA6"/>
    <w:rsid w:val="00BB259D"/>
    <w:rsid w:val="00BB2A34"/>
    <w:rsid w:val="00BB4D90"/>
    <w:rsid w:val="00BB5D94"/>
    <w:rsid w:val="00BB5DF6"/>
    <w:rsid w:val="00BB75BE"/>
    <w:rsid w:val="00BB79F6"/>
    <w:rsid w:val="00BC03B1"/>
    <w:rsid w:val="00BC19CC"/>
    <w:rsid w:val="00BC2001"/>
    <w:rsid w:val="00BC24BF"/>
    <w:rsid w:val="00BC33ED"/>
    <w:rsid w:val="00BC4B9F"/>
    <w:rsid w:val="00BC6D2B"/>
    <w:rsid w:val="00BC74C4"/>
    <w:rsid w:val="00BD0DD5"/>
    <w:rsid w:val="00BD1758"/>
    <w:rsid w:val="00BD2A9C"/>
    <w:rsid w:val="00BD2D3C"/>
    <w:rsid w:val="00BD2E25"/>
    <w:rsid w:val="00BD37C8"/>
    <w:rsid w:val="00BD3CEA"/>
    <w:rsid w:val="00BD4776"/>
    <w:rsid w:val="00BD63FF"/>
    <w:rsid w:val="00BD6602"/>
    <w:rsid w:val="00BD6AF3"/>
    <w:rsid w:val="00BD70ED"/>
    <w:rsid w:val="00BD7229"/>
    <w:rsid w:val="00BD7C49"/>
    <w:rsid w:val="00BD7F31"/>
    <w:rsid w:val="00BE00CC"/>
    <w:rsid w:val="00BE055D"/>
    <w:rsid w:val="00BE0A4E"/>
    <w:rsid w:val="00BE0DA4"/>
    <w:rsid w:val="00BE0F9D"/>
    <w:rsid w:val="00BE2602"/>
    <w:rsid w:val="00BE3243"/>
    <w:rsid w:val="00BE354F"/>
    <w:rsid w:val="00BE3FC6"/>
    <w:rsid w:val="00BE4BAC"/>
    <w:rsid w:val="00BE530F"/>
    <w:rsid w:val="00BE5712"/>
    <w:rsid w:val="00BE7750"/>
    <w:rsid w:val="00BE7819"/>
    <w:rsid w:val="00BE7A65"/>
    <w:rsid w:val="00BF007B"/>
    <w:rsid w:val="00BF099A"/>
    <w:rsid w:val="00BF4035"/>
    <w:rsid w:val="00BF48C3"/>
    <w:rsid w:val="00BF5E09"/>
    <w:rsid w:val="00BF7707"/>
    <w:rsid w:val="00C00710"/>
    <w:rsid w:val="00C012D1"/>
    <w:rsid w:val="00C01545"/>
    <w:rsid w:val="00C0256F"/>
    <w:rsid w:val="00C02772"/>
    <w:rsid w:val="00C03376"/>
    <w:rsid w:val="00C03BE7"/>
    <w:rsid w:val="00C05249"/>
    <w:rsid w:val="00C063C3"/>
    <w:rsid w:val="00C07E8E"/>
    <w:rsid w:val="00C10ED3"/>
    <w:rsid w:val="00C1143E"/>
    <w:rsid w:val="00C11612"/>
    <w:rsid w:val="00C11940"/>
    <w:rsid w:val="00C12BFF"/>
    <w:rsid w:val="00C13291"/>
    <w:rsid w:val="00C13FAE"/>
    <w:rsid w:val="00C1582A"/>
    <w:rsid w:val="00C16149"/>
    <w:rsid w:val="00C178E3"/>
    <w:rsid w:val="00C21016"/>
    <w:rsid w:val="00C21761"/>
    <w:rsid w:val="00C2238F"/>
    <w:rsid w:val="00C224F5"/>
    <w:rsid w:val="00C24948"/>
    <w:rsid w:val="00C261DC"/>
    <w:rsid w:val="00C268BB"/>
    <w:rsid w:val="00C268F4"/>
    <w:rsid w:val="00C27041"/>
    <w:rsid w:val="00C27BFB"/>
    <w:rsid w:val="00C27DF5"/>
    <w:rsid w:val="00C302BC"/>
    <w:rsid w:val="00C326EB"/>
    <w:rsid w:val="00C32924"/>
    <w:rsid w:val="00C32D53"/>
    <w:rsid w:val="00C35CE2"/>
    <w:rsid w:val="00C35E13"/>
    <w:rsid w:val="00C36894"/>
    <w:rsid w:val="00C36A62"/>
    <w:rsid w:val="00C45E7A"/>
    <w:rsid w:val="00C46F63"/>
    <w:rsid w:val="00C4762E"/>
    <w:rsid w:val="00C50404"/>
    <w:rsid w:val="00C5054A"/>
    <w:rsid w:val="00C52FED"/>
    <w:rsid w:val="00C5351F"/>
    <w:rsid w:val="00C53734"/>
    <w:rsid w:val="00C539FB"/>
    <w:rsid w:val="00C53C2A"/>
    <w:rsid w:val="00C54B21"/>
    <w:rsid w:val="00C561BC"/>
    <w:rsid w:val="00C566FB"/>
    <w:rsid w:val="00C56FEF"/>
    <w:rsid w:val="00C56FF4"/>
    <w:rsid w:val="00C61227"/>
    <w:rsid w:val="00C6157D"/>
    <w:rsid w:val="00C61D07"/>
    <w:rsid w:val="00C62668"/>
    <w:rsid w:val="00C63C88"/>
    <w:rsid w:val="00C64C54"/>
    <w:rsid w:val="00C65238"/>
    <w:rsid w:val="00C70F04"/>
    <w:rsid w:val="00C72068"/>
    <w:rsid w:val="00C74E0F"/>
    <w:rsid w:val="00C75D5A"/>
    <w:rsid w:val="00C75E27"/>
    <w:rsid w:val="00C7666C"/>
    <w:rsid w:val="00C768D3"/>
    <w:rsid w:val="00C770F2"/>
    <w:rsid w:val="00C7762C"/>
    <w:rsid w:val="00C776A0"/>
    <w:rsid w:val="00C8266F"/>
    <w:rsid w:val="00C83548"/>
    <w:rsid w:val="00C859BE"/>
    <w:rsid w:val="00C86437"/>
    <w:rsid w:val="00C86618"/>
    <w:rsid w:val="00C86EA4"/>
    <w:rsid w:val="00C87225"/>
    <w:rsid w:val="00C872F4"/>
    <w:rsid w:val="00C87909"/>
    <w:rsid w:val="00C91648"/>
    <w:rsid w:val="00C9408B"/>
    <w:rsid w:val="00C948F5"/>
    <w:rsid w:val="00C94EDE"/>
    <w:rsid w:val="00C950DD"/>
    <w:rsid w:val="00C95900"/>
    <w:rsid w:val="00C9659F"/>
    <w:rsid w:val="00C97255"/>
    <w:rsid w:val="00C97321"/>
    <w:rsid w:val="00CA0692"/>
    <w:rsid w:val="00CA0CD3"/>
    <w:rsid w:val="00CA0CEB"/>
    <w:rsid w:val="00CA1438"/>
    <w:rsid w:val="00CA1C2C"/>
    <w:rsid w:val="00CA3468"/>
    <w:rsid w:val="00CA629D"/>
    <w:rsid w:val="00CA6D70"/>
    <w:rsid w:val="00CA7B88"/>
    <w:rsid w:val="00CB01DA"/>
    <w:rsid w:val="00CB07DE"/>
    <w:rsid w:val="00CB09E7"/>
    <w:rsid w:val="00CB1A82"/>
    <w:rsid w:val="00CB1AB8"/>
    <w:rsid w:val="00CB3696"/>
    <w:rsid w:val="00CB4082"/>
    <w:rsid w:val="00CB459B"/>
    <w:rsid w:val="00CB571B"/>
    <w:rsid w:val="00CB6C6E"/>
    <w:rsid w:val="00CB6F27"/>
    <w:rsid w:val="00CB7E48"/>
    <w:rsid w:val="00CB7FE1"/>
    <w:rsid w:val="00CC075B"/>
    <w:rsid w:val="00CC0866"/>
    <w:rsid w:val="00CC0CAD"/>
    <w:rsid w:val="00CC0F4E"/>
    <w:rsid w:val="00CC11BD"/>
    <w:rsid w:val="00CC18D6"/>
    <w:rsid w:val="00CC24D0"/>
    <w:rsid w:val="00CC4689"/>
    <w:rsid w:val="00CC5289"/>
    <w:rsid w:val="00CC54EB"/>
    <w:rsid w:val="00CC703F"/>
    <w:rsid w:val="00CC706B"/>
    <w:rsid w:val="00CC73DD"/>
    <w:rsid w:val="00CC7777"/>
    <w:rsid w:val="00CD0671"/>
    <w:rsid w:val="00CD06BE"/>
    <w:rsid w:val="00CD0F03"/>
    <w:rsid w:val="00CD1AC2"/>
    <w:rsid w:val="00CD1AD4"/>
    <w:rsid w:val="00CD1BD7"/>
    <w:rsid w:val="00CD1DE1"/>
    <w:rsid w:val="00CD2095"/>
    <w:rsid w:val="00CD426F"/>
    <w:rsid w:val="00CD45B0"/>
    <w:rsid w:val="00CE01FC"/>
    <w:rsid w:val="00CE0C34"/>
    <w:rsid w:val="00CE0CA4"/>
    <w:rsid w:val="00CE0F40"/>
    <w:rsid w:val="00CE12F5"/>
    <w:rsid w:val="00CE1608"/>
    <w:rsid w:val="00CE1DF7"/>
    <w:rsid w:val="00CE4482"/>
    <w:rsid w:val="00CE4893"/>
    <w:rsid w:val="00CE4C8C"/>
    <w:rsid w:val="00CE5744"/>
    <w:rsid w:val="00CE7F07"/>
    <w:rsid w:val="00CF0DB6"/>
    <w:rsid w:val="00CF15E7"/>
    <w:rsid w:val="00CF1732"/>
    <w:rsid w:val="00CF533D"/>
    <w:rsid w:val="00CF551C"/>
    <w:rsid w:val="00CF5F2A"/>
    <w:rsid w:val="00CF667E"/>
    <w:rsid w:val="00CF75FB"/>
    <w:rsid w:val="00CF7986"/>
    <w:rsid w:val="00D008E3"/>
    <w:rsid w:val="00D0533C"/>
    <w:rsid w:val="00D06976"/>
    <w:rsid w:val="00D07BD8"/>
    <w:rsid w:val="00D07EA5"/>
    <w:rsid w:val="00D10EA2"/>
    <w:rsid w:val="00D11009"/>
    <w:rsid w:val="00D119C2"/>
    <w:rsid w:val="00D12DA6"/>
    <w:rsid w:val="00D14F38"/>
    <w:rsid w:val="00D1616F"/>
    <w:rsid w:val="00D16D89"/>
    <w:rsid w:val="00D21BAC"/>
    <w:rsid w:val="00D21C70"/>
    <w:rsid w:val="00D226F1"/>
    <w:rsid w:val="00D22ED2"/>
    <w:rsid w:val="00D23D8F"/>
    <w:rsid w:val="00D23FEB"/>
    <w:rsid w:val="00D23FED"/>
    <w:rsid w:val="00D258D9"/>
    <w:rsid w:val="00D25B6E"/>
    <w:rsid w:val="00D3076A"/>
    <w:rsid w:val="00D30DEE"/>
    <w:rsid w:val="00D31737"/>
    <w:rsid w:val="00D33705"/>
    <w:rsid w:val="00D33920"/>
    <w:rsid w:val="00D33A8A"/>
    <w:rsid w:val="00D33B8F"/>
    <w:rsid w:val="00D34CD7"/>
    <w:rsid w:val="00D35813"/>
    <w:rsid w:val="00D36123"/>
    <w:rsid w:val="00D3672D"/>
    <w:rsid w:val="00D371DA"/>
    <w:rsid w:val="00D4148C"/>
    <w:rsid w:val="00D41A00"/>
    <w:rsid w:val="00D436B8"/>
    <w:rsid w:val="00D4434A"/>
    <w:rsid w:val="00D44A68"/>
    <w:rsid w:val="00D45ADC"/>
    <w:rsid w:val="00D479D4"/>
    <w:rsid w:val="00D503EA"/>
    <w:rsid w:val="00D5055E"/>
    <w:rsid w:val="00D50A39"/>
    <w:rsid w:val="00D50A45"/>
    <w:rsid w:val="00D511E9"/>
    <w:rsid w:val="00D51456"/>
    <w:rsid w:val="00D515C5"/>
    <w:rsid w:val="00D545F7"/>
    <w:rsid w:val="00D557C7"/>
    <w:rsid w:val="00D5594E"/>
    <w:rsid w:val="00D55A78"/>
    <w:rsid w:val="00D5677F"/>
    <w:rsid w:val="00D569CA"/>
    <w:rsid w:val="00D57B63"/>
    <w:rsid w:val="00D6008D"/>
    <w:rsid w:val="00D615EC"/>
    <w:rsid w:val="00D6274C"/>
    <w:rsid w:val="00D62835"/>
    <w:rsid w:val="00D63897"/>
    <w:rsid w:val="00D63A8A"/>
    <w:rsid w:val="00D6549E"/>
    <w:rsid w:val="00D65C55"/>
    <w:rsid w:val="00D661F0"/>
    <w:rsid w:val="00D6691A"/>
    <w:rsid w:val="00D67277"/>
    <w:rsid w:val="00D7202A"/>
    <w:rsid w:val="00D72777"/>
    <w:rsid w:val="00D7299C"/>
    <w:rsid w:val="00D73002"/>
    <w:rsid w:val="00D7302C"/>
    <w:rsid w:val="00D754E0"/>
    <w:rsid w:val="00D76BD4"/>
    <w:rsid w:val="00D77DDB"/>
    <w:rsid w:val="00D80FC9"/>
    <w:rsid w:val="00D81D3D"/>
    <w:rsid w:val="00D81D97"/>
    <w:rsid w:val="00D8222A"/>
    <w:rsid w:val="00D843D9"/>
    <w:rsid w:val="00D84846"/>
    <w:rsid w:val="00D86367"/>
    <w:rsid w:val="00D86A94"/>
    <w:rsid w:val="00D870CF"/>
    <w:rsid w:val="00D877E7"/>
    <w:rsid w:val="00D87F61"/>
    <w:rsid w:val="00D90B5A"/>
    <w:rsid w:val="00D916FA"/>
    <w:rsid w:val="00D91A99"/>
    <w:rsid w:val="00D92214"/>
    <w:rsid w:val="00D92384"/>
    <w:rsid w:val="00D925F7"/>
    <w:rsid w:val="00D9414C"/>
    <w:rsid w:val="00D96195"/>
    <w:rsid w:val="00D968BE"/>
    <w:rsid w:val="00DA143F"/>
    <w:rsid w:val="00DA15B5"/>
    <w:rsid w:val="00DA1682"/>
    <w:rsid w:val="00DA1C11"/>
    <w:rsid w:val="00DA30F4"/>
    <w:rsid w:val="00DA363F"/>
    <w:rsid w:val="00DA4434"/>
    <w:rsid w:val="00DA488F"/>
    <w:rsid w:val="00DA4FBC"/>
    <w:rsid w:val="00DA541C"/>
    <w:rsid w:val="00DA547D"/>
    <w:rsid w:val="00DA6CEE"/>
    <w:rsid w:val="00DA72D2"/>
    <w:rsid w:val="00DB02A9"/>
    <w:rsid w:val="00DB07FB"/>
    <w:rsid w:val="00DB12ED"/>
    <w:rsid w:val="00DB1326"/>
    <w:rsid w:val="00DB2547"/>
    <w:rsid w:val="00DB3DD8"/>
    <w:rsid w:val="00DB6953"/>
    <w:rsid w:val="00DB7DE0"/>
    <w:rsid w:val="00DC0B89"/>
    <w:rsid w:val="00DC15E6"/>
    <w:rsid w:val="00DC1F02"/>
    <w:rsid w:val="00DC22D9"/>
    <w:rsid w:val="00DC31DE"/>
    <w:rsid w:val="00DC46C9"/>
    <w:rsid w:val="00DC4E7F"/>
    <w:rsid w:val="00DC5639"/>
    <w:rsid w:val="00DD0EAE"/>
    <w:rsid w:val="00DD1BB1"/>
    <w:rsid w:val="00DD1EE7"/>
    <w:rsid w:val="00DD25C1"/>
    <w:rsid w:val="00DD30E6"/>
    <w:rsid w:val="00DD3916"/>
    <w:rsid w:val="00DD6B24"/>
    <w:rsid w:val="00DD7C34"/>
    <w:rsid w:val="00DD7FD1"/>
    <w:rsid w:val="00DE084E"/>
    <w:rsid w:val="00DE1B2C"/>
    <w:rsid w:val="00DE4C96"/>
    <w:rsid w:val="00DE7A5C"/>
    <w:rsid w:val="00DE7C03"/>
    <w:rsid w:val="00DF0A34"/>
    <w:rsid w:val="00DF1268"/>
    <w:rsid w:val="00DF1E55"/>
    <w:rsid w:val="00DF5152"/>
    <w:rsid w:val="00DF5E25"/>
    <w:rsid w:val="00DF63FB"/>
    <w:rsid w:val="00DF745B"/>
    <w:rsid w:val="00DF7F4C"/>
    <w:rsid w:val="00E012DF"/>
    <w:rsid w:val="00E022A9"/>
    <w:rsid w:val="00E02497"/>
    <w:rsid w:val="00E02EEE"/>
    <w:rsid w:val="00E0335A"/>
    <w:rsid w:val="00E03905"/>
    <w:rsid w:val="00E039B7"/>
    <w:rsid w:val="00E03AA3"/>
    <w:rsid w:val="00E049D4"/>
    <w:rsid w:val="00E04BAA"/>
    <w:rsid w:val="00E055C2"/>
    <w:rsid w:val="00E07128"/>
    <w:rsid w:val="00E12802"/>
    <w:rsid w:val="00E12F87"/>
    <w:rsid w:val="00E13207"/>
    <w:rsid w:val="00E14619"/>
    <w:rsid w:val="00E1527D"/>
    <w:rsid w:val="00E16566"/>
    <w:rsid w:val="00E166FB"/>
    <w:rsid w:val="00E167FF"/>
    <w:rsid w:val="00E17A94"/>
    <w:rsid w:val="00E2147C"/>
    <w:rsid w:val="00E23C29"/>
    <w:rsid w:val="00E23EA4"/>
    <w:rsid w:val="00E23FFC"/>
    <w:rsid w:val="00E26F1E"/>
    <w:rsid w:val="00E27C2A"/>
    <w:rsid w:val="00E27C42"/>
    <w:rsid w:val="00E301CF"/>
    <w:rsid w:val="00E3367D"/>
    <w:rsid w:val="00E36984"/>
    <w:rsid w:val="00E373AC"/>
    <w:rsid w:val="00E37BB5"/>
    <w:rsid w:val="00E37F8C"/>
    <w:rsid w:val="00E4062F"/>
    <w:rsid w:val="00E4131E"/>
    <w:rsid w:val="00E41BFB"/>
    <w:rsid w:val="00E42061"/>
    <w:rsid w:val="00E424F3"/>
    <w:rsid w:val="00E4406D"/>
    <w:rsid w:val="00E440AB"/>
    <w:rsid w:val="00E449FD"/>
    <w:rsid w:val="00E45B6C"/>
    <w:rsid w:val="00E46055"/>
    <w:rsid w:val="00E46CB1"/>
    <w:rsid w:val="00E501C9"/>
    <w:rsid w:val="00E53B23"/>
    <w:rsid w:val="00E5484A"/>
    <w:rsid w:val="00E55CD7"/>
    <w:rsid w:val="00E561AD"/>
    <w:rsid w:val="00E56767"/>
    <w:rsid w:val="00E56F21"/>
    <w:rsid w:val="00E601EF"/>
    <w:rsid w:val="00E60670"/>
    <w:rsid w:val="00E60EB9"/>
    <w:rsid w:val="00E61389"/>
    <w:rsid w:val="00E632CB"/>
    <w:rsid w:val="00E63B72"/>
    <w:rsid w:val="00E63B79"/>
    <w:rsid w:val="00E66F43"/>
    <w:rsid w:val="00E67620"/>
    <w:rsid w:val="00E702C2"/>
    <w:rsid w:val="00E71F61"/>
    <w:rsid w:val="00E72811"/>
    <w:rsid w:val="00E72CB2"/>
    <w:rsid w:val="00E73AD4"/>
    <w:rsid w:val="00E81967"/>
    <w:rsid w:val="00E82306"/>
    <w:rsid w:val="00E823A7"/>
    <w:rsid w:val="00E83065"/>
    <w:rsid w:val="00E832D7"/>
    <w:rsid w:val="00E838BF"/>
    <w:rsid w:val="00E83D72"/>
    <w:rsid w:val="00E8589D"/>
    <w:rsid w:val="00E86C99"/>
    <w:rsid w:val="00E86D49"/>
    <w:rsid w:val="00E8721F"/>
    <w:rsid w:val="00E87537"/>
    <w:rsid w:val="00E92BE7"/>
    <w:rsid w:val="00E942CF"/>
    <w:rsid w:val="00E943EC"/>
    <w:rsid w:val="00E94D1D"/>
    <w:rsid w:val="00E96D02"/>
    <w:rsid w:val="00E97147"/>
    <w:rsid w:val="00E97430"/>
    <w:rsid w:val="00E978B6"/>
    <w:rsid w:val="00E97B76"/>
    <w:rsid w:val="00EA0D4A"/>
    <w:rsid w:val="00EA0EF7"/>
    <w:rsid w:val="00EA1037"/>
    <w:rsid w:val="00EA1F58"/>
    <w:rsid w:val="00EA29C4"/>
    <w:rsid w:val="00EA2D3A"/>
    <w:rsid w:val="00EA2DF8"/>
    <w:rsid w:val="00EA3422"/>
    <w:rsid w:val="00EA375F"/>
    <w:rsid w:val="00EA435E"/>
    <w:rsid w:val="00EA5289"/>
    <w:rsid w:val="00EA52A9"/>
    <w:rsid w:val="00EA5C30"/>
    <w:rsid w:val="00EA626E"/>
    <w:rsid w:val="00EA7832"/>
    <w:rsid w:val="00EB1850"/>
    <w:rsid w:val="00EB26A0"/>
    <w:rsid w:val="00EB382B"/>
    <w:rsid w:val="00EB5F9F"/>
    <w:rsid w:val="00EB7ACF"/>
    <w:rsid w:val="00EC00A2"/>
    <w:rsid w:val="00EC0376"/>
    <w:rsid w:val="00EC0C4A"/>
    <w:rsid w:val="00EC2203"/>
    <w:rsid w:val="00EC3394"/>
    <w:rsid w:val="00EC3951"/>
    <w:rsid w:val="00EC3CCC"/>
    <w:rsid w:val="00EC421A"/>
    <w:rsid w:val="00EC589B"/>
    <w:rsid w:val="00EC69BA"/>
    <w:rsid w:val="00ED0EA7"/>
    <w:rsid w:val="00ED1137"/>
    <w:rsid w:val="00ED17C4"/>
    <w:rsid w:val="00ED1AEF"/>
    <w:rsid w:val="00ED219E"/>
    <w:rsid w:val="00ED2D97"/>
    <w:rsid w:val="00ED40C7"/>
    <w:rsid w:val="00ED4A6F"/>
    <w:rsid w:val="00ED57BA"/>
    <w:rsid w:val="00ED6136"/>
    <w:rsid w:val="00ED79CF"/>
    <w:rsid w:val="00EE0057"/>
    <w:rsid w:val="00EE1DAE"/>
    <w:rsid w:val="00EE1E12"/>
    <w:rsid w:val="00EE2213"/>
    <w:rsid w:val="00EE3119"/>
    <w:rsid w:val="00EE34BB"/>
    <w:rsid w:val="00EE3EB9"/>
    <w:rsid w:val="00EE444B"/>
    <w:rsid w:val="00EE5EA4"/>
    <w:rsid w:val="00EF002E"/>
    <w:rsid w:val="00EF14BD"/>
    <w:rsid w:val="00EF1F5B"/>
    <w:rsid w:val="00EF22AA"/>
    <w:rsid w:val="00EF31E7"/>
    <w:rsid w:val="00EF4EF8"/>
    <w:rsid w:val="00EF5F48"/>
    <w:rsid w:val="00EF6267"/>
    <w:rsid w:val="00EF6820"/>
    <w:rsid w:val="00EF717B"/>
    <w:rsid w:val="00F01437"/>
    <w:rsid w:val="00F01A63"/>
    <w:rsid w:val="00F01C3C"/>
    <w:rsid w:val="00F030E1"/>
    <w:rsid w:val="00F03965"/>
    <w:rsid w:val="00F05220"/>
    <w:rsid w:val="00F05815"/>
    <w:rsid w:val="00F06549"/>
    <w:rsid w:val="00F07044"/>
    <w:rsid w:val="00F07986"/>
    <w:rsid w:val="00F1118B"/>
    <w:rsid w:val="00F11762"/>
    <w:rsid w:val="00F153EF"/>
    <w:rsid w:val="00F22077"/>
    <w:rsid w:val="00F224A0"/>
    <w:rsid w:val="00F22614"/>
    <w:rsid w:val="00F249DA"/>
    <w:rsid w:val="00F26244"/>
    <w:rsid w:val="00F26645"/>
    <w:rsid w:val="00F27EFB"/>
    <w:rsid w:val="00F30362"/>
    <w:rsid w:val="00F314E1"/>
    <w:rsid w:val="00F33AE7"/>
    <w:rsid w:val="00F34521"/>
    <w:rsid w:val="00F3505B"/>
    <w:rsid w:val="00F35767"/>
    <w:rsid w:val="00F357B2"/>
    <w:rsid w:val="00F3632E"/>
    <w:rsid w:val="00F37865"/>
    <w:rsid w:val="00F37E95"/>
    <w:rsid w:val="00F40920"/>
    <w:rsid w:val="00F40BBC"/>
    <w:rsid w:val="00F410C0"/>
    <w:rsid w:val="00F41577"/>
    <w:rsid w:val="00F4169D"/>
    <w:rsid w:val="00F43D33"/>
    <w:rsid w:val="00F46F72"/>
    <w:rsid w:val="00F46F83"/>
    <w:rsid w:val="00F47184"/>
    <w:rsid w:val="00F50CFA"/>
    <w:rsid w:val="00F514AA"/>
    <w:rsid w:val="00F53DB5"/>
    <w:rsid w:val="00F5521A"/>
    <w:rsid w:val="00F56068"/>
    <w:rsid w:val="00F57CC6"/>
    <w:rsid w:val="00F6044E"/>
    <w:rsid w:val="00F6258B"/>
    <w:rsid w:val="00F62EC5"/>
    <w:rsid w:val="00F632DF"/>
    <w:rsid w:val="00F63F2A"/>
    <w:rsid w:val="00F6478D"/>
    <w:rsid w:val="00F67501"/>
    <w:rsid w:val="00F71CAC"/>
    <w:rsid w:val="00F71FDE"/>
    <w:rsid w:val="00F72867"/>
    <w:rsid w:val="00F73CB9"/>
    <w:rsid w:val="00F748ED"/>
    <w:rsid w:val="00F7556A"/>
    <w:rsid w:val="00F75868"/>
    <w:rsid w:val="00F76EE9"/>
    <w:rsid w:val="00F805AE"/>
    <w:rsid w:val="00F8132B"/>
    <w:rsid w:val="00F840EB"/>
    <w:rsid w:val="00F90893"/>
    <w:rsid w:val="00F92C4C"/>
    <w:rsid w:val="00F93A93"/>
    <w:rsid w:val="00F9424C"/>
    <w:rsid w:val="00F946AB"/>
    <w:rsid w:val="00F95FB2"/>
    <w:rsid w:val="00F97910"/>
    <w:rsid w:val="00F97A64"/>
    <w:rsid w:val="00FA054E"/>
    <w:rsid w:val="00FA0C97"/>
    <w:rsid w:val="00FA16EC"/>
    <w:rsid w:val="00FA31A9"/>
    <w:rsid w:val="00FA3BFF"/>
    <w:rsid w:val="00FA4634"/>
    <w:rsid w:val="00FA4EE4"/>
    <w:rsid w:val="00FA5AA9"/>
    <w:rsid w:val="00FA6A81"/>
    <w:rsid w:val="00FA7FDB"/>
    <w:rsid w:val="00FB114C"/>
    <w:rsid w:val="00FB1921"/>
    <w:rsid w:val="00FB23DF"/>
    <w:rsid w:val="00FB287A"/>
    <w:rsid w:val="00FB28BD"/>
    <w:rsid w:val="00FB35A4"/>
    <w:rsid w:val="00FB4A1D"/>
    <w:rsid w:val="00FB59DC"/>
    <w:rsid w:val="00FB7355"/>
    <w:rsid w:val="00FC0D58"/>
    <w:rsid w:val="00FC114E"/>
    <w:rsid w:val="00FC2081"/>
    <w:rsid w:val="00FC4076"/>
    <w:rsid w:val="00FC49F4"/>
    <w:rsid w:val="00FC4CD2"/>
    <w:rsid w:val="00FC4CF0"/>
    <w:rsid w:val="00FC4EDF"/>
    <w:rsid w:val="00FC4F7E"/>
    <w:rsid w:val="00FC6530"/>
    <w:rsid w:val="00FC73A6"/>
    <w:rsid w:val="00FC7D15"/>
    <w:rsid w:val="00FC7DF0"/>
    <w:rsid w:val="00FD0226"/>
    <w:rsid w:val="00FD1735"/>
    <w:rsid w:val="00FD3C21"/>
    <w:rsid w:val="00FD3F05"/>
    <w:rsid w:val="00FD46EE"/>
    <w:rsid w:val="00FD65B4"/>
    <w:rsid w:val="00FD7247"/>
    <w:rsid w:val="00FD77E6"/>
    <w:rsid w:val="00FE0ACB"/>
    <w:rsid w:val="00FE0CFB"/>
    <w:rsid w:val="00FE12D5"/>
    <w:rsid w:val="00FE2CD2"/>
    <w:rsid w:val="00FE30F2"/>
    <w:rsid w:val="00FE32C3"/>
    <w:rsid w:val="00FE3E03"/>
    <w:rsid w:val="00FE5F63"/>
    <w:rsid w:val="00FE6C0F"/>
    <w:rsid w:val="00FE7686"/>
    <w:rsid w:val="00FE7FA2"/>
    <w:rsid w:val="00FF0720"/>
    <w:rsid w:val="00FF13AD"/>
    <w:rsid w:val="00FF17E5"/>
    <w:rsid w:val="00FF1D39"/>
    <w:rsid w:val="00FF30FF"/>
    <w:rsid w:val="00FF3A69"/>
    <w:rsid w:val="00FF50AB"/>
    <w:rsid w:val="00FF5AD9"/>
    <w:rsid w:val="00FF603C"/>
    <w:rsid w:val="00FF6CB2"/>
    <w:rsid w:val="00FF7D48"/>
    <w:rsid w:val="010C1112"/>
    <w:rsid w:val="021DF365"/>
    <w:rsid w:val="029C2633"/>
    <w:rsid w:val="03532116"/>
    <w:rsid w:val="03E3A3E9"/>
    <w:rsid w:val="03F51677"/>
    <w:rsid w:val="03F69F1A"/>
    <w:rsid w:val="0510334F"/>
    <w:rsid w:val="051ACFCD"/>
    <w:rsid w:val="05919A2D"/>
    <w:rsid w:val="05E9152B"/>
    <w:rsid w:val="06379433"/>
    <w:rsid w:val="063D6843"/>
    <w:rsid w:val="066432AC"/>
    <w:rsid w:val="069B7ADC"/>
    <w:rsid w:val="069D33D9"/>
    <w:rsid w:val="06BE6BE2"/>
    <w:rsid w:val="06FE8B66"/>
    <w:rsid w:val="0739E6C6"/>
    <w:rsid w:val="0763136A"/>
    <w:rsid w:val="07A6191C"/>
    <w:rsid w:val="07ABBEBB"/>
    <w:rsid w:val="07BA705A"/>
    <w:rsid w:val="081F19BD"/>
    <w:rsid w:val="0907052C"/>
    <w:rsid w:val="098051AA"/>
    <w:rsid w:val="0A24B9C4"/>
    <w:rsid w:val="0A613950"/>
    <w:rsid w:val="0A700B55"/>
    <w:rsid w:val="0B0022D9"/>
    <w:rsid w:val="0B48D58A"/>
    <w:rsid w:val="0C5E71B7"/>
    <w:rsid w:val="0C689E27"/>
    <w:rsid w:val="0C6C4946"/>
    <w:rsid w:val="0C85BE5D"/>
    <w:rsid w:val="0C9FAC85"/>
    <w:rsid w:val="0CB1253A"/>
    <w:rsid w:val="0DCFF88F"/>
    <w:rsid w:val="0DE04A9F"/>
    <w:rsid w:val="0E6BB81D"/>
    <w:rsid w:val="0E967858"/>
    <w:rsid w:val="0F03D9E1"/>
    <w:rsid w:val="0F3B75E8"/>
    <w:rsid w:val="0F95990C"/>
    <w:rsid w:val="0FD4C9D7"/>
    <w:rsid w:val="102F500D"/>
    <w:rsid w:val="10A4A11E"/>
    <w:rsid w:val="10FB2C97"/>
    <w:rsid w:val="1112F309"/>
    <w:rsid w:val="1114BA4E"/>
    <w:rsid w:val="112C6B7A"/>
    <w:rsid w:val="1198BEFD"/>
    <w:rsid w:val="11DD2B83"/>
    <w:rsid w:val="12008149"/>
    <w:rsid w:val="123EFD2F"/>
    <w:rsid w:val="12F4B78A"/>
    <w:rsid w:val="1323E382"/>
    <w:rsid w:val="13A3A09E"/>
    <w:rsid w:val="13A79940"/>
    <w:rsid w:val="13E847AC"/>
    <w:rsid w:val="13F426FA"/>
    <w:rsid w:val="142D8494"/>
    <w:rsid w:val="1486A01F"/>
    <w:rsid w:val="15270E72"/>
    <w:rsid w:val="154090C5"/>
    <w:rsid w:val="1561100D"/>
    <w:rsid w:val="15A58401"/>
    <w:rsid w:val="16287004"/>
    <w:rsid w:val="166F4922"/>
    <w:rsid w:val="17131A31"/>
    <w:rsid w:val="17C27382"/>
    <w:rsid w:val="17DC55AF"/>
    <w:rsid w:val="17FEF9E5"/>
    <w:rsid w:val="185526A6"/>
    <w:rsid w:val="18B57E3D"/>
    <w:rsid w:val="18CE3240"/>
    <w:rsid w:val="19667954"/>
    <w:rsid w:val="198A79AC"/>
    <w:rsid w:val="19DEEE96"/>
    <w:rsid w:val="19E6C14B"/>
    <w:rsid w:val="1A7FDCA6"/>
    <w:rsid w:val="1A9A6D24"/>
    <w:rsid w:val="1AC17C3A"/>
    <w:rsid w:val="1ADA31FC"/>
    <w:rsid w:val="1B284C5D"/>
    <w:rsid w:val="1B597A7E"/>
    <w:rsid w:val="1BB71A66"/>
    <w:rsid w:val="1BD611AD"/>
    <w:rsid w:val="1CAE500B"/>
    <w:rsid w:val="1CE469A7"/>
    <w:rsid w:val="1D481232"/>
    <w:rsid w:val="1DD9EF3C"/>
    <w:rsid w:val="1DF69EC9"/>
    <w:rsid w:val="1E25FE9E"/>
    <w:rsid w:val="1EBF714E"/>
    <w:rsid w:val="1EE22F19"/>
    <w:rsid w:val="1F152BF5"/>
    <w:rsid w:val="1F6DAFD8"/>
    <w:rsid w:val="1F84CC11"/>
    <w:rsid w:val="1FFBA893"/>
    <w:rsid w:val="20BD1B28"/>
    <w:rsid w:val="218F7423"/>
    <w:rsid w:val="21A055E4"/>
    <w:rsid w:val="21CD325D"/>
    <w:rsid w:val="21F176C3"/>
    <w:rsid w:val="2252F5EA"/>
    <w:rsid w:val="22B2E273"/>
    <w:rsid w:val="235944A0"/>
    <w:rsid w:val="239528D4"/>
    <w:rsid w:val="242A3B97"/>
    <w:rsid w:val="244B8BA3"/>
    <w:rsid w:val="247593E9"/>
    <w:rsid w:val="2482AB30"/>
    <w:rsid w:val="24866881"/>
    <w:rsid w:val="248FB11B"/>
    <w:rsid w:val="24CA6B4B"/>
    <w:rsid w:val="25167A99"/>
    <w:rsid w:val="251DAD54"/>
    <w:rsid w:val="256E7D1F"/>
    <w:rsid w:val="263C3F53"/>
    <w:rsid w:val="265D5CEA"/>
    <w:rsid w:val="266D0E36"/>
    <w:rsid w:val="2705F438"/>
    <w:rsid w:val="2803C688"/>
    <w:rsid w:val="286F61AF"/>
    <w:rsid w:val="29171280"/>
    <w:rsid w:val="291EB04C"/>
    <w:rsid w:val="29AF17E1"/>
    <w:rsid w:val="29E24B52"/>
    <w:rsid w:val="2AB2F450"/>
    <w:rsid w:val="2AB70C23"/>
    <w:rsid w:val="2AEB4A54"/>
    <w:rsid w:val="2B04FDB1"/>
    <w:rsid w:val="2B1AC7DC"/>
    <w:rsid w:val="2BEF2B23"/>
    <w:rsid w:val="2BF1899A"/>
    <w:rsid w:val="2C3D54C4"/>
    <w:rsid w:val="2CC507A0"/>
    <w:rsid w:val="2CE0FEC2"/>
    <w:rsid w:val="2CF1AE67"/>
    <w:rsid w:val="2D12A1D9"/>
    <w:rsid w:val="2D9251E6"/>
    <w:rsid w:val="2D99E544"/>
    <w:rsid w:val="2DEB2C8A"/>
    <w:rsid w:val="2E2AB90F"/>
    <w:rsid w:val="2E3CCF42"/>
    <w:rsid w:val="2E8E4643"/>
    <w:rsid w:val="2E8E7D31"/>
    <w:rsid w:val="2EE8C294"/>
    <w:rsid w:val="2F7661F3"/>
    <w:rsid w:val="2FA6F2C0"/>
    <w:rsid w:val="30B89212"/>
    <w:rsid w:val="30EDBFC2"/>
    <w:rsid w:val="30F97C62"/>
    <w:rsid w:val="30FC3356"/>
    <w:rsid w:val="3192DD79"/>
    <w:rsid w:val="3205A40E"/>
    <w:rsid w:val="320BC70F"/>
    <w:rsid w:val="32158470"/>
    <w:rsid w:val="3268830B"/>
    <w:rsid w:val="32C1C859"/>
    <w:rsid w:val="32F6F98A"/>
    <w:rsid w:val="33059570"/>
    <w:rsid w:val="33985B12"/>
    <w:rsid w:val="33E5B4FB"/>
    <w:rsid w:val="34DFCB06"/>
    <w:rsid w:val="34E998B1"/>
    <w:rsid w:val="34F06E92"/>
    <w:rsid w:val="3518770D"/>
    <w:rsid w:val="351F2960"/>
    <w:rsid w:val="3569ECBC"/>
    <w:rsid w:val="35821FBB"/>
    <w:rsid w:val="358BCD3F"/>
    <w:rsid w:val="35A59737"/>
    <w:rsid w:val="3630E3D9"/>
    <w:rsid w:val="36C1AD60"/>
    <w:rsid w:val="36E718BD"/>
    <w:rsid w:val="372DFBD6"/>
    <w:rsid w:val="375E6B6B"/>
    <w:rsid w:val="3782F5BA"/>
    <w:rsid w:val="381054FE"/>
    <w:rsid w:val="382BB0E4"/>
    <w:rsid w:val="38303276"/>
    <w:rsid w:val="38D94B9A"/>
    <w:rsid w:val="39728167"/>
    <w:rsid w:val="397FF86C"/>
    <w:rsid w:val="39F787EA"/>
    <w:rsid w:val="3A1863B5"/>
    <w:rsid w:val="3A252E23"/>
    <w:rsid w:val="3AC975C0"/>
    <w:rsid w:val="3AE1C658"/>
    <w:rsid w:val="3AE87F4D"/>
    <w:rsid w:val="3B3759A5"/>
    <w:rsid w:val="3B799BCC"/>
    <w:rsid w:val="3B983095"/>
    <w:rsid w:val="3BBDEFDF"/>
    <w:rsid w:val="3C09902F"/>
    <w:rsid w:val="3C205190"/>
    <w:rsid w:val="3C415B41"/>
    <w:rsid w:val="3C637521"/>
    <w:rsid w:val="3C87A00B"/>
    <w:rsid w:val="3D1B7E88"/>
    <w:rsid w:val="3D23032C"/>
    <w:rsid w:val="3DF4D5B1"/>
    <w:rsid w:val="3E0BD2A6"/>
    <w:rsid w:val="3E587F8E"/>
    <w:rsid w:val="3EEBE81C"/>
    <w:rsid w:val="3F8285E0"/>
    <w:rsid w:val="3FC738EB"/>
    <w:rsid w:val="3FF7CE88"/>
    <w:rsid w:val="404A42F7"/>
    <w:rsid w:val="405C61C0"/>
    <w:rsid w:val="40CDF8D1"/>
    <w:rsid w:val="4131F494"/>
    <w:rsid w:val="41531929"/>
    <w:rsid w:val="41B4A28C"/>
    <w:rsid w:val="4254DCC1"/>
    <w:rsid w:val="42EDEF6D"/>
    <w:rsid w:val="43768F17"/>
    <w:rsid w:val="451C38B0"/>
    <w:rsid w:val="457E80E2"/>
    <w:rsid w:val="45866D16"/>
    <w:rsid w:val="46186346"/>
    <w:rsid w:val="464F45A7"/>
    <w:rsid w:val="4660B91A"/>
    <w:rsid w:val="46D68B46"/>
    <w:rsid w:val="475F3A1A"/>
    <w:rsid w:val="47C26FF6"/>
    <w:rsid w:val="47CA3E1F"/>
    <w:rsid w:val="4816A654"/>
    <w:rsid w:val="481A0B18"/>
    <w:rsid w:val="48375772"/>
    <w:rsid w:val="487623C5"/>
    <w:rsid w:val="4909FF02"/>
    <w:rsid w:val="4936E5BF"/>
    <w:rsid w:val="4959E051"/>
    <w:rsid w:val="4A1DDAEB"/>
    <w:rsid w:val="4A4DD050"/>
    <w:rsid w:val="4AA1AE5E"/>
    <w:rsid w:val="4B71E956"/>
    <w:rsid w:val="4C05280B"/>
    <w:rsid w:val="4C2A1218"/>
    <w:rsid w:val="4C8918ED"/>
    <w:rsid w:val="4D05D725"/>
    <w:rsid w:val="4D0967CF"/>
    <w:rsid w:val="4D65BC3A"/>
    <w:rsid w:val="4D8EC441"/>
    <w:rsid w:val="4DBA415A"/>
    <w:rsid w:val="4DE0175B"/>
    <w:rsid w:val="4E12A658"/>
    <w:rsid w:val="4E2B0E51"/>
    <w:rsid w:val="4EDF1A41"/>
    <w:rsid w:val="4EF92727"/>
    <w:rsid w:val="4EFA7888"/>
    <w:rsid w:val="4F76BD83"/>
    <w:rsid w:val="4F9EA472"/>
    <w:rsid w:val="4FCC0AD1"/>
    <w:rsid w:val="5018C294"/>
    <w:rsid w:val="510D766F"/>
    <w:rsid w:val="51115786"/>
    <w:rsid w:val="5170D769"/>
    <w:rsid w:val="526362D6"/>
    <w:rsid w:val="527DC273"/>
    <w:rsid w:val="52CC3B59"/>
    <w:rsid w:val="5369F3F4"/>
    <w:rsid w:val="537A5530"/>
    <w:rsid w:val="537B7A8F"/>
    <w:rsid w:val="547A2D94"/>
    <w:rsid w:val="547CDDA0"/>
    <w:rsid w:val="54ACA371"/>
    <w:rsid w:val="550BC2F9"/>
    <w:rsid w:val="558BDF90"/>
    <w:rsid w:val="559D80A3"/>
    <w:rsid w:val="565C7792"/>
    <w:rsid w:val="56F1BA1B"/>
    <w:rsid w:val="57821025"/>
    <w:rsid w:val="57CD894D"/>
    <w:rsid w:val="58532BE8"/>
    <w:rsid w:val="587E035A"/>
    <w:rsid w:val="58A84EEA"/>
    <w:rsid w:val="58E96E3A"/>
    <w:rsid w:val="593AC637"/>
    <w:rsid w:val="593E5738"/>
    <w:rsid w:val="594C7A0B"/>
    <w:rsid w:val="59C112C8"/>
    <w:rsid w:val="5A4CF6CC"/>
    <w:rsid w:val="5AF03726"/>
    <w:rsid w:val="5B545F6C"/>
    <w:rsid w:val="5B67C7D7"/>
    <w:rsid w:val="5C24D288"/>
    <w:rsid w:val="5C6F8BC2"/>
    <w:rsid w:val="5CE41D62"/>
    <w:rsid w:val="5CEFEC53"/>
    <w:rsid w:val="5DC4A04A"/>
    <w:rsid w:val="5DD4D7CF"/>
    <w:rsid w:val="5E4023AB"/>
    <w:rsid w:val="5E7D70E4"/>
    <w:rsid w:val="5E97B0CB"/>
    <w:rsid w:val="5F62B1B6"/>
    <w:rsid w:val="5FAE97D8"/>
    <w:rsid w:val="5FD35E9D"/>
    <w:rsid w:val="600DB829"/>
    <w:rsid w:val="6079877E"/>
    <w:rsid w:val="61EE564A"/>
    <w:rsid w:val="62456E77"/>
    <w:rsid w:val="62BE2085"/>
    <w:rsid w:val="62C9B2EA"/>
    <w:rsid w:val="631FEBCA"/>
    <w:rsid w:val="639E9B9B"/>
    <w:rsid w:val="63BEA325"/>
    <w:rsid w:val="6462B5A6"/>
    <w:rsid w:val="649087DC"/>
    <w:rsid w:val="649395FB"/>
    <w:rsid w:val="64A4B944"/>
    <w:rsid w:val="64F692D4"/>
    <w:rsid w:val="656A1E2D"/>
    <w:rsid w:val="65772A6C"/>
    <w:rsid w:val="65A72BA2"/>
    <w:rsid w:val="6654291A"/>
    <w:rsid w:val="66BD4B63"/>
    <w:rsid w:val="671C4404"/>
    <w:rsid w:val="67205E4B"/>
    <w:rsid w:val="67630FE3"/>
    <w:rsid w:val="678818CA"/>
    <w:rsid w:val="67929FA3"/>
    <w:rsid w:val="67997BEE"/>
    <w:rsid w:val="67E5EF71"/>
    <w:rsid w:val="688EC8D6"/>
    <w:rsid w:val="68A23DD0"/>
    <w:rsid w:val="68C2C5D5"/>
    <w:rsid w:val="68DB40FC"/>
    <w:rsid w:val="691A06BB"/>
    <w:rsid w:val="691A7037"/>
    <w:rsid w:val="6924D4D1"/>
    <w:rsid w:val="6987D822"/>
    <w:rsid w:val="6A0510BF"/>
    <w:rsid w:val="6A66705C"/>
    <w:rsid w:val="6AB03904"/>
    <w:rsid w:val="6ABC4D12"/>
    <w:rsid w:val="6AC31E23"/>
    <w:rsid w:val="6B3C2582"/>
    <w:rsid w:val="6B5B80CE"/>
    <w:rsid w:val="6BF9886D"/>
    <w:rsid w:val="6C7E551B"/>
    <w:rsid w:val="6D17EF1F"/>
    <w:rsid w:val="6D488CFE"/>
    <w:rsid w:val="6D5E2B53"/>
    <w:rsid w:val="6D92290A"/>
    <w:rsid w:val="6DC8581C"/>
    <w:rsid w:val="6DE954D4"/>
    <w:rsid w:val="6DEE8A84"/>
    <w:rsid w:val="6E235B12"/>
    <w:rsid w:val="6FEFD563"/>
    <w:rsid w:val="702EE3C2"/>
    <w:rsid w:val="70481CF2"/>
    <w:rsid w:val="70631177"/>
    <w:rsid w:val="70A625F7"/>
    <w:rsid w:val="70C006E6"/>
    <w:rsid w:val="713AB4F6"/>
    <w:rsid w:val="716D41F4"/>
    <w:rsid w:val="7193A06A"/>
    <w:rsid w:val="71C31FE3"/>
    <w:rsid w:val="71E6426E"/>
    <w:rsid w:val="71F51864"/>
    <w:rsid w:val="724E9FAD"/>
    <w:rsid w:val="727A167A"/>
    <w:rsid w:val="72AFD5C4"/>
    <w:rsid w:val="72D168A5"/>
    <w:rsid w:val="72F6ECCE"/>
    <w:rsid w:val="730FCCFB"/>
    <w:rsid w:val="73BF3F6F"/>
    <w:rsid w:val="73C5D9BC"/>
    <w:rsid w:val="73F401F8"/>
    <w:rsid w:val="74B9DF17"/>
    <w:rsid w:val="74CD2655"/>
    <w:rsid w:val="75207B8F"/>
    <w:rsid w:val="75809766"/>
    <w:rsid w:val="75BE7B32"/>
    <w:rsid w:val="75E7E8C2"/>
    <w:rsid w:val="7669ACD6"/>
    <w:rsid w:val="766E7AF6"/>
    <w:rsid w:val="76825172"/>
    <w:rsid w:val="76B67B90"/>
    <w:rsid w:val="77316144"/>
    <w:rsid w:val="77359BF2"/>
    <w:rsid w:val="77446A4A"/>
    <w:rsid w:val="777ECC86"/>
    <w:rsid w:val="77D2CA7A"/>
    <w:rsid w:val="78206F1E"/>
    <w:rsid w:val="784B72B7"/>
    <w:rsid w:val="785BA168"/>
    <w:rsid w:val="7929D98B"/>
    <w:rsid w:val="79B17F01"/>
    <w:rsid w:val="79BEC7F1"/>
    <w:rsid w:val="79CB34D5"/>
    <w:rsid w:val="7A6AF975"/>
    <w:rsid w:val="7A75D9C9"/>
    <w:rsid w:val="7A91341A"/>
    <w:rsid w:val="7B254AC1"/>
    <w:rsid w:val="7B51F349"/>
    <w:rsid w:val="7BAD7C19"/>
    <w:rsid w:val="7BEE4526"/>
    <w:rsid w:val="7BF38582"/>
    <w:rsid w:val="7C285CBA"/>
    <w:rsid w:val="7C297149"/>
    <w:rsid w:val="7C97CD75"/>
    <w:rsid w:val="7CA17E0A"/>
    <w:rsid w:val="7D073C85"/>
    <w:rsid w:val="7D0CF5E0"/>
    <w:rsid w:val="7DA9163B"/>
    <w:rsid w:val="7DEED1A8"/>
    <w:rsid w:val="7E030E9E"/>
    <w:rsid w:val="7E1955CF"/>
    <w:rsid w:val="7F17C408"/>
    <w:rsid w:val="7FA29CDC"/>
    <w:rsid w:val="7FD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89E2"/>
  <w15:docId w15:val="{38D6A328-5785-4CB2-BD85-E77B755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55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5FE"/>
  </w:style>
  <w:style w:type="paragraph" w:styleId="llb">
    <w:name w:val="footer"/>
    <w:basedOn w:val="Norml"/>
    <w:link w:val="llbChar"/>
    <w:uiPriority w:val="99"/>
    <w:unhideWhenUsed/>
    <w:rsid w:val="00B1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5F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5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5FE"/>
    <w:rPr>
      <w:sz w:val="20"/>
      <w:szCs w:val="20"/>
    </w:rPr>
  </w:style>
  <w:style w:type="character" w:styleId="Lbjegyzet-hivatkozs">
    <w:name w:val="footnote reference"/>
    <w:semiHidden/>
    <w:rsid w:val="00B155FE"/>
    <w:rPr>
      <w:vertAlign w:val="superscript"/>
    </w:rPr>
  </w:style>
  <w:style w:type="character" w:styleId="Oldalszm">
    <w:name w:val="page number"/>
    <w:basedOn w:val="Bekezdsalapbettpusa"/>
    <w:rsid w:val="00B155FE"/>
  </w:style>
  <w:style w:type="paragraph" w:styleId="Buborkszveg">
    <w:name w:val="Balloon Text"/>
    <w:basedOn w:val="Norml"/>
    <w:link w:val="BuborkszvegChar"/>
    <w:uiPriority w:val="99"/>
    <w:semiHidden/>
    <w:unhideWhenUsed/>
    <w:rsid w:val="0097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327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71CAC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table" w:styleId="Rcsostblzat">
    <w:name w:val="Table Grid"/>
    <w:basedOn w:val="Normltblzat"/>
    <w:uiPriority w:val="39"/>
    <w:rsid w:val="00D4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1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table" w:styleId="Tblzatrcsos1vilgos1jellszn">
    <w:name w:val="Grid Table 1 Light Accent 1"/>
    <w:basedOn w:val="Normltblzat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5D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5D5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62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3.emf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footer" Target="footer3.xm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DF1BD466E83E842902559549E0F08F2" ma:contentTypeVersion="5" ma:contentTypeDescription="Új dokumentum létrehozása." ma:contentTypeScope="" ma:versionID="4b44a68e156a5b79248640aeafc70798">
  <xsd:schema xmlns:xsd="http://www.w3.org/2001/XMLSchema" xmlns:xs="http://www.w3.org/2001/XMLSchema" xmlns:p="http://schemas.microsoft.com/office/2006/metadata/properties" xmlns:ns2="cb7eed14-1ed6-4f4f-9464-e9d73fc2f8e9" xmlns:ns3="9669010e-b829-4d86-87dd-cdce11b02043" targetNamespace="http://schemas.microsoft.com/office/2006/metadata/properties" ma:root="true" ma:fieldsID="bd0071a6f26b893e5271513f12c665f5" ns2:_="" ns3:_="">
    <xsd:import namespace="cb7eed14-1ed6-4f4f-9464-e9d73fc2f8e9"/>
    <xsd:import namespace="9669010e-b829-4d86-87dd-cdce11b02043"/>
    <xsd:element name="properties">
      <xsd:complexType>
        <xsd:sequence>
          <xsd:element name="documentManagement">
            <xsd:complexType>
              <xsd:all>
                <xsd:element ref="ns2:T_x00e9_ma" minOccurs="0"/>
                <xsd:element ref="ns2:_x00c9_v"/>
                <xsd:element ref="ns2:L_x00e1_that_x00f3_s_x00e1_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ed14-1ed6-4f4f-9464-e9d73fc2f8e9" elementFormDefault="qualified">
    <xsd:import namespace="http://schemas.microsoft.com/office/2006/documentManagement/types"/>
    <xsd:import namespace="http://schemas.microsoft.com/office/infopath/2007/PartnerControls"/>
    <xsd:element name="T_x00e9_ma" ma:index="2" nillable="true" ma:displayName="Téma" ma:format="Dropdown" ma:internalName="T_x00e9_ma">
      <xsd:simpleType>
        <xsd:restriction base="dms:Choice">
          <xsd:enumeration value="Tervezés"/>
          <xsd:enumeration value="Zárszámadás"/>
          <xsd:enumeration value="Törvénymódosítás"/>
          <xsd:enumeration value="ÁSZ ellenőrzés"/>
          <xsd:enumeration value="Gyorsjelentés"/>
          <xsd:enumeration value="Monitoring"/>
          <xsd:enumeration value="Tervezési tájékoztató"/>
          <xsd:enumeration value="Útmutató"/>
          <xsd:enumeration value="Munkaprogram"/>
          <xsd:enumeration value="Ütemterv"/>
          <xsd:enumeration value="Módosító"/>
          <xsd:enumeration value="Kormányülés"/>
          <xsd:enumeration value="Gazdasági kabinet"/>
          <xsd:enumeration value="Stratégiai kabinet"/>
          <xsd:enumeration value="IFMIS"/>
          <xsd:enumeration value="Fejezeten belüli átcsoportosítás"/>
          <xsd:enumeration value="Címlista"/>
          <xsd:enumeration value="BEÜ"/>
          <xsd:enumeration value="Koronavírus"/>
          <xsd:enumeration value="Tudásbázis"/>
          <xsd:enumeration value="Kiemelt fejlesztési igények"/>
          <xsd:enumeration value="Iktatás"/>
        </xsd:restriction>
      </xsd:simpleType>
    </xsd:element>
    <xsd:element name="_x00c9_v" ma:index="3" ma:displayName="Év" ma:default="2018" ma:format="Dropdown" ma:internalName="_x00c9_v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L_x00e1_that_x00f3_s_x00e1_g" ma:index="4" nillable="true" ma:displayName="Láthatóság" ma:default="Publikus" ma:format="Dropdown" ma:internalName="L_x00e1_that_x00f3_s_x00e1_g">
      <xsd:simpleType>
        <xsd:restriction base="dms:Choice">
          <xsd:enumeration value="Publikus"/>
          <xsd:enumeration value="Csak admin látja (verziókat tartalmaz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010e-b829-4d86-87dd-cdce11b02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9_v xmlns="cb7eed14-1ed6-4f4f-9464-e9d73fc2f8e9">2025</_x00c9_v>
    <T_x00e9_ma xmlns="cb7eed14-1ed6-4f4f-9464-e9d73fc2f8e9">Monitoring</T_x00e9_ma>
    <L_x00e1_that_x00f3_s_x00e1_g xmlns="cb7eed14-1ed6-4f4f-9464-e9d73fc2f8e9">Publikus</L_x00e1_that_x00f3_s_x00e1_g>
  </documentManagement>
</p:properties>
</file>

<file path=customXml/itemProps1.xml><?xml version="1.0" encoding="utf-8"?>
<ds:datastoreItem xmlns:ds="http://schemas.openxmlformats.org/officeDocument/2006/customXml" ds:itemID="{BDD0F6AD-19C0-4D6B-ABDF-2564A2CC5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FD48C-7926-4BF1-87F7-A322FB81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eed14-1ed6-4f4f-9464-e9d73fc2f8e9"/>
    <ds:schemaRef ds:uri="9669010e-b829-4d86-87dd-cdce11b02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E50AF-6A38-4D56-A55D-D65BA869B7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C958D-48DC-4564-B24D-56E63215790F}">
  <ds:schemaRefs>
    <ds:schemaRef ds:uri="9669010e-b829-4d86-87dd-cdce11b0204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cb7eed14-1ed6-4f4f-9464-e9d73fc2f8e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23</Pages>
  <Words>5114</Words>
  <Characters>35292</Characters>
  <Application>Microsoft Office Word</Application>
  <DocSecurity>0</DocSecurity>
  <Lines>294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40326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24</cp:revision>
  <cp:lastPrinted>2025-12-16T08:30:00Z</cp:lastPrinted>
  <dcterms:created xsi:type="dcterms:W3CDTF">2025-12-15T08:35:00Z</dcterms:created>
  <dcterms:modified xsi:type="dcterms:W3CDTF">2025-12-16T10:32:00Z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0x010100CDF1BD466E83E842902559549E0F08F2</vt:lpwstr>
  </property>
</Properties>
</file>