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2027D" w14:textId="77777777" w:rsidR="00484460" w:rsidRDefault="00484460" w:rsidP="00286991">
      <w:pPr>
        <w:spacing w:after="240"/>
        <w:jc w:val="center"/>
        <w:rPr>
          <w:b/>
        </w:rPr>
      </w:pPr>
      <w:r>
        <w:rPr>
          <w:b/>
        </w:rPr>
        <w:t>SAJTÓKÖZLEMÉNY</w:t>
      </w:r>
    </w:p>
    <w:p w14:paraId="00B65D0A" w14:textId="52C4E330" w:rsidR="00475001" w:rsidRDefault="00AA7858" w:rsidP="00AA7858">
      <w:pPr>
        <w:jc w:val="both"/>
        <w:rPr>
          <w:b/>
        </w:rPr>
      </w:pPr>
      <w:r>
        <w:rPr>
          <w:b/>
        </w:rPr>
        <w:t>A</w:t>
      </w:r>
      <w:r w:rsidRPr="00AA7858">
        <w:rPr>
          <w:b/>
        </w:rPr>
        <w:t xml:space="preserve"> költségvetés minden szükséges forrást </w:t>
      </w:r>
      <w:r w:rsidR="0007329E">
        <w:rPr>
          <w:b/>
        </w:rPr>
        <w:t>biztosít</w:t>
      </w:r>
      <w:r w:rsidRPr="00AA7858">
        <w:rPr>
          <w:b/>
        </w:rPr>
        <w:t xml:space="preserve"> a </w:t>
      </w:r>
      <w:r w:rsidR="00D34218">
        <w:rPr>
          <w:b/>
        </w:rPr>
        <w:t xml:space="preserve">magyar </w:t>
      </w:r>
      <w:r w:rsidRPr="00AA7858">
        <w:rPr>
          <w:b/>
        </w:rPr>
        <w:t>családokat, nyugdíjasokat, fiatalokat és</w:t>
      </w:r>
      <w:r w:rsidR="00D34218">
        <w:rPr>
          <w:b/>
        </w:rPr>
        <w:t xml:space="preserve"> a hazai kkv-kat</w:t>
      </w:r>
      <w:r w:rsidRPr="00AA7858">
        <w:rPr>
          <w:b/>
        </w:rPr>
        <w:t xml:space="preserve"> támogató </w:t>
      </w:r>
      <w:r w:rsidR="0007329E">
        <w:rPr>
          <w:b/>
        </w:rPr>
        <w:t xml:space="preserve">kormányzati </w:t>
      </w:r>
      <w:r w:rsidRPr="00AA7858">
        <w:rPr>
          <w:b/>
        </w:rPr>
        <w:t>programokhoz</w:t>
      </w:r>
    </w:p>
    <w:p w14:paraId="482160B0" w14:textId="31DAFD8A" w:rsidR="00D34218" w:rsidRPr="00D34218" w:rsidRDefault="005275D7" w:rsidP="00AA7858">
      <w:pPr>
        <w:jc w:val="both"/>
        <w:rPr>
          <w:b/>
          <w:bCs/>
          <w:i/>
          <w:iCs/>
        </w:rPr>
      </w:pPr>
      <w:r w:rsidRPr="005275D7">
        <w:rPr>
          <w:b/>
          <w:bCs/>
          <w:i/>
          <w:iCs/>
        </w:rPr>
        <w:t>Magyarország pénzügyei rendezettek, a költségvetés stabil, így a Kormány képes minden szükséges forrást előteremteni az olyan családokat, nyugdíjasokat, fiatalokat és vállalkozásokat támogató programokhoz, mint például: a fix 3%-os Otthon Start Program, a fix 3%-os kkv hitel, a családi adókedvezmény megduplázása, a két- és háromgyermekes anyák szja-mentessége, a nyugdíjasok 30 ezer forintos élelmiszerutalványa vagy a Demján Sándor Program.</w:t>
      </w:r>
      <w:r w:rsidR="00D34218">
        <w:rPr>
          <w:b/>
          <w:bCs/>
          <w:i/>
          <w:iCs/>
        </w:rPr>
        <w:t xml:space="preserve"> </w:t>
      </w:r>
      <w:r w:rsidRPr="005275D7">
        <w:rPr>
          <w:b/>
          <w:bCs/>
          <w:i/>
          <w:iCs/>
        </w:rPr>
        <w:t>A Kormány mindezt a fiskális fegyelem fenntartása mellett valósítja meg</w:t>
      </w:r>
      <w:r w:rsidR="00D34218" w:rsidRPr="00AA3D3F">
        <w:rPr>
          <w:b/>
          <w:bCs/>
          <w:i/>
          <w:iCs/>
        </w:rPr>
        <w:t xml:space="preserve">, </w:t>
      </w:r>
      <w:r>
        <w:rPr>
          <w:b/>
          <w:bCs/>
          <w:i/>
          <w:iCs/>
        </w:rPr>
        <w:t>ennek érdekében</w:t>
      </w:r>
      <w:r w:rsidR="00D34218" w:rsidRPr="00AA3D3F">
        <w:rPr>
          <w:b/>
          <w:bCs/>
          <w:i/>
          <w:iCs/>
        </w:rPr>
        <w:t xml:space="preserve"> négy szabályt tart szem előtt: </w:t>
      </w:r>
      <w:r w:rsidR="00D34218">
        <w:rPr>
          <w:b/>
          <w:bCs/>
          <w:i/>
          <w:iCs/>
        </w:rPr>
        <w:t xml:space="preserve">1. </w:t>
      </w:r>
      <w:r w:rsidR="00D34218" w:rsidRPr="00AA3D3F">
        <w:rPr>
          <w:b/>
          <w:bCs/>
          <w:i/>
          <w:iCs/>
        </w:rPr>
        <w:t>A hiánynak évről évre csökkennie kell</w:t>
      </w:r>
      <w:r w:rsidR="00D34218">
        <w:rPr>
          <w:b/>
          <w:bCs/>
          <w:i/>
          <w:iCs/>
        </w:rPr>
        <w:t>. 2.</w:t>
      </w:r>
      <w:r w:rsidR="00D34218" w:rsidRPr="00AA3D3F">
        <w:rPr>
          <w:b/>
          <w:bCs/>
          <w:i/>
          <w:iCs/>
        </w:rPr>
        <w:t xml:space="preserve"> Az államadósságnak fenntartható pályán kell maradnia</w:t>
      </w:r>
      <w:r w:rsidR="00D34218">
        <w:rPr>
          <w:b/>
          <w:bCs/>
          <w:i/>
          <w:iCs/>
        </w:rPr>
        <w:t>. 3.</w:t>
      </w:r>
      <w:r w:rsidR="00D34218" w:rsidRPr="00AA3D3F">
        <w:rPr>
          <w:b/>
          <w:bCs/>
          <w:i/>
          <w:iCs/>
        </w:rPr>
        <w:t xml:space="preserve"> Nem szabad visszakerülni a túlzottdeficit-eljárás alá</w:t>
      </w:r>
      <w:r w:rsidR="00D34218">
        <w:rPr>
          <w:b/>
          <w:bCs/>
          <w:i/>
          <w:iCs/>
        </w:rPr>
        <w:t>. 4.</w:t>
      </w:r>
      <w:r w:rsidR="00D34218" w:rsidRPr="00AA3D3F">
        <w:rPr>
          <w:b/>
          <w:bCs/>
          <w:i/>
          <w:iCs/>
        </w:rPr>
        <w:t xml:space="preserve"> Az elsődleges egyenlegnek pedig nullaközeli szinten kell maradnia.</w:t>
      </w:r>
      <w:r w:rsidR="00D34218" w:rsidRPr="00A43B6A">
        <w:t xml:space="preserve"> </w:t>
      </w:r>
      <w:r w:rsidR="00D34218" w:rsidRPr="00A358D2">
        <w:rPr>
          <w:b/>
          <w:bCs/>
          <w:i/>
          <w:iCs/>
        </w:rPr>
        <w:t>Mindezzel összhangban,</w:t>
      </w:r>
      <w:r w:rsidR="00D34218">
        <w:t xml:space="preserve"> </w:t>
      </w:r>
      <w:r>
        <w:rPr>
          <w:b/>
          <w:bCs/>
          <w:i/>
          <w:iCs/>
        </w:rPr>
        <w:t xml:space="preserve">októberben </w:t>
      </w:r>
      <w:r w:rsidR="00D34218">
        <w:rPr>
          <w:b/>
          <w:bCs/>
          <w:i/>
          <w:iCs/>
        </w:rPr>
        <w:t>m</w:t>
      </w:r>
      <w:r w:rsidR="00D34218" w:rsidRPr="00A43B6A">
        <w:rPr>
          <w:b/>
          <w:bCs/>
          <w:i/>
          <w:iCs/>
        </w:rPr>
        <w:t xml:space="preserve">agasabban teljesültek az adó- és járulékbevételek, </w:t>
      </w:r>
      <w:r w:rsidR="004C56AC">
        <w:rPr>
          <w:b/>
          <w:bCs/>
          <w:i/>
          <w:iCs/>
        </w:rPr>
        <w:t>továbbá</w:t>
      </w:r>
      <w:r w:rsidR="00D34218" w:rsidRPr="00A43B6A">
        <w:rPr>
          <w:b/>
          <w:bCs/>
          <w:i/>
          <w:iCs/>
        </w:rPr>
        <w:t xml:space="preserve"> a pénzforgalmi hiány is az időarányosnál kedvezőbb lett.</w:t>
      </w:r>
    </w:p>
    <w:p w14:paraId="69E43956" w14:textId="1B006772" w:rsidR="00AA7858" w:rsidRDefault="00AA7858" w:rsidP="00AA7858">
      <w:pPr>
        <w:jc w:val="both"/>
      </w:pPr>
      <w:r>
        <w:t>Október végéig az államháztartás központi alrendszere 3667,7 milliárd forintos hiánnyal zárt. Ez az egész éves várható pénzforgalmi hiány (4774,0 milliárd forint) 76,8 százaléka, ami azt jelenti, hogy az időarányosnál (83,3 százalék) kedvezőbb az éves hiány eddigi teljesülése.</w:t>
      </w:r>
    </w:p>
    <w:p w14:paraId="73787C0B" w14:textId="77777777" w:rsidR="00AA7858" w:rsidRDefault="00AA7858" w:rsidP="00AA7858">
      <w:pPr>
        <w:jc w:val="both"/>
      </w:pPr>
      <w:r>
        <w:t>A központi alrendszeren belül a központi költségvetés 3616,2 milliárd forintos hiányt, az elkülönített állami pénzalapok 84,0 milliárd forintos többletet, a társadalombiztosítás pénzügyi alapjai pedig 135,5 milliárd forintos hiányt mutattak.</w:t>
      </w:r>
    </w:p>
    <w:p w14:paraId="703BB019" w14:textId="77777777" w:rsidR="00AA7858" w:rsidRDefault="00AA7858" w:rsidP="00AA7858">
      <w:pPr>
        <w:jc w:val="both"/>
      </w:pPr>
      <w:r>
        <w:t>Az előző év azonos időszakához viszonyítva a központi alrendszer adó- és járulékbevételei 8,0 százalékkal magasabban alakultak. Ezen belül a fogyasztáshoz kapcsolódó adók esetében közel 9 százalékos növekedés történt.</w:t>
      </w:r>
    </w:p>
    <w:p w14:paraId="3CDFA3E5" w14:textId="77777777" w:rsidR="00AA7858" w:rsidRDefault="00AA7858" w:rsidP="00AA7858">
      <w:pPr>
        <w:jc w:val="both"/>
      </w:pPr>
      <w:r>
        <w:t>Kamatkiadásokra október végéig 3785,6 milliárd forint került kifizetésre, ami 587,1 milliárd forinttal magasabb az előző évi azonos időszaki teljesítésnél. Ezt egyes lejáratok eltérő kamatfizetési időpontja, valamint az államadósság eltérő szerkezete okozza.</w:t>
      </w:r>
    </w:p>
    <w:p w14:paraId="6A9F68EC" w14:textId="77777777" w:rsidR="00AA7858" w:rsidRDefault="00AA7858" w:rsidP="00AA7858">
      <w:pPr>
        <w:jc w:val="both"/>
      </w:pPr>
      <w:r>
        <w:t xml:space="preserve">Az állami közlekedési és közüzemi szolgáltatásokra fordított, összesen 2110,2 milliárd forint kifizetés 372,7 milliárd forinttal magasabb lett az előző év azonos időszakánál. A teljesítési </w:t>
      </w:r>
      <w:r>
        <w:lastRenderedPageBreak/>
        <w:t>adatok előző évi időszakhoz viszonyított magasabb összege például a gyorsforgalmi úthálózat rendelkezésre állási díjának szerződésből fakadó változásából, továbbá a Víziközmű-fejlesztési és Ellentételezési Alapból a víziközmű-szolgáltatók részére történt megnövekedett kifizetési igényekből adódik. Az előző év azonos időszakához viszonyított növekmény a lakossági energia rezsivédelmi szolgáltatás esetében a kifizetések eltérő ütemezéséből fakadt.</w:t>
      </w:r>
    </w:p>
    <w:p w14:paraId="008912AF" w14:textId="77777777" w:rsidR="00AA7858" w:rsidRDefault="00AA7858" w:rsidP="00AA7858">
      <w:pPr>
        <w:jc w:val="both"/>
      </w:pPr>
      <w:r>
        <w:t>Meghaladták a tavalyi összeget a nyugellátásokra és gyógyító-megelőző ellátásokra fordított kiadások is. Október végéig – a 13. havi nyugdíjjal és ellátással együtt – nyugellátásokra és nyugdíjszerű ellátásokra összesen 6072,0 milliárd forint, míg gyógyító-megelőző ellátásokra 2413,8 milliárd forint kifizetése történt meg.</w:t>
      </w:r>
    </w:p>
    <w:p w14:paraId="53F8873E" w14:textId="4BE53869" w:rsidR="00E87216" w:rsidRDefault="00AA7858" w:rsidP="007E765A">
      <w:pPr>
        <w:jc w:val="both"/>
      </w:pPr>
      <w:r>
        <w:t>Októberben (egy hónap alatt) a központi alrendszer 339,0 milliárd forint hiánnyal zárt, szemben az előző évi azonos havi 427,0 milliárd forintos hiánnyal.</w:t>
      </w:r>
    </w:p>
    <w:p w14:paraId="00693117" w14:textId="140326CB" w:rsidR="00E87216" w:rsidRPr="00437C79" w:rsidRDefault="00E87216" w:rsidP="00E87216">
      <w:pPr>
        <w:spacing w:before="960"/>
        <w:jc w:val="both"/>
        <w:rPr>
          <w:b/>
          <w:i/>
        </w:rPr>
      </w:pPr>
      <w:r>
        <w:rPr>
          <w:b/>
          <w:i/>
        </w:rPr>
        <w:t>Budapest, 202</w:t>
      </w:r>
      <w:r w:rsidR="00AA7858">
        <w:rPr>
          <w:b/>
          <w:i/>
        </w:rPr>
        <w:t>5</w:t>
      </w:r>
      <w:r>
        <w:rPr>
          <w:b/>
          <w:i/>
        </w:rPr>
        <w:t xml:space="preserve">. </w:t>
      </w:r>
      <w:r w:rsidR="00AA7858">
        <w:rPr>
          <w:b/>
          <w:i/>
        </w:rPr>
        <w:t>novembe</w:t>
      </w:r>
      <w:r w:rsidR="00272DA9">
        <w:rPr>
          <w:b/>
          <w:i/>
        </w:rPr>
        <w:t>r</w:t>
      </w:r>
      <w:r>
        <w:rPr>
          <w:b/>
          <w:i/>
        </w:rPr>
        <w:t xml:space="preserve"> </w:t>
      </w:r>
      <w:r w:rsidR="00AA7858">
        <w:rPr>
          <w:b/>
          <w:i/>
        </w:rPr>
        <w:t>10</w:t>
      </w:r>
      <w:r w:rsidRPr="00437C79">
        <w:rPr>
          <w:b/>
          <w:i/>
        </w:rPr>
        <w:t>.</w:t>
      </w:r>
    </w:p>
    <w:p w14:paraId="36BE1378" w14:textId="2A7B0264" w:rsidR="0090785C" w:rsidRPr="0007329E" w:rsidRDefault="00272DA9" w:rsidP="0007329E">
      <w:pPr>
        <w:jc w:val="right"/>
        <w:rPr>
          <w:b/>
          <w:i/>
        </w:rPr>
      </w:pPr>
      <w:r>
        <w:rPr>
          <w:b/>
          <w:i/>
        </w:rPr>
        <w:t>Nemzetgazdasági</w:t>
      </w:r>
      <w:r w:rsidR="00E87216" w:rsidRPr="00437C79">
        <w:rPr>
          <w:b/>
          <w:i/>
        </w:rPr>
        <w:t xml:space="preserve"> Minisztérium</w:t>
      </w:r>
    </w:p>
    <w:sectPr w:rsidR="0090785C" w:rsidRPr="0007329E" w:rsidSect="00272DA9">
      <w:headerReference w:type="first" r:id="rId9"/>
      <w:pgSz w:w="11906" w:h="16838"/>
      <w:pgMar w:top="1417" w:right="1417" w:bottom="1417" w:left="1417"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AA1FA" w14:textId="77777777" w:rsidR="00AA7858" w:rsidRDefault="00AA7858" w:rsidP="00484460">
      <w:pPr>
        <w:spacing w:before="0" w:after="0" w:line="240" w:lineRule="auto"/>
      </w:pPr>
      <w:r>
        <w:separator/>
      </w:r>
    </w:p>
  </w:endnote>
  <w:endnote w:type="continuationSeparator" w:id="0">
    <w:p w14:paraId="58FF5885" w14:textId="77777777" w:rsidR="00AA7858" w:rsidRDefault="00AA7858" w:rsidP="0048446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A87F6" w14:textId="77777777" w:rsidR="00AA7858" w:rsidRDefault="00AA7858" w:rsidP="00484460">
      <w:pPr>
        <w:spacing w:before="0" w:after="0" w:line="240" w:lineRule="auto"/>
      </w:pPr>
      <w:r>
        <w:separator/>
      </w:r>
    </w:p>
  </w:footnote>
  <w:footnote w:type="continuationSeparator" w:id="0">
    <w:p w14:paraId="22B8D31E" w14:textId="77777777" w:rsidR="00AA7858" w:rsidRDefault="00AA7858" w:rsidP="0048446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EAC40" w14:textId="77777777" w:rsidR="00E63B54" w:rsidRPr="00484460" w:rsidRDefault="00E63B54" w:rsidP="00E63B54">
    <w:pPr>
      <w:tabs>
        <w:tab w:val="center" w:pos="4536"/>
        <w:tab w:val="left" w:pos="6456"/>
        <w:tab w:val="right" w:pos="9072"/>
      </w:tabs>
      <w:spacing w:before="240" w:after="0"/>
      <w:jc w:val="center"/>
      <w:rPr>
        <w:rFonts w:ascii="Tahoma" w:eastAsia="Calibri" w:hAnsi="Tahoma" w:cs="Tahoma"/>
        <w:noProof/>
        <w:szCs w:val="24"/>
      </w:rPr>
    </w:pPr>
    <w:r w:rsidRPr="00484460">
      <w:rPr>
        <w:rFonts w:eastAsia="Calibri" w:cs="Times New Roman"/>
        <w:noProof/>
        <w:color w:val="1F497D"/>
        <w:szCs w:val="24"/>
        <w:lang w:eastAsia="hu-HU"/>
      </w:rPr>
      <w:drawing>
        <wp:inline distT="0" distB="0" distL="0" distR="0" wp14:anchorId="4064A1C5" wp14:editId="6F9ECADF">
          <wp:extent cx="2748527" cy="774000"/>
          <wp:effectExtent l="0" t="0" r="0" b="7620"/>
          <wp:docPr id="3" name="Kép 3" descr="C:\Users\TiborfiGy\Downloads\Címer keske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iborfiGy\Downloads\Címer kesken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527" cy="774000"/>
                  </a:xfrm>
                  <a:prstGeom prst="rect">
                    <a:avLst/>
                  </a:prstGeom>
                  <a:noFill/>
                  <a:ln>
                    <a:noFill/>
                  </a:ln>
                </pic:spPr>
              </pic:pic>
            </a:graphicData>
          </a:graphic>
        </wp:inline>
      </w:drawing>
    </w:r>
  </w:p>
  <w:p w14:paraId="7662F1E2" w14:textId="77777777" w:rsidR="00E63B54" w:rsidRPr="00E63B54" w:rsidRDefault="00272DA9" w:rsidP="00E63B54">
    <w:pPr>
      <w:tabs>
        <w:tab w:val="center" w:pos="4536"/>
        <w:tab w:val="right" w:pos="9072"/>
      </w:tabs>
      <w:spacing w:before="0" w:after="360" w:line="240" w:lineRule="auto"/>
      <w:jc w:val="center"/>
      <w:rPr>
        <w:rFonts w:ascii="Cambria" w:eastAsia="Calibri" w:hAnsi="Cambria" w:cs="Times New Roman"/>
        <w:sz w:val="22"/>
      </w:rPr>
    </w:pPr>
    <w:r>
      <w:rPr>
        <w:rFonts w:ascii="Cambria" w:eastAsia="Calibri" w:hAnsi="Cambria" w:cs="Times New Roman"/>
        <w:sz w:val="22"/>
      </w:rPr>
      <w:t>NEMZETGAZDASÁGI</w:t>
    </w:r>
    <w:r w:rsidR="00E63B54">
      <w:rPr>
        <w:rFonts w:ascii="Cambria" w:eastAsia="Calibri" w:hAnsi="Cambria" w:cs="Times New Roman"/>
        <w:sz w:val="22"/>
      </w:rPr>
      <w:t xml:space="preserve"> MINISZTÉRIUM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858"/>
    <w:rsid w:val="00024993"/>
    <w:rsid w:val="0007329E"/>
    <w:rsid w:val="001015FD"/>
    <w:rsid w:val="0014267A"/>
    <w:rsid w:val="002049EA"/>
    <w:rsid w:val="00206B55"/>
    <w:rsid w:val="00214E99"/>
    <w:rsid w:val="00272DA9"/>
    <w:rsid w:val="00286991"/>
    <w:rsid w:val="002E4340"/>
    <w:rsid w:val="00323856"/>
    <w:rsid w:val="00391864"/>
    <w:rsid w:val="00475001"/>
    <w:rsid w:val="00484460"/>
    <w:rsid w:val="004C56AC"/>
    <w:rsid w:val="004D52AA"/>
    <w:rsid w:val="004F5471"/>
    <w:rsid w:val="005275D7"/>
    <w:rsid w:val="005661A6"/>
    <w:rsid w:val="007310AE"/>
    <w:rsid w:val="0074073A"/>
    <w:rsid w:val="007769BE"/>
    <w:rsid w:val="007C2A3D"/>
    <w:rsid w:val="007E5DD7"/>
    <w:rsid w:val="007E765A"/>
    <w:rsid w:val="0090785C"/>
    <w:rsid w:val="009E0FC7"/>
    <w:rsid w:val="00AA7858"/>
    <w:rsid w:val="00B12A3C"/>
    <w:rsid w:val="00B20A38"/>
    <w:rsid w:val="00B237FF"/>
    <w:rsid w:val="00C016CF"/>
    <w:rsid w:val="00CB71D0"/>
    <w:rsid w:val="00CD59D4"/>
    <w:rsid w:val="00D34218"/>
    <w:rsid w:val="00D575D2"/>
    <w:rsid w:val="00DF1472"/>
    <w:rsid w:val="00E63B54"/>
    <w:rsid w:val="00E86AC4"/>
    <w:rsid w:val="00E87216"/>
    <w:rsid w:val="00F45242"/>
    <w:rsid w:val="00FC42E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83981D"/>
  <w15:chartTrackingRefBased/>
  <w15:docId w15:val="{1D3A7DA3-286E-4D53-AB5C-A54251BE3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E86AC4"/>
    <w:pPr>
      <w:spacing w:before="120" w:after="120" w:line="360" w:lineRule="auto"/>
    </w:pPr>
    <w:rPr>
      <w:rFonts w:ascii="Times New Roman" w:hAnsi="Times New Roman"/>
      <w:sz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uiPriority w:val="99"/>
    <w:semiHidden/>
    <w:unhideWhenUsed/>
    <w:rsid w:val="00DF1472"/>
    <w:pPr>
      <w:spacing w:before="0" w:after="0" w:line="240" w:lineRule="auto"/>
      <w:jc w:val="both"/>
    </w:pPr>
    <w:rPr>
      <w:sz w:val="20"/>
      <w:szCs w:val="20"/>
    </w:rPr>
  </w:style>
  <w:style w:type="character" w:customStyle="1" w:styleId="LbjegyzetszvegChar">
    <w:name w:val="Lábjegyzetszöveg Char"/>
    <w:basedOn w:val="Bekezdsalapbettpusa"/>
    <w:link w:val="Lbjegyzetszveg"/>
    <w:uiPriority w:val="99"/>
    <w:semiHidden/>
    <w:rsid w:val="00DF1472"/>
    <w:rPr>
      <w:rFonts w:ascii="Times New Roman" w:hAnsi="Times New Roman"/>
      <w:sz w:val="20"/>
      <w:szCs w:val="20"/>
    </w:rPr>
  </w:style>
  <w:style w:type="table" w:styleId="Rcsostblzat">
    <w:name w:val="Table Grid"/>
    <w:basedOn w:val="Normltblzat"/>
    <w:uiPriority w:val="59"/>
    <w:rsid w:val="007C2A3D"/>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borkszveg">
    <w:name w:val="Balloon Text"/>
    <w:basedOn w:val="Norml"/>
    <w:link w:val="BuborkszvegChar"/>
    <w:uiPriority w:val="99"/>
    <w:semiHidden/>
    <w:unhideWhenUsed/>
    <w:rsid w:val="00391864"/>
    <w:pPr>
      <w:spacing w:before="0"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391864"/>
    <w:rPr>
      <w:rFonts w:ascii="Segoe UI" w:hAnsi="Segoe UI" w:cs="Segoe UI"/>
      <w:sz w:val="18"/>
      <w:szCs w:val="18"/>
    </w:rPr>
  </w:style>
  <w:style w:type="paragraph" w:styleId="lfej">
    <w:name w:val="header"/>
    <w:basedOn w:val="Norml"/>
    <w:link w:val="lfejChar"/>
    <w:uiPriority w:val="99"/>
    <w:unhideWhenUsed/>
    <w:rsid w:val="00484460"/>
    <w:pPr>
      <w:tabs>
        <w:tab w:val="center" w:pos="4536"/>
        <w:tab w:val="right" w:pos="9072"/>
      </w:tabs>
      <w:spacing w:before="0" w:after="0" w:line="240" w:lineRule="auto"/>
    </w:pPr>
  </w:style>
  <w:style w:type="character" w:customStyle="1" w:styleId="lfejChar">
    <w:name w:val="Élőfej Char"/>
    <w:basedOn w:val="Bekezdsalapbettpusa"/>
    <w:link w:val="lfej"/>
    <w:uiPriority w:val="99"/>
    <w:rsid w:val="00484460"/>
    <w:rPr>
      <w:rFonts w:ascii="Times New Roman" w:hAnsi="Times New Roman"/>
      <w:sz w:val="24"/>
    </w:rPr>
  </w:style>
  <w:style w:type="paragraph" w:styleId="llb">
    <w:name w:val="footer"/>
    <w:basedOn w:val="Norml"/>
    <w:link w:val="llbChar"/>
    <w:uiPriority w:val="99"/>
    <w:unhideWhenUsed/>
    <w:rsid w:val="00484460"/>
    <w:pPr>
      <w:tabs>
        <w:tab w:val="center" w:pos="4536"/>
        <w:tab w:val="right" w:pos="9072"/>
      </w:tabs>
      <w:spacing w:before="0" w:after="0" w:line="240" w:lineRule="auto"/>
    </w:pPr>
  </w:style>
  <w:style w:type="character" w:customStyle="1" w:styleId="llbChar">
    <w:name w:val="Élőláb Char"/>
    <w:basedOn w:val="Bekezdsalapbettpusa"/>
    <w:link w:val="llb"/>
    <w:uiPriority w:val="99"/>
    <w:rsid w:val="0048446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gvvrdesktops01\gvvrdesktops01\BegalG.v2\Desktop\NGM_k&#246;zlem&#233;ny_miniszt&#233;rium_sablon.dotx"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44C571713637BD408211DDB5594E9AB2" ma:contentTypeVersion="1" ma:contentTypeDescription="Új dokumentum létrehozása." ma:contentTypeScope="" ma:versionID="8b48a83938690fac0479ab7ef2294991">
  <xsd:schema xmlns:xsd="http://www.w3.org/2001/XMLSchema" xmlns:xs="http://www.w3.org/2001/XMLSchema" xmlns:p="http://schemas.microsoft.com/office/2006/metadata/properties" xmlns:ns2="206715ba-77cb-4d14-a3eb-ea3ee13cdc76" targetNamespace="http://schemas.microsoft.com/office/2006/metadata/properties" ma:root="true" ma:fieldsID="48db58e537e55b73355020cb5069fee2" ns2:_="">
    <xsd:import namespace="206715ba-77cb-4d14-a3eb-ea3ee13cdc76"/>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6715ba-77cb-4d14-a3eb-ea3ee13cdc76" elementFormDefault="qualified">
    <xsd:import namespace="http://schemas.microsoft.com/office/2006/documentManagement/types"/>
    <xsd:import namespace="http://schemas.microsoft.com/office/infopath/2007/PartnerControls"/>
    <xsd:element name="SharedWithUsers" ma:index="8" nillable="true" ma:displayName="Résztvevők"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1E5974-E997-408B-8013-0C0FD59DE3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6715ba-77cb-4d14-a3eb-ea3ee13cdc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FB44A5-4F13-47F1-8D04-1F23F657FC17}">
  <ds:schemaRefs>
    <ds:schemaRef ds:uri="http://schemas.microsoft.com/sharepoint/v3/contenttype/forms"/>
  </ds:schemaRefs>
</ds:datastoreItem>
</file>

<file path=customXml/itemProps3.xml><?xml version="1.0" encoding="utf-8"?>
<ds:datastoreItem xmlns:ds="http://schemas.openxmlformats.org/officeDocument/2006/customXml" ds:itemID="{54E4CFA4-692E-49C4-82D2-6CA930F1C85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NGM_közlemény_minisztérium_sablon</Template>
  <TotalTime>0</TotalTime>
  <Pages>2</Pages>
  <Words>415</Words>
  <Characters>2865</Characters>
  <Application>Microsoft Office Word</Application>
  <DocSecurity>0</DocSecurity>
  <Lines>23</Lines>
  <Paragraphs>6</Paragraphs>
  <ScaleCrop>false</ScaleCrop>
  <HeadingPairs>
    <vt:vector size="2" baseType="variant">
      <vt:variant>
        <vt:lpstr>Cím</vt:lpstr>
      </vt:variant>
      <vt:variant>
        <vt:i4>1</vt:i4>
      </vt:variant>
    </vt:vector>
  </HeadingPairs>
  <TitlesOfParts>
    <vt:vector size="1" baseType="lpstr">
      <vt:lpstr/>
    </vt:vector>
  </TitlesOfParts>
  <Company>NISZ</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Begál Gábor</dc:creator>
  <cp:keywords/>
  <dc:description/>
  <cp:lastModifiedBy>Begál Gábor</cp:lastModifiedBy>
  <cp:revision>2</cp:revision>
  <cp:lastPrinted>2025-11-07T10:29:00Z</cp:lastPrinted>
  <dcterms:created xsi:type="dcterms:W3CDTF">2025-11-07T10:48:00Z</dcterms:created>
  <dcterms:modified xsi:type="dcterms:W3CDTF">2025-11-07T10:48:00Z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0x01010044C571713637BD408211DDB5594E9AB2</vt:lpwstr>
  </property>
</Properties>
</file>