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77FA" w14:textId="77777777" w:rsidR="00A94EFE" w:rsidRPr="00377D59" w:rsidRDefault="3C87A00B" w:rsidP="3C87A00B">
      <w:pPr>
        <w:tabs>
          <w:tab w:val="center" w:pos="4536"/>
        </w:tabs>
        <w:bidi/>
        <w:spacing w:after="120" w:line="240" w:lineRule="auto"/>
        <w:ind w:left="-142" w:right="-1" w:firstLine="142"/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hu-HU"/>
        </w:rPr>
        <w:t>Nemzetgazdasági Minisztérium</w:t>
      </w:r>
    </w:p>
    <w:p w14:paraId="36F33C9C" w14:textId="77777777" w:rsidR="001E689B" w:rsidRPr="00377D59" w:rsidRDefault="001E689B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5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6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7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8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9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26"/>
          <w:szCs w:val="26"/>
          <w:lang w:eastAsia="hu-HU"/>
        </w:rPr>
      </w:pPr>
    </w:p>
    <w:p w14:paraId="7B7689EB" w14:textId="74BA5630" w:rsidR="00B155FE" w:rsidRDefault="00B155FE" w:rsidP="000A4839">
      <w:pPr>
        <w:keepNext/>
        <w:widowControl w:val="0"/>
        <w:tabs>
          <w:tab w:val="left" w:pos="1995"/>
        </w:tabs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4EE6826E" w14:textId="77777777" w:rsidR="000A4839" w:rsidRPr="00377D59" w:rsidRDefault="000A4839" w:rsidP="000A4839">
      <w:pPr>
        <w:keepNext/>
        <w:widowControl w:val="0"/>
        <w:tabs>
          <w:tab w:val="left" w:pos="1995"/>
        </w:tabs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C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D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E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F" w14:textId="77777777" w:rsidR="00B155FE" w:rsidRPr="00377D59" w:rsidRDefault="00B155FE" w:rsidP="3C87A00B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hu-HU"/>
        </w:rPr>
      </w:pPr>
      <w:r w:rsidRPr="00377D59">
        <w:rPr>
          <w:rFonts w:ascii="Times New Roman" w:eastAsia="Times New Roman" w:hAnsi="Times New Roman" w:cs="Times New Roman"/>
          <w:b/>
          <w:bCs/>
          <w:caps/>
          <w:spacing w:val="60"/>
          <w:sz w:val="32"/>
          <w:szCs w:val="32"/>
          <w:lang w:eastAsia="hu-HU"/>
        </w:rPr>
        <w:t>Tájékoztató</w:t>
      </w:r>
    </w:p>
    <w:p w14:paraId="5AE02B14" w14:textId="5B25972F" w:rsidR="00B94CCA" w:rsidRPr="00377D59" w:rsidRDefault="3C87A00B" w:rsidP="3C87A00B">
      <w:pPr>
        <w:keepNext/>
        <w:tabs>
          <w:tab w:val="left" w:pos="2694"/>
        </w:tabs>
        <w:spacing w:after="12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az államháztartás központi alrendszerének</w:t>
      </w:r>
      <w:r w:rsidR="6D17EF1F">
        <w:br/>
      </w:r>
      <w:r w:rsidRPr="3C87A0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2025. október végi helyzetéről</w:t>
      </w:r>
    </w:p>
    <w:p w14:paraId="7B7689F2" w14:textId="2D4563EC" w:rsidR="00B155FE" w:rsidRPr="00377D59" w:rsidRDefault="00B155FE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2F8C9F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D327E5D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5267E04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BD3D31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6E13D32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9F56A13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B7689F4" w14:textId="77777777" w:rsidR="00B155FE" w:rsidRPr="00377D59" w:rsidRDefault="00B155FE" w:rsidP="00B155FE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6" w14:textId="77777777" w:rsidR="00B155FE" w:rsidRPr="00377D59" w:rsidRDefault="00B155FE" w:rsidP="00B155FE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7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8" w14:textId="7C3BEFF0" w:rsidR="00B155FE" w:rsidRPr="00377D59" w:rsidRDefault="00B155FE" w:rsidP="00EA1F58">
      <w:pPr>
        <w:tabs>
          <w:tab w:val="left" w:pos="568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9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A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B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1CF999E6" w14:textId="6DA4C9B3" w:rsidR="00E97147" w:rsidRPr="00377D59" w:rsidRDefault="00B155FE" w:rsidP="3C87A00B">
      <w:pPr>
        <w:tabs>
          <w:tab w:val="left" w:pos="269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  <w:sectPr w:rsidR="00E97147" w:rsidRPr="00377D59" w:rsidSect="007449BF">
          <w:headerReference w:type="default" r:id="rId11"/>
          <w:footerReference w:type="default" r:id="rId12"/>
          <w:footerReference w:type="first" r:id="rId13"/>
          <w:footnotePr>
            <w:numRestart w:val="eachPage"/>
          </w:footnotePr>
          <w:pgSz w:w="11907" w:h="16840" w:code="9"/>
          <w:pgMar w:top="1134" w:right="1134" w:bottom="1418" w:left="1418" w:header="709" w:footer="709" w:gutter="0"/>
          <w:pgNumType w:fmt="numberInDash" w:start="0"/>
          <w:cols w:space="708"/>
          <w:docGrid w:linePitch="354"/>
        </w:sectPr>
      </w:pPr>
      <w:r w:rsidRPr="00377D59">
        <w:rPr>
          <w:rFonts w:ascii="Times New Roman" w:eastAsia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68C6C" wp14:editId="7B768C6D">
                <wp:simplePos x="0" y="0"/>
                <wp:positionH relativeFrom="column">
                  <wp:posOffset>2336732</wp:posOffset>
                </wp:positionH>
                <wp:positionV relativeFrom="paragraph">
                  <wp:posOffset>980217</wp:posOffset>
                </wp:positionV>
                <wp:extent cx="971550" cy="393065"/>
                <wp:effectExtent l="0" t="0" r="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87395B">
              <v:rect id="Rectangle 2" style="position:absolute;margin-left:184pt;margin-top:77.2pt;width:76.5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7986F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zDew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"/>
            </w:pict>
          </mc:Fallback>
        </mc:AlternateContent>
      </w:r>
      <w:r w:rsidRPr="00377D59">
        <w:rPr>
          <w:rFonts w:ascii="Times New Roman" w:eastAsia="Times New Roman" w:hAnsi="Times New Roman" w:cs="Times New Roman"/>
          <w:b/>
          <w:bCs/>
          <w:lang w:eastAsia="hu-HU"/>
        </w:rPr>
        <w:t>202</w:t>
      </w:r>
      <w:r w:rsidR="002107FF">
        <w:rPr>
          <w:rFonts w:ascii="Times New Roman" w:eastAsia="Times New Roman" w:hAnsi="Times New Roman" w:cs="Times New Roman"/>
          <w:b/>
          <w:bCs/>
          <w:lang w:eastAsia="hu-HU"/>
        </w:rPr>
        <w:t>5</w:t>
      </w:r>
      <w:r w:rsidRPr="00377D59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="00182EA1">
        <w:rPr>
          <w:rFonts w:ascii="Times New Roman" w:eastAsia="Times New Roman" w:hAnsi="Times New Roman" w:cs="Times New Roman"/>
          <w:b/>
          <w:bCs/>
          <w:lang w:eastAsia="hu-HU"/>
        </w:rPr>
        <w:t>november</w:t>
      </w:r>
    </w:p>
    <w:p w14:paraId="7B7689FF" w14:textId="77777777" w:rsidR="00B155FE" w:rsidRPr="00377D59" w:rsidRDefault="3C87A00B" w:rsidP="3C87A00B">
      <w:pPr>
        <w:keepNext/>
        <w:spacing w:before="240" w:after="120" w:line="360" w:lineRule="auto"/>
        <w:ind w:left="425" w:hanging="425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hu-HU"/>
        </w:rPr>
        <w:lastRenderedPageBreak/>
        <w:t>Összefoglalás</w:t>
      </w:r>
    </w:p>
    <w:p w14:paraId="1C11D545" w14:textId="6A03AFF7" w:rsidR="005B1F86" w:rsidRPr="00A9509B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</w:pPr>
      <w:r w:rsidRPr="005B1F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Magyarország pénzügyei rendezettek, a költségvetés stabil.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 xml:space="preserve"> </w:t>
      </w:r>
      <w:r w:rsidRPr="005B1F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Így a Kormány képes minden szükséges forrást előteremteni az olyan családokat, nyugdíjasokat, fiatalokat és vállalkozásokat támogató programokhoz, mint például: a fix 3%-os Otthon Start Program, a fix 3%-os kkv hitel, a családi adókedvezmény megduplázása, a két- és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háromgyermekes anyák szja-mentessége, a nyugdíjasok 30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 xml:space="preserve">ezer forintos élelmiszerutalványa vagy a Demján Sándor Program. A Kormány mindezt a fiskális fegyelem fenntartása mellett valósítja meg, </w:t>
      </w:r>
      <w:r w:rsidR="00DE5B2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a</w:t>
      </w:r>
      <w:r w:rsidRPr="005B1F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z államadósságnak fenntartható pályán kell maradnia</w:t>
      </w:r>
      <w:r w:rsidR="00DE5B2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 xml:space="preserve"> és</w:t>
      </w:r>
      <w:r w:rsidRPr="005B1F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 xml:space="preserve"> </w:t>
      </w:r>
      <w:r w:rsidR="00DE5B2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n</w:t>
      </w:r>
      <w:r w:rsidRPr="005B1F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 xml:space="preserve">em szabad visszakerülni a túlzottdeficit-eljárás alá. </w:t>
      </w:r>
      <w:r w:rsidRPr="00A9509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Mindezzel összhangban, októberben magasabban teljesültek az adó- és járulékbevételek, továbbá a pénzforgalmi hiány is az időarányosnál kedvezőbb lett.</w:t>
      </w:r>
    </w:p>
    <w:p w14:paraId="732F7C9F" w14:textId="07AAACEE" w:rsidR="005B1F86" w:rsidRPr="00A9509B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Október végéig az államháztartás központi alrendszere 3667,7 milliárd forintos hiánnyal zárt. Ez az egész éves várható pénzforgalmi hiány (</w:t>
      </w:r>
      <w:r w:rsidR="00D93D38"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5055</w:t>
      </w:r>
      <w:r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,0 milliárd forint) </w:t>
      </w:r>
      <w:r w:rsidR="00D93D38"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72,6</w:t>
      </w:r>
      <w:r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 százaléka, ami azt jelenti, hogy az időarányosnál (83,3</w:t>
      </w:r>
      <w:r w:rsidR="00B94054"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százalék) kedvezőbb az éves hiány eddigi teljesülése.</w:t>
      </w:r>
    </w:p>
    <w:p w14:paraId="7FCCE7AE" w14:textId="5E94A468" w:rsidR="005B1F86" w:rsidRPr="00A9509B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 központi alrendszeren belül a központi költségvetés 3616,2 milliárd forintos hiányt, az elkülönített állami pénzalapok 84,0 milliárd forintos többletet, a társadalombiztosítás pénzügyi alapjai pedig 135,5 milliárd forintos hiányt mutattak.</w:t>
      </w:r>
    </w:p>
    <w:p w14:paraId="72E0EB3B" w14:textId="2768D77E" w:rsidR="005B1F86" w:rsidRPr="005B1F86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A950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előző év azonos időszakához viszonyítva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 a központi alrendszer adó- és járulékbevételei 8,0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százalékkal magasabban alakultak. Ezen belül a fogyasztáshoz kapcsolódó adók esetében közel 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százalékos növekedés történt.</w:t>
      </w:r>
    </w:p>
    <w:p w14:paraId="39AD1B5D" w14:textId="76DEF7EF" w:rsidR="005B1F86" w:rsidRPr="005B1F86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Kamatkiadásokra október végéig 3785,6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 került kifizetésre, ami 587,1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forinttal magasabb az előző évi azonos időszaki teljesítésnél. Ezt egyes lejáratok eltérő kamatfizetési időpontja, valamint az államadósság eltérő szerkezete okozza.</w:t>
      </w:r>
    </w:p>
    <w:p w14:paraId="40FF8C09" w14:textId="20B603B0" w:rsidR="005B1F86" w:rsidRPr="005B1F86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állami közlekedési és közüzemi szolgáltatásokra fordított, összesen 2110,2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 kifizetés 372,7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forinttal magasabb lett az előző év azonos időszakánál. 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teljesítési adatok előző évi időszakhoz viszonyított magasabb összege például 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gyorsforgalmi úthálózat rendelkezésre állási díjának szerződésből fakadó változásából, továbbá a Víziközmű-fejlesztési és Ellentételezési Alapból a víziközmű-szolgáltatók részére történt megnövekedett kifizetési igényekből adódik. Az előző év azonos időszakához viszonyított növekmény a lakossági energia rezsivédelmi szolgáltatás esetében a kifizetések eltérő ütemezéséből fakadt.</w:t>
      </w:r>
    </w:p>
    <w:p w14:paraId="26AC1987" w14:textId="3A21C629" w:rsidR="005B1F86" w:rsidRPr="005B1F86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Meghaladták a tavalyi összeget a nyugellátásokra és gyógyító-megelőző ellátásokra fordított kiadások is. Október végéig – a 13. havi nyugdíjjal és ellátással együtt – nyugellátásokra és nyugdíjszerű ellátásokra összesen 6072,0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forint, míg gyógyító-megelőző ellátásokra 2413,8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 kifizetése történt meg.</w:t>
      </w:r>
    </w:p>
    <w:p w14:paraId="7B768A0B" w14:textId="65056E3D" w:rsidR="005171E0" w:rsidRDefault="005B1F86" w:rsidP="005B1F86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Októberben (egy hónap alatt) a központi alrendszer 339,0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 hiánnyal zárt, szemben az előző évi azonos havi 427,0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5B1F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forintos hiánnyal.</w:t>
      </w:r>
      <w:r w:rsidR="00920F4D">
        <w:rPr>
          <w:rFonts w:ascii="Times New Roman" w:eastAsia="Times New Roman" w:hAnsi="Times New Roman" w:cs="Times New Roman"/>
          <w:sz w:val="26"/>
          <w:szCs w:val="26"/>
          <w:lang w:eastAsia="hu-HU"/>
        </w:rPr>
        <w:br w:type="column"/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Az államháztartás központi alrendszerének 202</w:t>
      </w:r>
      <w:r w:rsidR="005171E0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A673CC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="00567344">
        <w:rPr>
          <w:rFonts w:ascii="Times New Roman" w:eastAsia="Times New Roman" w:hAnsi="Times New Roman" w:cs="Times New Roman"/>
          <w:sz w:val="26"/>
          <w:szCs w:val="26"/>
          <w:lang w:eastAsia="hu-HU"/>
        </w:rPr>
        <w:t>október</w:t>
      </w:r>
      <w:r w:rsidR="00A673CC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t>végi főbb pé</w:t>
      </w:r>
      <w:r w:rsidR="006D5492">
        <w:rPr>
          <w:rFonts w:ascii="Times New Roman" w:eastAsia="Times New Roman" w:hAnsi="Times New Roman" w:cs="Times New Roman"/>
          <w:sz w:val="26"/>
          <w:szCs w:val="26"/>
          <w:lang w:eastAsia="hu-HU"/>
        </w:rPr>
        <w:t>nzforgalmi adatai a következők:</w:t>
      </w:r>
    </w:p>
    <w:tbl>
      <w:tblPr>
        <w:tblW w:w="100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067"/>
        <w:gridCol w:w="1276"/>
        <w:gridCol w:w="1075"/>
        <w:gridCol w:w="1103"/>
        <w:gridCol w:w="1224"/>
        <w:gridCol w:w="1159"/>
        <w:gridCol w:w="1113"/>
      </w:tblGrid>
      <w:tr w:rsidR="00935118" w:rsidRPr="003D514A" w14:paraId="7C2CBF88" w14:textId="77777777" w:rsidTr="239528D4">
        <w:trPr>
          <w:trHeight w:val="144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6847C39" w14:textId="77777777" w:rsidR="00935118" w:rsidRPr="00602E3C" w:rsidRDefault="239528D4" w:rsidP="239528D4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A30138" w14:textId="11322A85" w:rsidR="00B6763B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2024. évi 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tény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103DF983" w14:textId="77777777" w:rsidR="009F665B" w:rsidRPr="00602E3C" w:rsidRDefault="009F665B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5C342" w14:textId="76728DC5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DF4E03" w14:textId="0068D72B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2024. I-X. </w:t>
            </w:r>
            <w:r w:rsidR="005B1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hó tény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547D8DD1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A44C1" w14:textId="4CBA2534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E2A84F" w14:textId="3C939362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éves tény=100%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03379603" w14:textId="77777777" w:rsidR="00CD1AD4" w:rsidRDefault="00CD1AD4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F2388" w14:textId="77777777" w:rsidR="009F665B" w:rsidRPr="00602E3C" w:rsidRDefault="009F665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042FF" w14:textId="50D239CD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(2/1)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1E5557" w14:textId="77777777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2025. évi előirányzat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6FB67AB7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7F662" w14:textId="5B799A38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D4190CD" w14:textId="51134DCF" w:rsidR="00B6763B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2025. I-X. hó tény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15A457DF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73C3C" w14:textId="075CFEB7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CBD1FD" w14:textId="77777777" w:rsidR="00B6763B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előirányzat=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4AEEBB44" w14:textId="77777777" w:rsidR="00B6763B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C63D7" w14:textId="77777777" w:rsidR="00602E3C" w:rsidRPr="00602E3C" w:rsidRDefault="00602E3C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6B04A" w14:textId="0682B2A8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(4/3)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392F559" w14:textId="77777777" w:rsidR="00B6763B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előző év=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2CC3F023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4C741" w14:textId="77DB2268" w:rsidR="00935118" w:rsidRPr="00602E3C" w:rsidRDefault="00935118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3C87A00B" w:rsidRPr="3C87A00B">
              <w:rPr>
                <w:rFonts w:ascii="Times New Roman" w:hAnsi="Times New Roman" w:cs="Times New Roman"/>
                <w:sz w:val="20"/>
                <w:szCs w:val="20"/>
              </w:rPr>
              <w:t>(4/2)</w:t>
            </w:r>
          </w:p>
        </w:tc>
      </w:tr>
      <w:tr w:rsidR="00567344" w:rsidRPr="003D514A" w14:paraId="272C1797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A14" w14:textId="77777777" w:rsidR="00567344" w:rsidRPr="00602E3C" w:rsidRDefault="00567344" w:rsidP="0056734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Központi költségvetés egyenlege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3CE6" w14:textId="6734321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color w:val="000000"/>
              </w:rPr>
              <w:t>-3 856,9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4960" w14:textId="1F6B4206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</w:rPr>
              <w:t>-3 048,5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D199" w14:textId="0C98076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79,0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BFBC" w14:textId="66362B1D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-4 211,6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7161" w14:textId="552EF1F4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-3 616,2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672A" w14:textId="2D379D18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85,9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7053" w14:textId="12C07874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118,6</w:t>
            </w:r>
          </w:p>
        </w:tc>
      </w:tr>
      <w:tr w:rsidR="00567344" w:rsidRPr="003D514A" w14:paraId="43DB1C6B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C3DC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BE1E" w14:textId="46C68DFC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26 708,8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4DA8" w14:textId="588B7F80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21 357,4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E7D2" w14:textId="7CEE1AFA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2934" w14:textId="4025DD7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26 622,0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5A8F" w14:textId="1906A1CD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22 437,1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1E05" w14:textId="15F8E34E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84,3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5DA4" w14:textId="7153315B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105,1</w:t>
            </w:r>
          </w:p>
        </w:tc>
      </w:tr>
      <w:tr w:rsidR="00567344" w:rsidRPr="003D514A" w14:paraId="576245F4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56B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BDD4" w14:textId="5D746080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30 565,7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2D54" w14:textId="24A1A6F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24 405,9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DC03" w14:textId="48F159B4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79,8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3988" w14:textId="401E2E0F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30 833,5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D31A" w14:textId="1E3FE39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26 053,3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44DE" w14:textId="69E2AB79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84,5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C9DE" w14:textId="20C30051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106,8</w:t>
            </w:r>
          </w:p>
        </w:tc>
      </w:tr>
      <w:tr w:rsidR="00567344" w:rsidRPr="003D514A" w14:paraId="5D1AF47D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88AA" w14:textId="77777777" w:rsidR="00567344" w:rsidRPr="00602E3C" w:rsidRDefault="00567344" w:rsidP="0056734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Elkülönített állami pénzalapok egyenlege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D897" w14:textId="53FA233E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color w:val="000000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1C5B" w14:textId="7604B61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</w:rPr>
              <w:t>197,0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A081" w14:textId="32C715DB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142,7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5FB6" w14:textId="466710E8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88,6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A3B4" w14:textId="5B7082B7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2161" w14:textId="4F543A18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94,8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8325" w14:textId="208DA18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42,6</w:t>
            </w:r>
          </w:p>
        </w:tc>
      </w:tr>
      <w:tr w:rsidR="00567344" w:rsidRPr="003D514A" w14:paraId="28F7F28C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3547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C4C7" w14:textId="0BB72686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D3FF" w14:textId="1ACDA871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731,8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9EFA" w14:textId="1703E598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85,5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9F49" w14:textId="0749A8B8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845,7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6B6B" w14:textId="6785143B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724,3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AEAF" w14:textId="2195A107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15A4" w14:textId="74037F8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99,0</w:t>
            </w:r>
          </w:p>
        </w:tc>
      </w:tr>
      <w:tr w:rsidR="00567344" w:rsidRPr="00190176" w14:paraId="1E40C612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A0A7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FE8F" w14:textId="3A73313C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718,3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9044" w14:textId="2E5AB5DD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534,8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2BC9" w14:textId="325475FE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74,5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A8DE" w14:textId="32E6614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757,2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273D" w14:textId="438DB574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640,3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19CB" w14:textId="2424CE4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30EE" w14:textId="0C4E4617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119,7</w:t>
            </w:r>
          </w:p>
        </w:tc>
      </w:tr>
      <w:tr w:rsidR="00567344" w:rsidRPr="003D514A" w14:paraId="76328518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6F71" w14:textId="77777777" w:rsidR="00567344" w:rsidRPr="00602E3C" w:rsidRDefault="00567344" w:rsidP="0056734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Társadalombiztosítás pénzügyi alapjainak egyenlege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FFCC" w14:textId="04FB496A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color w:val="000000"/>
              </w:rPr>
              <w:t>-229,5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DC00" w14:textId="17151088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</w:rPr>
              <w:t>-199,0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A9E4" w14:textId="7FAC13EB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86,7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6B04" w14:textId="1A572F1E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5478" w14:textId="1A0FEF8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-135,5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352A" w14:textId="492076DD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8797" w14:textId="377A6EF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68,1</w:t>
            </w:r>
          </w:p>
        </w:tc>
      </w:tr>
      <w:tr w:rsidR="00567344" w:rsidRPr="003D514A" w14:paraId="019242A3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060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A0A8" w14:textId="57FC8B2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10 526,1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2633" w14:textId="6AD456FF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8 780,</w:t>
            </w:r>
            <w:r>
              <w:rPr>
                <w:rFonts w:ascii="Garamond" w:hAnsi="Garamond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2BD9" w14:textId="6158180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83,4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FBF3" w14:textId="4949A37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11 261,1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6421" w14:textId="7F7DF81E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9 440,4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3170" w14:textId="292EEA40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83,8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5B4C" w14:textId="50B2A349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107,5</w:t>
            </w:r>
          </w:p>
        </w:tc>
      </w:tr>
      <w:tr w:rsidR="00567344" w:rsidRPr="003D514A" w14:paraId="57754C66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1A64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4A7D" w14:textId="54B32AD8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10 755,5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92BF" w14:textId="50C594DE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8 979,0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949B" w14:textId="07C831F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83,5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FBBD" w14:textId="3DBBFF0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11 261,1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5E32" w14:textId="69657A96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9 575,9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8A84" w14:textId="67A456DC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C871" w14:textId="26E16BED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106,6</w:t>
            </w:r>
          </w:p>
        </w:tc>
      </w:tr>
      <w:tr w:rsidR="00567344" w:rsidRPr="003D514A" w14:paraId="0BB4AC6A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B7B" w14:textId="77777777" w:rsidR="00567344" w:rsidRPr="00602E3C" w:rsidRDefault="00567344" w:rsidP="0056734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Egyenleg összesen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1324" w14:textId="6DFA7DFC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color w:val="000000"/>
              </w:rPr>
              <w:t>-3 948,3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FD4E" w14:textId="0B9C4BE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</w:rPr>
              <w:t>-3 050,5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8024" w14:textId="6071ECD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77,3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BA0A5" w14:textId="0C1946EB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-4 123,0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C34A" w14:textId="7CE556D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2026">
              <w:rPr>
                <w:rFonts w:ascii="Garamond" w:hAnsi="Garamond"/>
                <w:b/>
                <w:bCs/>
                <w:szCs w:val="20"/>
              </w:rPr>
              <w:t>-3 667,7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D6B4" w14:textId="31CAD4F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89,0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BC04" w14:textId="481F65C7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120,2</w:t>
            </w:r>
          </w:p>
        </w:tc>
      </w:tr>
      <w:tr w:rsidR="00567344" w:rsidRPr="003D514A" w14:paraId="54A89CE6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282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E151" w14:textId="79010B2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38 091,2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9CF8" w14:textId="18F99995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30 869,</w:t>
            </w:r>
            <w:r>
              <w:rPr>
                <w:rFonts w:ascii="Garamond" w:hAnsi="Garamond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A6F0" w14:textId="3373D0DE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4504" w14:textId="6A489DC7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38 728,8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7FCC" w14:textId="0465043B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32 601,8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8AAD" w14:textId="266A11D6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84,2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F952" w14:textId="4B78A5D2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105,6</w:t>
            </w:r>
          </w:p>
        </w:tc>
      </w:tr>
      <w:tr w:rsidR="00567344" w:rsidRPr="0096527E" w14:paraId="7BAEDA41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2C9" w14:textId="77777777" w:rsidR="00567344" w:rsidRPr="00602E3C" w:rsidRDefault="00567344" w:rsidP="0056734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D40D" w14:textId="7ADCB1EF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42 039,5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DA4D" w14:textId="31A6AE90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</w:rPr>
              <w:t>33 919,</w:t>
            </w:r>
            <w:r>
              <w:rPr>
                <w:rFonts w:ascii="Garamond" w:hAnsi="Garamond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A52D" w14:textId="6FF5358F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color w:val="000000"/>
              </w:rPr>
              <w:t>80,7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63B9" w14:textId="0E36F56B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42 851,8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88C5" w14:textId="3F20B503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36 269,5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E23B" w14:textId="2B739FED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84,6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C43A" w14:textId="411DD281" w:rsidR="00567344" w:rsidRPr="007007A3" w:rsidRDefault="00567344" w:rsidP="0056734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2026">
              <w:rPr>
                <w:rFonts w:ascii="Garamond" w:hAnsi="Garamond"/>
                <w:szCs w:val="20"/>
              </w:rPr>
              <w:t>106,9</w:t>
            </w:r>
          </w:p>
        </w:tc>
      </w:tr>
    </w:tbl>
    <w:p w14:paraId="651BA2DD" w14:textId="77777777" w:rsidR="005171E0" w:rsidRDefault="005171E0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530C941" w14:textId="77777777" w:rsidR="00794A5E" w:rsidRDefault="00794A5E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7665E44" w14:textId="77777777" w:rsidR="00794A5E" w:rsidRPr="00377D59" w:rsidRDefault="3C87A00B" w:rsidP="3C87A00B">
      <w:pPr>
        <w:keepNext/>
        <w:spacing w:line="240" w:lineRule="auto"/>
        <w:ind w:left="425" w:hanging="425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Az államháztartás központi alrendszerének HIÁNYA</w:t>
      </w:r>
    </w:p>
    <w:p w14:paraId="48257848" w14:textId="0CD4A871" w:rsidR="00794A5E" w:rsidRPr="00794A5E" w:rsidRDefault="3C87A00B" w:rsidP="3C87A00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államháztartás központi alrendszerének az elfogadott költségvetési törvényben szereplő 3,7%-os ESA-hiányhoz tartozó pénzforgalmi hiánya 4123,0 milliárd forint.</w:t>
      </w:r>
    </w:p>
    <w:p w14:paraId="60844057" w14:textId="32902020" w:rsidR="00794A5E" w:rsidRPr="00794A5E" w:rsidRDefault="3C87A00B" w:rsidP="3C87A00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A várható </w:t>
      </w:r>
      <w:r w:rsidR="00C933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5,0%-os </w:t>
      </w:r>
      <w:r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ESA-hiányhoz tartozó várható éves pénzforgalmi hiány ugyanakkor </w:t>
      </w:r>
      <w:r w:rsidR="00567344"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5055,0</w:t>
      </w:r>
      <w:r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 milliárd forint. A központi alrendszer </w:t>
      </w:r>
      <w:r w:rsidR="00567344"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október</w:t>
      </w:r>
      <w:r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 végi hiánya (</w:t>
      </w:r>
      <w:r w:rsidR="00567344"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3667,7</w:t>
      </w:r>
      <w:r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 milliárd forint) ennek </w:t>
      </w:r>
      <w:r w:rsidR="00567344"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72,6</w:t>
      </w:r>
      <w:r w:rsidRPr="00D93D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%-a.</w:t>
      </w:r>
    </w:p>
    <w:p w14:paraId="1A0A9898" w14:textId="77777777" w:rsidR="00794A5E" w:rsidRDefault="00794A5E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1371788" w14:textId="77777777" w:rsidR="00BA38F7" w:rsidRDefault="00BA38F7" w:rsidP="716D41F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AD05683" w14:textId="77777777" w:rsidR="00D93D38" w:rsidRDefault="00D93D38" w:rsidP="716D41F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B768A93" w14:textId="398E617F" w:rsidR="00B155FE" w:rsidRPr="00377D59" w:rsidRDefault="3C87A00B" w:rsidP="3C87A0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I.</w:t>
      </w:r>
    </w:p>
    <w:p w14:paraId="7B768A94" w14:textId="77777777" w:rsidR="00B155FE" w:rsidRPr="00377D59" w:rsidRDefault="3C87A00B" w:rsidP="3C87A00B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 xml:space="preserve">A központi alrendszer pénzügyi folyamatainak </w:t>
      </w:r>
      <w:r w:rsidR="6D17EF1F">
        <w:br/>
      </w: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alakulása</w:t>
      </w:r>
    </w:p>
    <w:p w14:paraId="6D461365" w14:textId="08DC9FC2" w:rsidR="0004032B" w:rsidRPr="00377D59" w:rsidRDefault="3C87A00B" w:rsidP="3C87A00B">
      <w:pPr>
        <w:keepNext/>
        <w:numPr>
          <w:ilvl w:val="0"/>
          <w:numId w:val="3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t>A főbb bevételek</w:t>
      </w:r>
    </w:p>
    <w:p w14:paraId="1618CD2C" w14:textId="0AC79019" w:rsidR="00C561BC" w:rsidRDefault="3C87A00B" w:rsidP="3C87A00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 központi alrendszer </w:t>
      </w:r>
      <w:r w:rsidR="000B410B" w:rsidRPr="000B410B">
        <w:rPr>
          <w:rFonts w:ascii="Times New Roman" w:eastAsia="Times New Roman" w:hAnsi="Times New Roman" w:cs="Times New Roman"/>
          <w:b/>
          <w:bCs/>
          <w:sz w:val="26"/>
          <w:szCs w:val="26"/>
        </w:rPr>
        <w:t>október végi 32</w:t>
      </w:r>
      <w:r w:rsidR="000B410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0B410B" w:rsidRPr="000B410B">
        <w:rPr>
          <w:rFonts w:ascii="Times New Roman" w:eastAsia="Times New Roman" w:hAnsi="Times New Roman" w:cs="Times New Roman"/>
          <w:b/>
          <w:bCs/>
          <w:sz w:val="26"/>
          <w:szCs w:val="26"/>
        </w:rPr>
        <w:t>601,8 milliárd forint összegű bevételei az előző év azonos időszakához képest 1732,5 milliárd forinttal, 5,6%-kal magasabb összegben alakultak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6BBE59DE" w14:textId="1930EE36" w:rsidR="00CF551C" w:rsidRDefault="00145F79" w:rsidP="00C11940">
      <w:pPr>
        <w:pStyle w:val="NormlWeb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052F59C0" wp14:editId="20817571">
            <wp:extent cx="5940425" cy="2387600"/>
            <wp:effectExtent l="0" t="0" r="3175" b="0"/>
            <wp:docPr id="240573272" name="Kép 1" descr="A képen diagram, képernyőkép, szöveg, kö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73272" name="Kép 1" descr="A képen diagram, képernyőkép, szöveg, kör látható&#10;&#10;Előfordulhat, hogy a mesterséges intelligencia által létrehozott tartalom helytele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DDF0B" w14:textId="6B198C35" w:rsidR="002F3D61" w:rsidRPr="002F3D61" w:rsidRDefault="002F3D61" w:rsidP="001E6F74">
      <w:pPr>
        <w:jc w:val="both"/>
        <w:rPr>
          <w:rFonts w:ascii="Times New Roman" w:eastAsia="Times New Roman" w:hAnsi="Times New Roman" w:cs="Times New Roman"/>
          <w:sz w:val="26"/>
          <w:szCs w:val="20"/>
          <w:highlight w:val="yellow"/>
          <w:lang w:eastAsia="hu-HU"/>
        </w:rPr>
      </w:pPr>
      <w:r w:rsidRPr="002F3D61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Társasági adó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jogcímen a 2025. év első tíz hónapjában 844,8</w:t>
      </w:r>
      <w:r w:rsidR="001E6F74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 forint realizálódott, amely az előző év egyenlegétől 39,4</w:t>
      </w:r>
      <w:r w:rsidR="001E6F74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milliárd forinttal maradt el. A bázisévhez viszonyítva az eltérést az előlegfizetések előző évinél alacsonyabb szintje </w:t>
      </w:r>
      <w:r w:rsidR="00C933F7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továbbá </w:t>
      </w:r>
      <w:r w:rsidR="00C933F7"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az egyéb kiutalások és a sport felajánlások jogszabályváltozás miatti megnövekedett mértéke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magyarázza.</w:t>
      </w:r>
    </w:p>
    <w:p w14:paraId="48429724" w14:textId="506789F1" w:rsidR="002F3D61" w:rsidRPr="002F3D61" w:rsidRDefault="002F3D61" w:rsidP="001E6F74">
      <w:pPr>
        <w:jc w:val="both"/>
        <w:rPr>
          <w:rFonts w:ascii="Times New Roman" w:eastAsia="Times New Roman" w:hAnsi="Times New Roman" w:cs="Times New Roman"/>
          <w:sz w:val="26"/>
          <w:szCs w:val="20"/>
          <w:highlight w:val="yellow"/>
          <w:lang w:eastAsia="hu-HU"/>
        </w:rPr>
      </w:pPr>
      <w:r w:rsidRPr="002F3D61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pénzügyi szervezetek befizetései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mérlegsoron a 2025. év első tíz hónapjában 252,0 milliárd forint teljesült, amely az előző év egyenlegét 46,6 milliárd forinttal haladja meg. Ennek oka az előírt magasabb előlegkötelezettségek a pénzügyi szervezetek különadója esetén</w:t>
      </w:r>
      <w:r w:rsidR="001E6F74">
        <w:rPr>
          <w:rFonts w:ascii="Times New Roman" w:eastAsia="Times New Roman" w:hAnsi="Times New Roman" w:cs="Times New Roman"/>
          <w:sz w:val="26"/>
          <w:szCs w:val="20"/>
          <w:lang w:eastAsia="hu-HU"/>
        </w:rPr>
        <w:t>,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r w:rsidR="001E6F74">
        <w:rPr>
          <w:rFonts w:ascii="Times New Roman" w:eastAsia="Times New Roman" w:hAnsi="Times New Roman" w:cs="Times New Roman"/>
          <w:sz w:val="26"/>
          <w:szCs w:val="20"/>
          <w:lang w:eastAsia="hu-HU"/>
        </w:rPr>
        <w:t>valamint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a magasabb hitelintézeti extraprofitadó bevétel.</w:t>
      </w:r>
    </w:p>
    <w:p w14:paraId="3DAD1A5E" w14:textId="77777777" w:rsidR="002F3D61" w:rsidRPr="002F3D61" w:rsidRDefault="002F3D61" w:rsidP="001E6F74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2F3D61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kisadózók tételes adójából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2025 első tíz hónapjában a költségvetésnek 58,6 milliárd forint bevétele keletkezett, amely 2,9 milliárd forinttal több az egy évvel korábbinál. Ennek oka az adónemet választók magasabb létszáma.</w:t>
      </w:r>
    </w:p>
    <w:p w14:paraId="3812F7CA" w14:textId="2A340843" w:rsidR="002F3D61" w:rsidRPr="002F3D61" w:rsidRDefault="002F3D61" w:rsidP="001E6F74">
      <w:pPr>
        <w:jc w:val="both"/>
        <w:rPr>
          <w:rFonts w:ascii="Times New Roman" w:eastAsia="Times New Roman" w:hAnsi="Times New Roman" w:cs="Times New Roman"/>
          <w:sz w:val="26"/>
          <w:szCs w:val="20"/>
          <w:highlight w:val="yellow"/>
          <w:lang w:eastAsia="hu-HU"/>
        </w:rPr>
      </w:pPr>
      <w:r w:rsidRPr="002F3D61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kisvállalati adóból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származó bevétel a 2025. év első tíz hónapjában 223,2 milliárd forint volt, amely 25,5</w:t>
      </w:r>
      <w:r w:rsidR="005E59C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 forinttal magasabb az előző év egyenlegénél. Ennek oka az adóalanyok számának jelentős mértékű bővülése.</w:t>
      </w:r>
      <w:r w:rsidR="005E59C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2025</w:t>
      </w:r>
      <w:r w:rsidR="005E59CE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októberében a KIVA alanyok száma 99,2 ezer</w:t>
      </w:r>
      <w:r w:rsidR="005E59CE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volt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.</w:t>
      </w:r>
    </w:p>
    <w:p w14:paraId="05A0FCFD" w14:textId="43809CFA" w:rsidR="00640595" w:rsidRDefault="239528D4" w:rsidP="001E6F7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bányajáradék-bevétel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2025 első tíz hónapjában 93,6 milliárd forint volt, amely 5,4 milliárd forinttal teljesült alacsonyabban az előző év azonos időszakához képest, amelynek fő oka a számítási szabályok év eleji kisebb változása és a bányajáradék számításához kapcsolódó </w:t>
      </w:r>
      <w:proofErr w:type="spellStart"/>
      <w:r w:rsidRPr="239528D4">
        <w:rPr>
          <w:rFonts w:ascii="Times New Roman" w:eastAsia="Times New Roman" w:hAnsi="Times New Roman" w:cs="Times New Roman"/>
          <w:sz w:val="26"/>
          <w:szCs w:val="26"/>
        </w:rPr>
        <w:t>makroparaméterek</w:t>
      </w:r>
      <w:proofErr w:type="spellEnd"/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(olajár, </w:t>
      </w:r>
      <w:proofErr w:type="spellStart"/>
      <w:r w:rsidRPr="239528D4">
        <w:rPr>
          <w:rFonts w:ascii="Times New Roman" w:eastAsia="Times New Roman" w:hAnsi="Times New Roman" w:cs="Times New Roman"/>
          <w:sz w:val="26"/>
          <w:szCs w:val="26"/>
        </w:rPr>
        <w:t>gázár</w:t>
      </w:r>
      <w:proofErr w:type="spellEnd"/>
      <w:r w:rsidRPr="239528D4">
        <w:rPr>
          <w:rFonts w:ascii="Times New Roman" w:eastAsia="Times New Roman" w:hAnsi="Times New Roman" w:cs="Times New Roman"/>
          <w:sz w:val="26"/>
          <w:szCs w:val="26"/>
        </w:rPr>
        <w:t>, árfolyamok) alakulásának együttes eredője.</w:t>
      </w:r>
    </w:p>
    <w:p w14:paraId="5322C39E" w14:textId="787F64DC" w:rsidR="72AFD5C4" w:rsidRPr="00377D59" w:rsidRDefault="7A91341A" w:rsidP="001E6F7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A91341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</w:t>
      </w:r>
      <w:r w:rsidRPr="7A91341A">
        <w:rPr>
          <w:rFonts w:ascii="Times New Roman" w:eastAsia="Times New Roman" w:hAnsi="Times New Roman" w:cs="Times New Roman"/>
          <w:b/>
          <w:bCs/>
          <w:sz w:val="26"/>
          <w:szCs w:val="26"/>
        </w:rPr>
        <w:t>útdíjakból származó bevétel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 xml:space="preserve"> 2024-től külön mérlegsoron jelenik meg, mely az elektronikus útdíj rendszer és az időalapú útdíj rendszer bevételeinek együttes összegét tartalmazza. Az útdíjakból 2025</w:t>
      </w:r>
      <w:r w:rsidR="004E5FD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>októberéig 519,2</w:t>
      </w:r>
      <w:r w:rsidR="004E5FD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>milliárd forint</w:t>
      </w:r>
      <w:r w:rsidR="004E5FD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>költségvetési bevétel teljesült ezen a mérlegsoron, amely 25,1</w:t>
      </w:r>
      <w:r w:rsidR="004E5FD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>milliárd forinttal magasabb az előző év azonos időszakához viszonyítva. A magasabb teljesülést alapvetően a forgalmi viszonyok, valamint a díjrendszereket érintő jogszabályi keretek változása okozza.</w:t>
      </w:r>
    </w:p>
    <w:p w14:paraId="685BE235" w14:textId="081D7E0F" w:rsidR="008A66DB" w:rsidRDefault="239528D4" w:rsidP="001E6F7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Egyéb központosított bevételekből 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>az év első tíz hónapjában 161,7</w:t>
      </w:r>
      <w:r w:rsidR="004A181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milliárd forint bevétel teljesült, amely a törvényi előirányzat 89,0%-ának felel meg. Ezen belül kiemelkedő </w:t>
      </w:r>
      <w:r w:rsidRPr="00B04B7B">
        <w:rPr>
          <w:rFonts w:ascii="Times New Roman" w:eastAsia="Times New Roman" w:hAnsi="Times New Roman" w:cs="Times New Roman"/>
          <w:sz w:val="26"/>
          <w:szCs w:val="26"/>
        </w:rPr>
        <w:t>a</w:t>
      </w:r>
      <w:r w:rsidR="000B58D6" w:rsidRPr="00B04B7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04B7B">
        <w:rPr>
          <w:rFonts w:ascii="Times New Roman" w:eastAsia="Times New Roman" w:hAnsi="Times New Roman" w:cs="Times New Roman"/>
          <w:sz w:val="26"/>
          <w:szCs w:val="26"/>
        </w:rPr>
        <w:t>bírságbevételekből befolyt 85,3</w:t>
      </w:r>
      <w:r w:rsidR="004A1812" w:rsidRPr="00B04B7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04B7B">
        <w:rPr>
          <w:rFonts w:ascii="Times New Roman" w:eastAsia="Times New Roman" w:hAnsi="Times New Roman" w:cs="Times New Roman"/>
          <w:sz w:val="26"/>
          <w:szCs w:val="26"/>
        </w:rPr>
        <w:t>milliárd forint.</w:t>
      </w:r>
    </w:p>
    <w:p w14:paraId="7B52921E" w14:textId="096D1853" w:rsidR="002F3D61" w:rsidRPr="002F3D61" w:rsidRDefault="002F3D61" w:rsidP="001E6F74">
      <w:pPr>
        <w:jc w:val="both"/>
        <w:rPr>
          <w:rFonts w:ascii="Times New Roman" w:eastAsia="Times New Roman" w:hAnsi="Times New Roman" w:cs="Times New Roman"/>
          <w:b/>
          <w:sz w:val="26"/>
          <w:szCs w:val="20"/>
          <w:highlight w:val="yellow"/>
          <w:lang w:eastAsia="hu-HU"/>
        </w:rPr>
      </w:pP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Az</w:t>
      </w:r>
      <w:r w:rsidRPr="002F3D61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 energia ágazat befizetései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jogcímen </w:t>
      </w:r>
      <w:r w:rsidR="000B58D6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év első tíz hónapjában 182,7 milliárd forint pénzforgalom teljesült, amely az előző év egyenlegétől 50,1 milliárd forinttal maradt el. A</w:t>
      </w:r>
      <w:r w:rsidR="004A1812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bázisévhez viszonyított eltérés oka az Ural-</w:t>
      </w:r>
      <w:proofErr w:type="spellStart"/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Brent</w:t>
      </w:r>
      <w:proofErr w:type="spellEnd"/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proofErr w:type="spellStart"/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spread</w:t>
      </w:r>
      <w:proofErr w:type="spellEnd"/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különadó elmaradásához köthető.</w:t>
      </w:r>
    </w:p>
    <w:p w14:paraId="29BC81E9" w14:textId="52F7CACF" w:rsidR="002F3D61" w:rsidRPr="002F3D61" w:rsidRDefault="002F3D61" w:rsidP="001E6F74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2F3D61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>K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iskereskedelmi adó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jogcímen a 2025. év első tíz hónapjában 240,1 milliárd forint bevétel teljesült, amely a 2024. évi egyenlegénél 14,4 milliárd forinttal magasabb. A</w:t>
      </w:r>
      <w:r w:rsidR="000B58D6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alakulásának hátterében az első és második előlegfizetés, valamint az</w:t>
      </w:r>
      <w:r w:rsidR="000B58D6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elszámolásokhoz köthető befizetések állnak.</w:t>
      </w:r>
    </w:p>
    <w:p w14:paraId="3FD0889C" w14:textId="420E2D6C" w:rsidR="002F3D61" w:rsidRPr="002F3D61" w:rsidRDefault="002F3D61" w:rsidP="001E6F74">
      <w:pPr>
        <w:jc w:val="both"/>
        <w:rPr>
          <w:rFonts w:ascii="Times New Roman" w:eastAsia="Times New Roman" w:hAnsi="Times New Roman" w:cs="Times New Roman"/>
          <w:b/>
          <w:sz w:val="26"/>
          <w:szCs w:val="20"/>
          <w:highlight w:val="yellow"/>
          <w:lang w:eastAsia="hu-HU"/>
        </w:rPr>
      </w:pPr>
      <w:r w:rsidRPr="002F3D61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Gyógyszergyártói adó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jogcímen </w:t>
      </w:r>
      <w:r w:rsidR="005720D2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év első tíz hónapjában</w:t>
      </w:r>
      <w:r w:rsidR="005720D2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4,2 milliárd forint pénzforgalom teljesült, amely 12,4</w:t>
      </w:r>
      <w:r w:rsidR="005720D2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 forinttal maradt el az előző év azonos időszakához képest. Ennek oka, hogy az adónem a 2025. évben megszűnt, a befizetés eltérő üzleti évhez kötődik.</w:t>
      </w:r>
    </w:p>
    <w:p w14:paraId="3E158EA8" w14:textId="77777777" w:rsidR="002F3D61" w:rsidRPr="002F3D61" w:rsidRDefault="002F3D61" w:rsidP="001E6F74">
      <w:pPr>
        <w:widowControl w:val="0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rehabilitációs hozzájárulásból </w:t>
      </w:r>
      <w:r w:rsidRPr="002F3D61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származó bevétel az év első tíz hónapjában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193,3 milliárd forint volt, amely 15,3 milliárd forinttal magasabb az egy évvel korábbi összegnél. Ennek oka a minimálbérnek, így az adó mértékének az emelkedése.</w:t>
      </w:r>
    </w:p>
    <w:p w14:paraId="54046E48" w14:textId="04305932" w:rsidR="006330AD" w:rsidRDefault="002F3D61" w:rsidP="001E6F74">
      <w:pPr>
        <w:widowControl w:val="0"/>
        <w:tabs>
          <w:tab w:val="left" w:pos="3105"/>
        </w:tabs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2025. év első tíz hónapjában az 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>általános forgalmi adóból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6867,2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</w:t>
      </w:r>
      <w:r w:rsidR="00E24F8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forint bevétele keletkezett a költségvetésnek, ami az egy évvel korábbi bevételt 692,6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forinttal haladja meg.</w:t>
      </w:r>
    </w:p>
    <w:tbl>
      <w:tblPr>
        <w:tblW w:w="6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724"/>
        <w:gridCol w:w="1700"/>
        <w:gridCol w:w="993"/>
        <w:gridCol w:w="951"/>
      </w:tblGrid>
      <w:tr w:rsidR="002F3D61" w:rsidRPr="002F3D61" w14:paraId="70876FD9" w14:textId="77777777" w:rsidTr="002C2980">
        <w:trPr>
          <w:trHeight w:val="255"/>
          <w:jc w:val="center"/>
        </w:trPr>
        <w:tc>
          <w:tcPr>
            <w:tcW w:w="69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CEE9" w14:textId="77777777" w:rsidR="002F3D61" w:rsidRPr="002F3D61" w:rsidRDefault="002F3D61" w:rsidP="002F3D61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Általános forgalmi adó bevétel alakulása (milliárd forint) </w:t>
            </w:r>
          </w:p>
        </w:tc>
      </w:tr>
      <w:tr w:rsidR="002F3D61" w:rsidRPr="002F3D61" w14:paraId="7A50C6FA" w14:textId="77777777" w:rsidTr="00E24F8A">
        <w:trPr>
          <w:trHeight w:val="34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6DAC24F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5D0885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2024.</w:t>
            </w:r>
          </w:p>
          <w:p w14:paraId="491CBC85" w14:textId="620EB7EF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I-X. hó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E790ADD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</w:p>
          <w:p w14:paraId="34A2A43E" w14:textId="15076CE3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I-X. hó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839DFC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2F3D61" w:rsidRPr="002F3D61" w14:paraId="25361279" w14:textId="77777777" w:rsidTr="00E24F8A">
        <w:trPr>
          <w:trHeight w:val="34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EE5D62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81361E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05FB9C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69259EC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790B32A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2F3D61" w:rsidRPr="002F3D61" w14:paraId="3938D1BC" w14:textId="77777777" w:rsidTr="002C2980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78FC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Befizetés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2AE6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highlight w:val="yellow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10 640,4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7ABD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11 289,1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A5E9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648,7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C239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106,1</w:t>
            </w:r>
          </w:p>
        </w:tc>
      </w:tr>
      <w:tr w:rsidR="002F3D61" w:rsidRPr="002F3D61" w14:paraId="6F122981" w14:textId="77777777" w:rsidTr="002C2980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8A5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Kiutalás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E97E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highlight w:val="yellow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4 465,8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61AA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4 421,9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76E7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-43,9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1B9E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99,0</w:t>
            </w:r>
          </w:p>
        </w:tc>
      </w:tr>
      <w:tr w:rsidR="002F3D61" w:rsidRPr="002F3D61" w14:paraId="539CBF5C" w14:textId="77777777" w:rsidTr="002C2980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210B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Egyenleg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5B1D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highlight w:val="yellow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6 174,6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699D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6 867,2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6C19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692,6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E088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111,2</w:t>
            </w:r>
          </w:p>
        </w:tc>
      </w:tr>
    </w:tbl>
    <w:p w14:paraId="56F26339" w14:textId="06D904E5" w:rsidR="002F3D61" w:rsidRDefault="002F3D61" w:rsidP="00E24F8A">
      <w:pPr>
        <w:pStyle w:val="NormlWeb"/>
        <w:spacing w:before="360" w:beforeAutospacing="0" w:after="240" w:afterAutospacing="0" w:line="259" w:lineRule="auto"/>
        <w:jc w:val="both"/>
        <w:rPr>
          <w:sz w:val="26"/>
          <w:szCs w:val="20"/>
        </w:rPr>
      </w:pPr>
      <w:r w:rsidRPr="002F3D61">
        <w:rPr>
          <w:sz w:val="26"/>
          <w:szCs w:val="20"/>
        </w:rPr>
        <w:t>A belföldi befizetések és az import utáni áfabevételek növekedtek, ugyanakkor a dohány</w:t>
      </w:r>
      <w:r w:rsidR="00E24F8A">
        <w:rPr>
          <w:sz w:val="26"/>
          <w:szCs w:val="20"/>
        </w:rPr>
        <w:t>-</w:t>
      </w:r>
      <w:r w:rsidRPr="002F3D61">
        <w:rPr>
          <w:sz w:val="26"/>
          <w:szCs w:val="20"/>
        </w:rPr>
        <w:t>termékek utáni áfabevétel csökkent. A belföldi befizetések növekedése elsősorban a</w:t>
      </w:r>
      <w:r w:rsidR="00E24F8A">
        <w:rPr>
          <w:sz w:val="26"/>
          <w:szCs w:val="20"/>
        </w:rPr>
        <w:t> </w:t>
      </w:r>
      <w:r w:rsidRPr="002F3D61">
        <w:rPr>
          <w:sz w:val="26"/>
          <w:szCs w:val="20"/>
        </w:rPr>
        <w:t>kereskedelem ágazathoz köthető. Az import utáni befizetések növekedése hátterében a</w:t>
      </w:r>
      <w:r w:rsidR="00E24F8A">
        <w:rPr>
          <w:sz w:val="26"/>
          <w:szCs w:val="20"/>
        </w:rPr>
        <w:t> </w:t>
      </w:r>
      <w:r w:rsidRPr="002F3D61">
        <w:rPr>
          <w:sz w:val="26"/>
          <w:szCs w:val="20"/>
        </w:rPr>
        <w:t>forgalom alakulása áll. A dohánytermékek utáni bevételek alacsonyabb teljesülését a</w:t>
      </w:r>
      <w:r w:rsidR="00E24F8A">
        <w:rPr>
          <w:sz w:val="26"/>
          <w:szCs w:val="20"/>
        </w:rPr>
        <w:t> </w:t>
      </w:r>
      <w:r w:rsidRPr="002F3D61">
        <w:rPr>
          <w:sz w:val="26"/>
          <w:szCs w:val="20"/>
        </w:rPr>
        <w:t>2025. januári jövedéki adómérték-emelésre adott piaci reakció, a készletezési hatás</w:t>
      </w:r>
      <w:r w:rsidR="00E24F8A">
        <w:rPr>
          <w:sz w:val="26"/>
          <w:szCs w:val="20"/>
        </w:rPr>
        <w:t>,</w:t>
      </w:r>
      <w:r w:rsidRPr="002F3D61">
        <w:rPr>
          <w:sz w:val="26"/>
          <w:szCs w:val="20"/>
        </w:rPr>
        <w:t xml:space="preserve"> </w:t>
      </w:r>
      <w:r w:rsidRPr="002F3D61">
        <w:rPr>
          <w:sz w:val="26"/>
          <w:szCs w:val="20"/>
        </w:rPr>
        <w:lastRenderedPageBreak/>
        <w:t>valamint az ízesített, hevített dohánytermékekre vonatkozó jogszabályváltozás miatti 2024. júliusi készletezés együttes hatása magyarázza. A kiutalások alakulását a köztes ágazatok befizetése befolyásolja.</w:t>
      </w:r>
    </w:p>
    <w:p w14:paraId="6A4419C7" w14:textId="3EDE2EA7" w:rsidR="00CF551C" w:rsidRPr="00945E04" w:rsidRDefault="00145F79" w:rsidP="00145F79">
      <w:pPr>
        <w:pStyle w:val="NormlWeb"/>
        <w:spacing w:before="0" w:beforeAutospacing="0" w:after="0" w:afterAutospacing="0"/>
        <w:jc w:val="center"/>
        <w:rPr>
          <w:sz w:val="22"/>
        </w:rPr>
      </w:pPr>
      <w:r>
        <w:rPr>
          <w:noProof/>
        </w:rPr>
        <w:drawing>
          <wp:inline distT="0" distB="0" distL="0" distR="0" wp14:anchorId="6CB0856C" wp14:editId="6E6662A4">
            <wp:extent cx="5315424" cy="3355450"/>
            <wp:effectExtent l="0" t="0" r="0" b="0"/>
            <wp:docPr id="34147291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72917" name=""/>
                    <pic:cNvPicPr/>
                  </pic:nvPicPr>
                  <pic:blipFill rotWithShape="1">
                    <a:blip r:embed="rId15"/>
                    <a:srcRect l="1532" b="2530"/>
                    <a:stretch/>
                  </pic:blipFill>
                  <pic:spPr bwMode="auto">
                    <a:xfrm>
                      <a:off x="0" y="0"/>
                      <a:ext cx="5344003" cy="3373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B7672" w14:textId="604131D5" w:rsidR="00AE4815" w:rsidRDefault="002F3D61" w:rsidP="3C87A00B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2F3D61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>jövedéki adóból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származó bevétel a 2025. év első tíz hónapjában 1330,0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forintot tett ki, amely 4,2 milliárd forinttal alacsonyabb az egy évvel korábbi bevételnél. Az üzemanyagok utáni bevételek növekedését a 2025. január 1-</w:t>
      </w:r>
      <w:r w:rsidR="007C28EB">
        <w:rPr>
          <w:rFonts w:ascii="Times New Roman" w:eastAsia="Times New Roman" w:hAnsi="Times New Roman" w:cs="Times New Roman"/>
          <w:sz w:val="26"/>
          <w:szCs w:val="20"/>
          <w:lang w:eastAsia="hu-HU"/>
        </w:rPr>
        <w:t>jé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től hatályos magasabb adómértékek magyarázzák. A dohánytermékek utáni bevételek csökkenésének hátterében a 2025. januári adómérték-emelésből fakadó készletezési hatás</w:t>
      </w:r>
      <w:r w:rsidR="00073826">
        <w:rPr>
          <w:rFonts w:ascii="Times New Roman" w:eastAsia="Times New Roman" w:hAnsi="Times New Roman" w:cs="Times New Roman"/>
          <w:sz w:val="26"/>
          <w:szCs w:val="20"/>
          <w:lang w:eastAsia="hu-HU"/>
        </w:rPr>
        <w:t>,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valamint az ízesített, hevített dohánytermékekre vonatkozó jogszabályváltozásra adott piaci reakció, a</w:t>
      </w:r>
      <w:r w:rsidR="007C28EB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2024.</w:t>
      </w:r>
      <w:r w:rsidR="007C28EB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júliusi készletezés együttes hatása áll. A szeszesitalok és egyéb termékek esetében a bevételek csökkenését az alacsonyabb forgalom indokolja. Az energiaadó</w:t>
      </w:r>
      <w:r w:rsidR="007C28EB">
        <w:rPr>
          <w:rFonts w:ascii="Times New Roman" w:eastAsia="Times New Roman" w:hAnsi="Times New Roman" w:cs="Times New Roman"/>
          <w:sz w:val="26"/>
          <w:szCs w:val="20"/>
          <w:lang w:eastAsia="hu-HU"/>
        </w:rPr>
        <w:t>-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növekedésének hátterében a 2025. januári jövedéki adómérték-emelés áll.</w:t>
      </w:r>
    </w:p>
    <w:tbl>
      <w:tblPr>
        <w:tblW w:w="8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594"/>
        <w:gridCol w:w="1061"/>
        <w:gridCol w:w="1135"/>
      </w:tblGrid>
      <w:tr w:rsidR="002F3D61" w:rsidRPr="002F3D61" w14:paraId="578E9713" w14:textId="77777777" w:rsidTr="002C2980">
        <w:trPr>
          <w:trHeight w:val="255"/>
          <w:jc w:val="center"/>
        </w:trPr>
        <w:tc>
          <w:tcPr>
            <w:tcW w:w="8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2B8F6" w14:textId="77777777" w:rsidR="002F3D61" w:rsidRPr="002F3D61" w:rsidRDefault="002F3D61" w:rsidP="002F3D6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Jövedéki adó bevétel alakulása (milliárd forint)</w:t>
            </w:r>
          </w:p>
        </w:tc>
      </w:tr>
      <w:tr w:rsidR="002F3D61" w:rsidRPr="002F3D61" w14:paraId="6B0D84E1" w14:textId="77777777" w:rsidTr="00E24F8A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4468859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E98D01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2024.</w:t>
            </w:r>
          </w:p>
          <w:p w14:paraId="4AD354ED" w14:textId="47477E43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I-X. hó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6DE1CA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</w:p>
          <w:p w14:paraId="1A7BC61F" w14:textId="50820E6C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I-X. hó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96C4E88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2F3D61" w:rsidRPr="002F3D61" w14:paraId="58811871" w14:textId="77777777" w:rsidTr="00E24F8A">
        <w:trPr>
          <w:trHeight w:val="34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AFA4E7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D55DA74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AA7840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3D3E1AD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2858D0F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2F3D61" w:rsidRPr="002F3D61" w14:paraId="6416C041" w14:textId="77777777" w:rsidTr="002C298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9665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Üzemanyag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D8E64" w14:textId="1036D39C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742,</w:t>
            </w:r>
            <w:r w:rsidR="00090E9A"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42CE" w14:textId="77777777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782,9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C6AF" w14:textId="152E84E3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</w:t>
            </w:r>
            <w:r w:rsid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E624" w14:textId="61CB3183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105,</w:t>
            </w:r>
            <w:r w:rsid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2F3D61" w:rsidRPr="002F3D61" w14:paraId="60368AFB" w14:textId="77777777" w:rsidTr="002C298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5AE6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Dohánygyártmány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08DC" w14:textId="77777777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464,9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E1EC" w14:textId="77777777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419,1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FA45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-45,8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F33E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90,1</w:t>
            </w:r>
          </w:p>
        </w:tc>
      </w:tr>
      <w:tr w:rsidR="002F3D61" w:rsidRPr="002F3D61" w14:paraId="5850D828" w14:textId="77777777" w:rsidTr="002C298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A9F5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Egyéb termék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EFA0" w14:textId="77777777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109,5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9BDF" w14:textId="1F58D6C2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109,</w:t>
            </w:r>
            <w:r w:rsidR="00090E9A"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B68B" w14:textId="23B16C53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-0,</w:t>
            </w:r>
            <w:r w:rsid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C823" w14:textId="46F82459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99,</w:t>
            </w:r>
            <w:r w:rsid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2F3D61" w:rsidRPr="002F3D61" w14:paraId="7ABE10A7" w14:textId="77777777" w:rsidTr="002C298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085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Import jövedéki adó és energiaadó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DDEC" w14:textId="77A18850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17,</w:t>
            </w:r>
            <w:r w:rsidR="00090E9A"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9E40" w14:textId="10B29D8B" w:rsidR="002F3D61" w:rsidRPr="00090E9A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 w:rsidR="00090E9A"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8,</w:t>
            </w:r>
            <w:r w:rsidRPr="00090E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A5F1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B3DD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108,6</w:t>
            </w:r>
          </w:p>
        </w:tc>
      </w:tr>
      <w:tr w:rsidR="002F3D61" w:rsidRPr="002F3D61" w14:paraId="6349B0CA" w14:textId="77777777" w:rsidTr="002C2980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E21B" w14:textId="77777777" w:rsidR="002F3D61" w:rsidRPr="002F3D61" w:rsidRDefault="002F3D61" w:rsidP="002F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Jövedéki adók összesen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275C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1 334,2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D06F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1 330,0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0E43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-4,2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F54F" w14:textId="77777777" w:rsidR="002F3D61" w:rsidRPr="002F3D61" w:rsidRDefault="002F3D61" w:rsidP="002F3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99,7</w:t>
            </w:r>
          </w:p>
        </w:tc>
      </w:tr>
    </w:tbl>
    <w:p w14:paraId="350430A9" w14:textId="6963F209" w:rsidR="002F3D61" w:rsidRPr="002F3D61" w:rsidRDefault="002F3D61" w:rsidP="00EA3ABD">
      <w:pPr>
        <w:pageBreakBefore/>
        <w:spacing w:before="240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2F3D61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lastRenderedPageBreak/>
        <w:t>Pénzügyi tranzakciós illetékből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2025 első tíz hónapjában 480,9 milliárd forint bevétele keletkezett a költségvetésnek, ami 163,4 milliárd forinttal haladta meg az egy évvel</w:t>
      </w:r>
      <w:r w:rsidR="00D1444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korábbi összeget. A bevételek növekedésének hátterében a 2024. augusztus 1-</w:t>
      </w:r>
      <w:r w:rsidR="003F7883">
        <w:rPr>
          <w:rFonts w:ascii="Times New Roman" w:eastAsia="Times New Roman" w:hAnsi="Times New Roman" w:cs="Times New Roman"/>
          <w:sz w:val="26"/>
          <w:szCs w:val="20"/>
          <w:lang w:eastAsia="hu-HU"/>
        </w:rPr>
        <w:t>jé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től hatályos megemelt adómértékek, valamint a 2024. október elsejétől az adó hatálya alá tartozó konverziót tartalmazó műveletek állnak.</w:t>
      </w:r>
    </w:p>
    <w:p w14:paraId="7CCB803C" w14:textId="3E54D1C1" w:rsidR="002F3D61" w:rsidRPr="002F3D61" w:rsidRDefault="002F3D61" w:rsidP="007C28EB">
      <w:pPr>
        <w:spacing w:before="240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2F3D61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biztosítási adóból 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származó bevétel </w:t>
      </w:r>
      <w:r w:rsidR="00EA3ABD">
        <w:rPr>
          <w:rFonts w:ascii="Times New Roman" w:eastAsia="Times New Roman" w:hAnsi="Times New Roman" w:cs="Times New Roman"/>
          <w:sz w:val="26"/>
          <w:szCs w:val="20"/>
          <w:lang w:eastAsia="hu-HU"/>
        </w:rPr>
        <w:t>az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év első tíz hónapjában 144,8 milliárd forintot tett ki, amely 65,6 milliárd forinttal alacsonyabb az egy évvel korábbi bevételnél. A</w:t>
      </w:r>
      <w:r w:rsidR="00EA3ABD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előző évhez viszonyított alacsonyabb teljesülését egyrészt a 2023. évi biztosítási pótadó-kötelezettség 2024. januári és júliusi elszámolásából fakadó többletbevétel, másrészt a 2024. évi pótadóelőleg első, 2024</w:t>
      </w:r>
      <w:r w:rsidR="00951D6E">
        <w:rPr>
          <w:rFonts w:ascii="Times New Roman" w:eastAsia="Times New Roman" w:hAnsi="Times New Roman" w:cs="Times New Roman"/>
          <w:sz w:val="26"/>
          <w:szCs w:val="20"/>
          <w:lang w:eastAsia="hu-HU"/>
        </w:rPr>
        <w:t>.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május havi befizetése magyarázza.</w:t>
      </w:r>
    </w:p>
    <w:p w14:paraId="0684CA02" w14:textId="1A730FEE" w:rsidR="002F3D61" w:rsidRPr="006330AD" w:rsidRDefault="002F3D61" w:rsidP="007C28EB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 xml:space="preserve">A </w:t>
      </w:r>
      <w:r w:rsidRPr="002F3D61"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eastAsia="hu-HU"/>
        </w:rPr>
        <w:t>személyi jövedelemadó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 xml:space="preserve"> bevétele 2025 első tíz hónapjában 4047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,5 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forint volt, amely 321,8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forinttal magasabb az egy évvel korábbi összegnél. Ennek oka a</w:t>
      </w:r>
      <w:r w:rsidR="007C28EB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bértömeg növekedése.</w:t>
      </w:r>
    </w:p>
    <w:p w14:paraId="4AD2F5D6" w14:textId="3FECE57E" w:rsidR="00085C37" w:rsidRPr="005861AE" w:rsidRDefault="3C87A00B" w:rsidP="3C87A00B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3C87A00B">
        <w:rPr>
          <w:rFonts w:ascii="Times New Roman" w:hAnsi="Times New Roman" w:cs="Times New Roman"/>
          <w:b/>
          <w:bCs/>
        </w:rPr>
        <w:t>Személyi jövedelemadó bevétel alakulása (milliárd forint)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645"/>
        <w:gridCol w:w="1701"/>
        <w:gridCol w:w="992"/>
        <w:gridCol w:w="992"/>
      </w:tblGrid>
      <w:tr w:rsidR="002F3D61" w:rsidRPr="002F3D61" w14:paraId="0B668862" w14:textId="77777777" w:rsidTr="00E24F8A">
        <w:trPr>
          <w:trHeight w:val="283"/>
          <w:jc w:val="center"/>
        </w:trPr>
        <w:tc>
          <w:tcPr>
            <w:tcW w:w="1469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19022340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645" w:type="dxa"/>
            <w:vMerge w:val="restart"/>
            <w:shd w:val="clear" w:color="auto" w:fill="BDD6EE" w:themeFill="accent1" w:themeFillTint="66"/>
            <w:vAlign w:val="center"/>
            <w:hideMark/>
          </w:tcPr>
          <w:p w14:paraId="020EFAC3" w14:textId="70C6B334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2024. </w:t>
            </w: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br/>
              <w:t>I-X. hó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  <w:hideMark/>
          </w:tcPr>
          <w:p w14:paraId="13B6BA46" w14:textId="4DCA46B1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br/>
              <w:t>I-X. hó</w:t>
            </w:r>
          </w:p>
        </w:tc>
        <w:tc>
          <w:tcPr>
            <w:tcW w:w="1984" w:type="dxa"/>
            <w:gridSpan w:val="2"/>
            <w:shd w:val="clear" w:color="auto" w:fill="BDD6EE" w:themeFill="accent1" w:themeFillTint="66"/>
            <w:vAlign w:val="center"/>
            <w:hideMark/>
          </w:tcPr>
          <w:p w14:paraId="6414C215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2F3D61" w:rsidRPr="002F3D61" w14:paraId="74058384" w14:textId="77777777" w:rsidTr="00E24F8A">
        <w:trPr>
          <w:trHeight w:val="283"/>
          <w:jc w:val="center"/>
        </w:trPr>
        <w:tc>
          <w:tcPr>
            <w:tcW w:w="1469" w:type="dxa"/>
            <w:vMerge/>
            <w:shd w:val="clear" w:color="auto" w:fill="BDD6EE" w:themeFill="accent1" w:themeFillTint="66"/>
            <w:noWrap/>
            <w:vAlign w:val="center"/>
          </w:tcPr>
          <w:p w14:paraId="778AC887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645" w:type="dxa"/>
            <w:vMerge/>
            <w:shd w:val="clear" w:color="auto" w:fill="BDD6EE" w:themeFill="accent1" w:themeFillTint="66"/>
            <w:vAlign w:val="center"/>
          </w:tcPr>
          <w:p w14:paraId="223BD456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  <w:vAlign w:val="center"/>
          </w:tcPr>
          <w:p w14:paraId="6C4DB34B" w14:textId="77777777" w:rsidR="002F3D61" w:rsidRPr="002F3D61" w:rsidRDefault="002F3D61" w:rsidP="002F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7BE42C18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7B7C8BA0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2F3D61" w:rsidRPr="002F3D61" w14:paraId="1DA15F1E" w14:textId="77777777" w:rsidTr="002C2980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12934BAD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Befizetés</w:t>
            </w:r>
          </w:p>
        </w:tc>
        <w:tc>
          <w:tcPr>
            <w:tcW w:w="1645" w:type="dxa"/>
            <w:noWrap/>
            <w:vAlign w:val="center"/>
          </w:tcPr>
          <w:p w14:paraId="37CAF4E7" w14:textId="2109AF85" w:rsidR="002F3D61" w:rsidRPr="00270798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70798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3 960,</w:t>
            </w:r>
            <w:r w:rsidR="00270798" w:rsidRPr="00270798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14:paraId="00221F95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4 302,2</w:t>
            </w:r>
          </w:p>
        </w:tc>
        <w:tc>
          <w:tcPr>
            <w:tcW w:w="992" w:type="dxa"/>
            <w:noWrap/>
            <w:vAlign w:val="center"/>
          </w:tcPr>
          <w:p w14:paraId="38224C8E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341,8</w:t>
            </w:r>
          </w:p>
        </w:tc>
        <w:tc>
          <w:tcPr>
            <w:tcW w:w="992" w:type="dxa"/>
            <w:vAlign w:val="center"/>
          </w:tcPr>
          <w:p w14:paraId="16DFAA9F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108,6</w:t>
            </w:r>
          </w:p>
        </w:tc>
      </w:tr>
      <w:tr w:rsidR="002F3D61" w:rsidRPr="002F3D61" w14:paraId="2870EC4E" w14:textId="77777777" w:rsidTr="002C2980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52CAD511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Kiutalás</w:t>
            </w:r>
          </w:p>
        </w:tc>
        <w:tc>
          <w:tcPr>
            <w:tcW w:w="1645" w:type="dxa"/>
            <w:noWrap/>
            <w:vAlign w:val="center"/>
          </w:tcPr>
          <w:p w14:paraId="4A5CDED7" w14:textId="77777777" w:rsidR="002F3D61" w:rsidRPr="00270798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70798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234,7</w:t>
            </w:r>
          </w:p>
        </w:tc>
        <w:tc>
          <w:tcPr>
            <w:tcW w:w="1701" w:type="dxa"/>
            <w:noWrap/>
            <w:vAlign w:val="center"/>
          </w:tcPr>
          <w:p w14:paraId="67DDCCFF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254,7</w:t>
            </w:r>
          </w:p>
        </w:tc>
        <w:tc>
          <w:tcPr>
            <w:tcW w:w="992" w:type="dxa"/>
            <w:noWrap/>
            <w:vAlign w:val="center"/>
          </w:tcPr>
          <w:p w14:paraId="430E4C3F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20,0</w:t>
            </w:r>
          </w:p>
        </w:tc>
        <w:tc>
          <w:tcPr>
            <w:tcW w:w="992" w:type="dxa"/>
            <w:vAlign w:val="center"/>
          </w:tcPr>
          <w:p w14:paraId="168FDF29" w14:textId="77777777" w:rsidR="002F3D61" w:rsidRPr="002F3D61" w:rsidRDefault="002F3D61" w:rsidP="002F3D61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108,5</w:t>
            </w:r>
          </w:p>
        </w:tc>
      </w:tr>
      <w:tr w:rsidR="002F3D61" w:rsidRPr="002F3D61" w14:paraId="25C5274E" w14:textId="77777777" w:rsidTr="002C2980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0F263FF6" w14:textId="77777777" w:rsidR="002F3D61" w:rsidRPr="002F3D61" w:rsidRDefault="002F3D61" w:rsidP="002F3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Egyenleg</w:t>
            </w:r>
          </w:p>
        </w:tc>
        <w:tc>
          <w:tcPr>
            <w:tcW w:w="1645" w:type="dxa"/>
            <w:noWrap/>
            <w:vAlign w:val="center"/>
          </w:tcPr>
          <w:p w14:paraId="497068C1" w14:textId="77777777" w:rsidR="002F3D61" w:rsidRPr="00270798" w:rsidRDefault="002F3D61" w:rsidP="002F3D6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70798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3 725,7</w:t>
            </w:r>
          </w:p>
        </w:tc>
        <w:tc>
          <w:tcPr>
            <w:tcW w:w="1701" w:type="dxa"/>
            <w:noWrap/>
            <w:vAlign w:val="center"/>
          </w:tcPr>
          <w:p w14:paraId="786F8A47" w14:textId="77777777" w:rsidR="002F3D61" w:rsidRPr="002F3D61" w:rsidRDefault="002F3D61" w:rsidP="002F3D6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4 047,5</w:t>
            </w:r>
          </w:p>
        </w:tc>
        <w:tc>
          <w:tcPr>
            <w:tcW w:w="992" w:type="dxa"/>
            <w:noWrap/>
            <w:vAlign w:val="center"/>
          </w:tcPr>
          <w:p w14:paraId="6A18C1A6" w14:textId="77777777" w:rsidR="002F3D61" w:rsidRPr="002F3D61" w:rsidRDefault="002F3D61" w:rsidP="002F3D6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321,8</w:t>
            </w:r>
          </w:p>
        </w:tc>
        <w:tc>
          <w:tcPr>
            <w:tcW w:w="992" w:type="dxa"/>
            <w:vAlign w:val="center"/>
          </w:tcPr>
          <w:p w14:paraId="52C9E0E2" w14:textId="77777777" w:rsidR="002F3D61" w:rsidRPr="002F3D61" w:rsidRDefault="002F3D61" w:rsidP="002F3D6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2F3D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108,6</w:t>
            </w:r>
          </w:p>
        </w:tc>
      </w:tr>
    </w:tbl>
    <w:p w14:paraId="54234F12" w14:textId="22C1E947" w:rsidR="123EFD2F" w:rsidRPr="00381A54" w:rsidRDefault="3C87A00B" w:rsidP="3C87A00B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Központi Maradványelszámolási Alapba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történő befizetések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mérlegsorra az év első tíz hónapjában 394,1 milliárd forint maradvány került befizetésre, szemben az előző év azonos időszakában befolyt </w:t>
      </w:r>
      <w:r w:rsidRPr="000079FD">
        <w:rPr>
          <w:rFonts w:ascii="Times New Roman" w:eastAsia="Times New Roman" w:hAnsi="Times New Roman" w:cs="Times New Roman"/>
          <w:sz w:val="26"/>
          <w:szCs w:val="26"/>
        </w:rPr>
        <w:t>16</w:t>
      </w:r>
      <w:r w:rsidR="00C46CE8" w:rsidRPr="000079FD">
        <w:rPr>
          <w:rFonts w:ascii="Times New Roman" w:eastAsia="Times New Roman" w:hAnsi="Times New Roman" w:cs="Times New Roman"/>
          <w:sz w:val="26"/>
          <w:szCs w:val="26"/>
        </w:rPr>
        <w:t>7,3</w:t>
      </w:r>
      <w:r w:rsidRPr="000079FD">
        <w:rPr>
          <w:rFonts w:ascii="Times New Roman" w:eastAsia="Times New Roman" w:hAnsi="Times New Roman" w:cs="Times New Roman"/>
          <w:sz w:val="26"/>
          <w:szCs w:val="26"/>
        </w:rPr>
        <w:t xml:space="preserve"> milliárd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> forintos összeggel.</w:t>
      </w:r>
    </w:p>
    <w:p w14:paraId="25C427CE" w14:textId="2CC0098C" w:rsidR="029C2633" w:rsidRPr="00381A54" w:rsidRDefault="6DEE8A84" w:rsidP="6DEE8A8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DEE8A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állami vagyonnal kapcsolatos befizetések 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>2025 első tízhavi összege 691,1 milliárd forint, amelynek meghatározó tétele az osztalékbefizetés volt.</w:t>
      </w:r>
      <w:r w:rsidRPr="6DEE8A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D0F2783" w14:textId="72F0058C" w:rsidR="009D55B4" w:rsidRPr="00377D59" w:rsidRDefault="00145F79" w:rsidP="009D55B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D11B02F" wp14:editId="6CA35039">
            <wp:extent cx="4913906" cy="2943616"/>
            <wp:effectExtent l="0" t="0" r="1270" b="9525"/>
            <wp:docPr id="16736486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486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2986" cy="295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3F4E" w14:textId="6A298BB3" w:rsidR="5B67C7D7" w:rsidRPr="00920F4D" w:rsidRDefault="2D9251E6" w:rsidP="007C28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D9251E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 költségvetés XLV. </w:t>
      </w:r>
      <w:r w:rsidRPr="2D9251E6">
        <w:rPr>
          <w:rFonts w:ascii="Times New Roman" w:eastAsia="Times New Roman" w:hAnsi="Times New Roman" w:cs="Times New Roman"/>
          <w:b/>
          <w:bCs/>
          <w:sz w:val="26"/>
          <w:szCs w:val="26"/>
        </w:rPr>
        <w:t>Állami beruházások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 fejezetének bevételei 2025. október végéig 174,1 milliárd forintot tettek ki.</w:t>
      </w:r>
    </w:p>
    <w:p w14:paraId="4BE4CA6A" w14:textId="7EF78DD2" w:rsidR="39728167" w:rsidRPr="00377D59" w:rsidRDefault="239528D4" w:rsidP="007C28EB">
      <w:pPr>
        <w:jc w:val="both"/>
        <w:rPr>
          <w:rFonts w:ascii="Times New Roman" w:hAnsi="Times New Roman" w:cs="Times New Roman"/>
        </w:rPr>
      </w:pP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Az uniós bevételek főszabály szerint a XLII. A költségvetés közvetlen bevételei és kiadásai fejezetbe érkeznek, ezek kimutatására szolgálnak az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bevételei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, valamint az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Egyéb uniós bevételek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mérlegsorok.</w:t>
      </w:r>
    </w:p>
    <w:p w14:paraId="3C3A66C8" w14:textId="3175396A" w:rsidR="74B9DF17" w:rsidRDefault="691A06BB" w:rsidP="007C28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bevételei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mérlegsoron 2025. október végéig 589,1 milliárd forint bevétel keletkezett. Ez az összeg a törvényi előirányzat (2235,9 milliárd forint) 26,3%-át teszi ki. A teljesült bevételből 510,6 milliárd forint </w:t>
      </w:r>
      <w:proofErr w:type="gramStart"/>
      <w:r w:rsidRPr="691A06BB">
        <w:rPr>
          <w:rFonts w:ascii="Times New Roman" w:eastAsia="Times New Roman" w:hAnsi="Times New Roman" w:cs="Times New Roman"/>
          <w:sz w:val="26"/>
          <w:szCs w:val="26"/>
        </w:rPr>
        <w:t>az uniós</w:t>
      </w:r>
      <w:r w:rsidR="00F536DB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és 78,5 milliárd forint az egyéb bevételekhez tartozik.</w:t>
      </w:r>
    </w:p>
    <w:p w14:paraId="040E2327" w14:textId="792873D1" w:rsidR="74B9DF17" w:rsidRPr="00FE12D5" w:rsidRDefault="691A06BB" w:rsidP="007C28EB">
      <w:pPr>
        <w:jc w:val="both"/>
        <w:rPr>
          <w:rFonts w:ascii="Times New Roman" w:hAnsi="Times New Roman" w:cs="Times New Roman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Egyéb uniós bevételek 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soron a vámbeszedési költség megtérítése jelenik meg, mely 30,6 milliárd forintot tett ki 2025 októberéig. Ez az összeg a törvényi előirányzat 96,4%-a</w:t>
      </w:r>
      <w:r w:rsidR="00F53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és 5,2 milliárd forinttal haladja meg a 2024. év azonos időszakában keletkezett bevételt.</w:t>
      </w:r>
    </w:p>
    <w:p w14:paraId="1FA43913" w14:textId="77777777" w:rsidR="002F3D61" w:rsidRPr="002F3D61" w:rsidRDefault="002F3D61" w:rsidP="007C28EB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A befizetett társadalombiztosítási járulék 8,1%-át az állami adóhatóság a foglalkoztatási programokkal kapcsolatos elkülönített állami pénzalapnak utalja át. 2025. október végéig a </w:t>
      </w:r>
      <w:r w:rsidRPr="002F3D61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társadalombiztosítási járulék 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Nemzeti Foglalkoztatási </w:t>
      </w:r>
      <w:r w:rsidRPr="002F3D61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Alapot megillető része </w:t>
      </w:r>
      <w:r w:rsidRPr="002F3D61">
        <w:rPr>
          <w:rFonts w:ascii="Times New Roman" w:eastAsia="Calibri" w:hAnsi="Times New Roman" w:cs="Times New Roman"/>
          <w:bCs/>
          <w:sz w:val="26"/>
          <w:szCs w:val="26"/>
          <w:lang w:eastAsia="hu-HU"/>
        </w:rPr>
        <w:t>361,2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 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forintban teljesült, amely az előző év azonos időszakában befolyt bevételt 30,2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forinttal haladta meg. A bevételnövekedés oka a járulékköteles jövedelmek növekedése.</w:t>
      </w:r>
    </w:p>
    <w:p w14:paraId="7A2E5395" w14:textId="7A2AD0D7" w:rsidR="002F3D61" w:rsidRPr="002F3D61" w:rsidRDefault="002F3D61" w:rsidP="007C28EB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2025-ben a szociális hozzájárulási adó megfizetett összegének 86,96%-a </w:t>
      </w:r>
      <w:proofErr w:type="spellStart"/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spellEnd"/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Nyugdíjbiztosítási Alapot illeti meg. A 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szociális hozzájárulási adó Nyugdíjbiztosítási Alapot megillető része </w:t>
      </w:r>
      <w:r w:rsidRPr="002F3D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2025 első tíz hónapjában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2412,4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forintban teljesült, amely 172,5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forinttal haladta meg az előző év azonos időszakában befolyt bevételt. A</w:t>
      </w:r>
      <w:r w:rsidR="00467E0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bevétel változása az adóköteles jövedelmek növekedésével és az alapok közötti megoszlási arány változásával magyarázható.</w:t>
      </w:r>
    </w:p>
    <w:p w14:paraId="5E49787B" w14:textId="77777777" w:rsidR="002F3D61" w:rsidRPr="002F3D61" w:rsidRDefault="002F3D61" w:rsidP="007C28EB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befizetett társadalombiztosítási járulék 54%-át az állami adóhatóság a Nyugdíjbiztosítási Alapnak utalja át. 2025. október végéig a </w:t>
      </w:r>
      <w:r w:rsidRPr="002F3D6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társadalombiztosítási járulék Nyugdíjbiztosítási Alapot megillető része és nyugdíjjárulék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2456,3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forintban teljesült, amely az előző év azonos időszakában befolyt bevételt 202,2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forinttal haladta meg. 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A bevételnövekedés oka a járulékköteles jövedelmek növekedése.</w:t>
      </w:r>
    </w:p>
    <w:p w14:paraId="6512C1A9" w14:textId="78967884" w:rsidR="00462EDD" w:rsidRPr="00462EDD" w:rsidRDefault="3C87A00B" w:rsidP="007C28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Nyugdíjbiztosítási Alap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2025. évi költségvetése az ellátási kiadások támogatására 564,5 milliárd forint központi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költségvetési hozzájárulást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tartalmaz.</w:t>
      </w:r>
    </w:p>
    <w:p w14:paraId="1B9C4A3C" w14:textId="19DB75C2" w:rsidR="00462EDD" w:rsidRPr="00462EDD" w:rsidRDefault="3C87A00B" w:rsidP="007C28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 központi költségvetés 77,4 milliárd forintot biztosít az Alap részére pénzeszközátadás útján, míg további 487,1 milliárd forintot – a 13. havi nyugdíj és a nyugdíjprémium fedezeteként – címzett támogatás formájában. A 13. havi nyugdíj és a nyugdíjprémium támogatásának előirányzatai év közben előirányzat-módosítás nélkül túlléphetők.</w:t>
      </w:r>
    </w:p>
    <w:p w14:paraId="2CBF9A93" w14:textId="02C6E571" w:rsidR="19667954" w:rsidRDefault="70631177" w:rsidP="007C28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A Magyar Államkincstár az ellátási kiadások támogatására a Nyugdíjbiztosítási Alap részére 2025. október végéig 64,5 milliárd forint központi támogatást utalt át </w:t>
      </w:r>
      <w:r w:rsidRPr="70631177">
        <w:rPr>
          <w:rFonts w:ascii="Times New Roman" w:eastAsia="Times New Roman" w:hAnsi="Times New Roman" w:cs="Times New Roman"/>
          <w:b/>
          <w:bCs/>
          <w:sz w:val="26"/>
          <w:szCs w:val="26"/>
        </w:rPr>
        <w:t>pénzeszköz-átadás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jogcímen, ami 12,9 milliárd forinttal magasabb az előző év azonos időszakában 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lastRenderedPageBreak/>
        <w:t>nyújtott támogatás összegénél. A pénzeszköz-átadás a Nyugdíjbiztosítási Alap költségvetési egyensúlyának biztosítását szolgálja.</w:t>
      </w:r>
    </w:p>
    <w:p w14:paraId="6BF2F156" w14:textId="4BC83F57" w:rsidR="00A76FE3" w:rsidRDefault="3C87A00B" w:rsidP="007C28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13. havi nyugdíj kifizetésének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támogatására február hónapban 487,1 milliárd forint került átutalásra a Nyugdíjbiztosítási Alap részére, ami 38,1 milliárd forinttal haladja meg az előző év azonos időszakában ugyanezen a jogcímen nyújtott támogatás összegét.</w:t>
      </w:r>
    </w:p>
    <w:p w14:paraId="1E5039D7" w14:textId="17ED3520" w:rsidR="475F3A1A" w:rsidRDefault="00145F79" w:rsidP="005861A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21BC44D" wp14:editId="7356E921">
            <wp:extent cx="5650070" cy="2359078"/>
            <wp:effectExtent l="0" t="0" r="8255" b="3175"/>
            <wp:docPr id="53030645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0645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2800" cy="23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55387" w14:textId="3CC92436" w:rsidR="002F3D61" w:rsidRPr="002F3D61" w:rsidRDefault="002F3D61" w:rsidP="00424EA1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2025-ben a szociális hozzájárulási adó megfizetett összegének 13,04%-a az</w:t>
      </w:r>
      <w:r w:rsidR="000079FD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Egészségbiztosítási Alapot illeti meg. 2025 első tíz hónapjában a </w:t>
      </w:r>
      <w:r w:rsidRPr="002F3D61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szociális hozzájárulási adó Egészségbiztosítási Alapot megillető része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361,7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forintban teljesült, amely 88,8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forinttal 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haladta meg az előző év azonos időszakában befolyt bevételt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. 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424EA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bevétel változása az adóköteles jövedelmek növekedésével és az alapok közötti megoszlási arány változásának együttes hatásával magyarázható.</w:t>
      </w:r>
    </w:p>
    <w:p w14:paraId="3FE220FC" w14:textId="72BBA5AA" w:rsidR="002F3D61" w:rsidRPr="002F3D61" w:rsidRDefault="002F3D61" w:rsidP="00424EA1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A befizetett társadalombiztosítási járulék 37,9%-át az állami adóhatóság az</w:t>
      </w:r>
      <w:r w:rsidR="005C7709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Egészségbiztosítási Alapnak utalja át. 2025. október végéig a </w:t>
      </w:r>
      <w:r w:rsidRPr="002F3D61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társadalombiztosítási járulék Egészségbiztosítási Alapot megillető része és egészségbiztosítási járulék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1674,5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forintban teljesült, </w:t>
      </w:r>
      <w:r w:rsidRPr="002F3D61">
        <w:rPr>
          <w:rFonts w:ascii="Times New Roman" w:eastAsia="Times New Roman" w:hAnsi="Times New Roman" w:cs="Times New Roman"/>
          <w:sz w:val="26"/>
          <w:szCs w:val="26"/>
          <w:lang w:eastAsia="hu-HU"/>
        </w:rPr>
        <w:t>amely az előző év azonos időszakában befolyt bevételt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137,9 milliárd</w:t>
      </w:r>
      <w:r w:rsidRPr="002F3D6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2F3D61">
        <w:rPr>
          <w:rFonts w:ascii="Times New Roman" w:eastAsia="Calibri" w:hAnsi="Times New Roman" w:cs="Times New Roman"/>
          <w:sz w:val="26"/>
          <w:szCs w:val="26"/>
          <w:lang w:eastAsia="hu-HU"/>
        </w:rPr>
        <w:t>forinttal haladta meg. A bevételnövekedés oka a járulékköteles jövedelmek növekedése.</w:t>
      </w:r>
    </w:p>
    <w:p w14:paraId="754C440E" w14:textId="29E63650" w:rsidR="000B410B" w:rsidRDefault="239528D4" w:rsidP="00424EA1">
      <w:pPr>
        <w:jc w:val="both"/>
        <w:rPr>
          <w:rFonts w:ascii="Times New Roman" w:hAnsi="Times New Roman" w:cs="Times New Roman"/>
          <w:sz w:val="26"/>
          <w:szCs w:val="26"/>
        </w:rPr>
      </w:pPr>
      <w:r w:rsidRPr="239528D4">
        <w:rPr>
          <w:rFonts w:ascii="Times New Roman" w:hAnsi="Times New Roman" w:cs="Times New Roman"/>
          <w:sz w:val="26"/>
          <w:szCs w:val="26"/>
        </w:rPr>
        <w:t xml:space="preserve">Az </w:t>
      </w:r>
      <w:r w:rsidRPr="239528D4">
        <w:rPr>
          <w:rFonts w:ascii="Times New Roman" w:hAnsi="Times New Roman" w:cs="Times New Roman"/>
          <w:b/>
          <w:bCs/>
          <w:sz w:val="26"/>
          <w:szCs w:val="26"/>
        </w:rPr>
        <w:t>Egészségbiztosítási Alap költségvetési hozzájárulásai</w:t>
      </w:r>
      <w:r w:rsidRPr="239528D4">
        <w:rPr>
          <w:rFonts w:ascii="Times New Roman" w:hAnsi="Times New Roman" w:cs="Times New Roman"/>
          <w:sz w:val="26"/>
          <w:szCs w:val="26"/>
        </w:rPr>
        <w:t xml:space="preserve"> 2025 első tíz hónapjában összesen 1574,3 milliárd forintot tettek ki, amely 1,5 milliárd forinttal alacsonyabb, mint az előző év azonos időszakában átutalt összeg. 2025. október</w:t>
      </w:r>
      <w:r w:rsidR="008850F9">
        <w:rPr>
          <w:rFonts w:ascii="Times New Roman" w:hAnsi="Times New Roman" w:cs="Times New Roman"/>
          <w:sz w:val="26"/>
          <w:szCs w:val="26"/>
        </w:rPr>
        <w:t> </w:t>
      </w:r>
      <w:r w:rsidRPr="239528D4">
        <w:rPr>
          <w:rFonts w:ascii="Times New Roman" w:hAnsi="Times New Roman" w:cs="Times New Roman"/>
          <w:sz w:val="26"/>
          <w:szCs w:val="26"/>
        </w:rPr>
        <w:t>végéig az Egészségbiztosítási Alap járulék címen átvett pénzeszközként 576,9</w:t>
      </w:r>
      <w:r w:rsidR="00424EA1">
        <w:rPr>
          <w:rFonts w:ascii="Times New Roman" w:hAnsi="Times New Roman" w:cs="Times New Roman"/>
          <w:sz w:val="26"/>
          <w:szCs w:val="26"/>
        </w:rPr>
        <w:t> </w:t>
      </w:r>
      <w:r w:rsidRPr="239528D4">
        <w:rPr>
          <w:rFonts w:ascii="Times New Roman" w:hAnsi="Times New Roman" w:cs="Times New Roman"/>
          <w:sz w:val="26"/>
          <w:szCs w:val="26"/>
        </w:rPr>
        <w:t>milliárd forint támogatást kapott, szemben a tavalyi év azonos időszakában átutalt 544,1</w:t>
      </w:r>
      <w:r w:rsidR="00424EA1">
        <w:rPr>
          <w:rFonts w:ascii="Times New Roman" w:hAnsi="Times New Roman" w:cs="Times New Roman"/>
          <w:sz w:val="26"/>
          <w:szCs w:val="26"/>
        </w:rPr>
        <w:t> </w:t>
      </w:r>
      <w:r w:rsidRPr="239528D4">
        <w:rPr>
          <w:rFonts w:ascii="Times New Roman" w:hAnsi="Times New Roman" w:cs="Times New Roman"/>
          <w:sz w:val="26"/>
          <w:szCs w:val="26"/>
        </w:rPr>
        <w:t>milliárd forint összeggel. Az alap kiadásainak támogatására szolgáló tervezett pénzeszköz-átvétel és az egészségügyi feladatok ellátásával kapcsolatos hozzájárulás együttes összege 2025. október végéig 997,4</w:t>
      </w:r>
      <w:r w:rsidR="00424EA1">
        <w:rPr>
          <w:rFonts w:ascii="Times New Roman" w:hAnsi="Times New Roman" w:cs="Times New Roman"/>
          <w:sz w:val="26"/>
          <w:szCs w:val="26"/>
        </w:rPr>
        <w:t> </w:t>
      </w:r>
      <w:r w:rsidRPr="239528D4">
        <w:rPr>
          <w:rFonts w:ascii="Times New Roman" w:hAnsi="Times New Roman" w:cs="Times New Roman"/>
          <w:sz w:val="26"/>
          <w:szCs w:val="26"/>
        </w:rPr>
        <w:t>milliárd forintot tett ki, amely 34,3</w:t>
      </w:r>
      <w:r w:rsidR="00424EA1">
        <w:rPr>
          <w:rFonts w:ascii="Times New Roman" w:hAnsi="Times New Roman" w:cs="Times New Roman"/>
          <w:sz w:val="26"/>
          <w:szCs w:val="26"/>
        </w:rPr>
        <w:t> </w:t>
      </w:r>
      <w:r w:rsidRPr="239528D4">
        <w:rPr>
          <w:rFonts w:ascii="Times New Roman" w:hAnsi="Times New Roman" w:cs="Times New Roman"/>
          <w:sz w:val="26"/>
          <w:szCs w:val="26"/>
        </w:rPr>
        <w:t>milliárd forinttal elmarad a</w:t>
      </w:r>
      <w:r w:rsidR="00424EA1">
        <w:rPr>
          <w:rFonts w:ascii="Times New Roman" w:hAnsi="Times New Roman" w:cs="Times New Roman"/>
          <w:sz w:val="26"/>
          <w:szCs w:val="26"/>
        </w:rPr>
        <w:t> </w:t>
      </w:r>
      <w:r w:rsidRPr="239528D4">
        <w:rPr>
          <w:rFonts w:ascii="Times New Roman" w:hAnsi="Times New Roman" w:cs="Times New Roman"/>
          <w:sz w:val="26"/>
          <w:szCs w:val="26"/>
        </w:rPr>
        <w:t>tavalyi év ugyanezen időszakában átutalt összegtől.</w:t>
      </w:r>
    </w:p>
    <w:p w14:paraId="7C5F0072" w14:textId="77777777" w:rsidR="000B410B" w:rsidRDefault="000B41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1F08DF7" w14:textId="6FA8B559" w:rsidR="009E34AE" w:rsidRPr="00377D59" w:rsidRDefault="3C87A00B" w:rsidP="3C87A00B">
      <w:pPr>
        <w:keepNext/>
        <w:numPr>
          <w:ilvl w:val="0"/>
          <w:numId w:val="3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lastRenderedPageBreak/>
        <w:t xml:space="preserve">A főbb kiadások </w:t>
      </w:r>
    </w:p>
    <w:p w14:paraId="4C3C3C55" w14:textId="4AB9D0AE" w:rsidR="000B410B" w:rsidRPr="000B410B" w:rsidRDefault="3C87A00B" w:rsidP="000B410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 központi alrendszer </w:t>
      </w:r>
      <w:r w:rsidR="000B410B" w:rsidRP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október végi 36</w:t>
      </w:r>
      <w:r w:rsid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="000B410B" w:rsidRP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269,5 milliárd forint összegű kiadásai 2349,7</w:t>
      </w:r>
      <w:r w:rsidR="00714A8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="000B410B" w:rsidRP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milliárd forinttal, 6,9%-kal haladták meg az előző év azonos időszaki adatát. </w:t>
      </w:r>
    </w:p>
    <w:p w14:paraId="3DE35F92" w14:textId="2232347D" w:rsidR="000B410B" w:rsidRPr="000B410B" w:rsidRDefault="000B410B" w:rsidP="000B410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Magasabban teljesültek az egy évvel korábbihoz képest többek között az állami közlekedési és közüzemi szolgáltatások, a babaváró támogatások, a költségvetési szervek kiadásai, a szakmai fejezeti kezelésű előirányzatok kiadásai, a</w:t>
      </w:r>
      <w:r w:rsidR="000079FD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P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kamatkiadások és a helyi önkormányzatok támogatásai.</w:t>
      </w:r>
    </w:p>
    <w:p w14:paraId="1660E392" w14:textId="4D5E192A" w:rsidR="00F46F72" w:rsidRPr="00AA3374" w:rsidRDefault="000B410B" w:rsidP="000B410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Meghaladták az egy évvel korábbi kifizetést a nyugellátásokra és a gyógyító-megelőző ellátásra fordított összegek is. </w:t>
      </w:r>
      <w:r w:rsidR="00796E0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N</w:t>
      </w:r>
      <w:r w:rsidR="00796E0F" w:rsidRPr="00796E0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yugellátásokra és nyugdíjszerű ellátásokra 6072,0</w:t>
      </w:r>
      <w:r w:rsidR="00796E0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="00796E0F" w:rsidRPr="00796E0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milliárd forint</w:t>
      </w:r>
      <w:r w:rsidRPr="000B41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, míg a gyógyító-megelőző ellátásra 2 413,8 milliárd forint került kifizetésre október végéig</w:t>
      </w:r>
      <w:r w:rsidR="239528D4" w:rsidRPr="239528D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AFDEF8" w14:textId="60958933" w:rsidR="00C35E13" w:rsidRDefault="00145F79" w:rsidP="003415FE">
      <w:pPr>
        <w:pStyle w:val="NormlWeb"/>
        <w:spacing w:after="0" w:afterAutospacing="0"/>
        <w:jc w:val="center"/>
      </w:pPr>
      <w:r>
        <w:rPr>
          <w:noProof/>
        </w:rPr>
        <w:drawing>
          <wp:inline distT="0" distB="0" distL="0" distR="0" wp14:anchorId="63BD6588" wp14:editId="330F489B">
            <wp:extent cx="5900257" cy="2186609"/>
            <wp:effectExtent l="0" t="0" r="5715" b="4445"/>
            <wp:docPr id="167275203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5203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25290" cy="219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63D2" w14:textId="11C25621" w:rsidR="7CA17E0A" w:rsidRPr="00F15899" w:rsidRDefault="713AB4F6" w:rsidP="713AB4F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3AB4F6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3AB4F6">
        <w:rPr>
          <w:rFonts w:ascii="Times New Roman" w:eastAsia="Times New Roman" w:hAnsi="Times New Roman" w:cs="Times New Roman"/>
          <w:b/>
          <w:bCs/>
          <w:sz w:val="26"/>
          <w:szCs w:val="26"/>
        </w:rPr>
        <w:t>úthálózat rendelkezésre állási díjak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 xml:space="preserve"> mérlegsor tartalmazza az M5, M6 autópálya rendelkezésre állási díjak, valamint a </w:t>
      </w:r>
      <w:r w:rsidR="00796E0F">
        <w:rPr>
          <w:rFonts w:ascii="Times New Roman" w:eastAsia="Times New Roman" w:hAnsi="Times New Roman" w:cs="Times New Roman"/>
          <w:sz w:val="26"/>
          <w:szCs w:val="26"/>
        </w:rPr>
        <w:t>g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>yorsforgalmi úthálózat rendelkezésre állási díj előirányzatok kiadásait, amelynek összege 2025. október végéig 492,2 milliárd forint volt, ami 166,</w:t>
      </w:r>
      <w:r w:rsidR="00774838">
        <w:rPr>
          <w:rFonts w:ascii="Times New Roman" w:eastAsia="Times New Roman" w:hAnsi="Times New Roman" w:cs="Times New Roman"/>
          <w:sz w:val="26"/>
          <w:szCs w:val="26"/>
        </w:rPr>
        <w:t>5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> milliárd forinttal magasabban alakult a 2025. év azonos időszakához képest. Az</w:t>
      </w:r>
      <w:r w:rsidR="00D8418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 xml:space="preserve">eltérést egyrészt a 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>gyorsforgalmi úthálózat rendelkezésre állási díjának szerződésből fakadó változása, másrészt egyedi elemként egyes felújítási munkákból és</w:t>
      </w:r>
      <w:r w:rsidR="00D84181" w:rsidRPr="00F158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>nagykarbantartási munkákból történő kifizetése magyarázz</w:t>
      </w:r>
      <w:r w:rsidR="00796E0F" w:rsidRPr="00F15899">
        <w:rPr>
          <w:rFonts w:ascii="Times New Roman" w:eastAsia="Times New Roman" w:hAnsi="Times New Roman" w:cs="Times New Roman"/>
          <w:sz w:val="26"/>
          <w:szCs w:val="26"/>
        </w:rPr>
        <w:t>ák</w:t>
      </w:r>
      <w:r w:rsidR="000E6C1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82A3A7A" w14:textId="5385B854" w:rsidR="1EBF714E" w:rsidRPr="00F15899" w:rsidRDefault="2D9251E6" w:rsidP="2D9251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5899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F15899">
        <w:rPr>
          <w:rFonts w:ascii="Times New Roman" w:eastAsia="Times New Roman" w:hAnsi="Times New Roman" w:cs="Times New Roman"/>
          <w:b/>
          <w:bCs/>
          <w:sz w:val="26"/>
          <w:szCs w:val="26"/>
        </w:rPr>
        <w:t>közösségi közlekedés költségtérítés és támogatás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 xml:space="preserve"> mérlegsor kiadásai 2025. október</w:t>
      </w:r>
      <w:r w:rsidR="00714A81" w:rsidRPr="00F158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>végéig 745,0 milliárd forintot tettek ki, amelyből a szociálpolitikai menetdíj támogatás 138,5 milliárd forint. Az összes kiadás 44,</w:t>
      </w:r>
      <w:r w:rsidR="00774838" w:rsidRPr="00F1589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> milliárd forinttal több, mint</w:t>
      </w:r>
      <w:r w:rsidR="007C2DAD" w:rsidRPr="00F158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>a</w:t>
      </w:r>
      <w:r w:rsidR="00714A81" w:rsidRPr="00F158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>megelőző év azonos időszaki teljesítése, amit részben a kifizetések lehívásának éven belüli időbeli eltérése, részben az új típusú autóbuszos szolgáltatásnak a korábbiaktól eltérő finanszírozási rendszere okoz.</w:t>
      </w:r>
    </w:p>
    <w:p w14:paraId="3B52873E" w14:textId="5C035B65" w:rsidR="008D3E76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közüzemi szolgáltatások támogatása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mérlegsor tartalmazza a lakossági energia rezsivédelmi szolgáltatás, a rezsivédelmi készletezési szolgáltatás és a távhőszolgáltatók kompenzációjával kapcsolatos kiadásokat, valamint a Víziközmű-fejlesztési és Ellentételezési Alap kiadásait is. A közüzemi szolgáltatások támogatására fordított kiadások 2025. október végéig 873,0 milliárd forintot tettek ki. A mérlegsor jelenlegi teljesítése 161,4 milliárd forinttal magasabb, mint a 2024. év azonos időszakában 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lastRenderedPageBreak/>
        <w:t>a közüzemi szolgáltatások teljesítésére fordított 711,6 milliárd forint, amely a Víziközmű-fejlesztési és Ellentételezési Alapból a víziközmű-szolgáltatók részére történt megnövekedett kifizetési igényekből adódott, valamint a lakossági energia rezsivédelmi szolgáltatás esetében a kifizetések eltérő ütemezéséből fakadt.</w:t>
      </w:r>
    </w:p>
    <w:p w14:paraId="79E44A54" w14:textId="4F4EF6E9" w:rsidR="0F03D9E1" w:rsidRDefault="6FEFD563" w:rsidP="6FEFD56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FEFD56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Lakástámogatásokra </w:t>
      </w:r>
      <w:r w:rsidRPr="6FEFD563">
        <w:rPr>
          <w:rFonts w:ascii="Times New Roman" w:eastAsia="Times New Roman" w:hAnsi="Times New Roman" w:cs="Times New Roman"/>
          <w:sz w:val="26"/>
          <w:szCs w:val="26"/>
        </w:rPr>
        <w:t>fordított kiadások összege október végéig 152,6 milliárd forint volt, mely az előző év azonos időszakához viszonyítva 12,</w:t>
      </w:r>
      <w:r w:rsidR="00774838">
        <w:rPr>
          <w:rFonts w:ascii="Times New Roman" w:eastAsia="Times New Roman" w:hAnsi="Times New Roman" w:cs="Times New Roman"/>
          <w:sz w:val="26"/>
          <w:szCs w:val="26"/>
        </w:rPr>
        <w:t>8</w:t>
      </w:r>
      <w:r w:rsidRPr="6FEFD563">
        <w:rPr>
          <w:rFonts w:ascii="Times New Roman" w:eastAsia="Times New Roman" w:hAnsi="Times New Roman" w:cs="Times New Roman"/>
          <w:sz w:val="26"/>
          <w:szCs w:val="26"/>
        </w:rPr>
        <w:t> milliárd forinttal teljesült magasabban.</w:t>
      </w:r>
    </w:p>
    <w:p w14:paraId="33223970" w14:textId="25DDB887" w:rsidR="0F03D9E1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Nemzeti Család- és Szociálpolitikai Alap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a családi támogatásokat, a korhatár alatti ellátásokat, a jövedelempótló és jövedelemkiegészítő szociális támogatásokat, valamint a különféle jogcímen adott térítéseket tartalmazza. A főbb támogatásokat a következő táblázat részletezi:</w:t>
      </w:r>
    </w:p>
    <w:p w14:paraId="46398944" w14:textId="2D482933" w:rsidR="00621840" w:rsidRDefault="3C87A00B" w:rsidP="00145F79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3C87A00B">
        <w:rPr>
          <w:rFonts w:ascii="Times New Roman" w:hAnsi="Times New Roman" w:cs="Times New Roman"/>
          <w:b/>
          <w:bCs/>
          <w:color w:val="000000" w:themeColor="text1"/>
        </w:rPr>
        <w:t>A Nemzeti Család- és Szociálpolitikai Alap kiadásainak alakulása (milliárd forint)</w:t>
      </w:r>
    </w:p>
    <w:tbl>
      <w:tblPr>
        <w:tblW w:w="92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944"/>
        <w:gridCol w:w="930"/>
        <w:gridCol w:w="911"/>
        <w:gridCol w:w="733"/>
      </w:tblGrid>
      <w:tr w:rsidR="002E70D5" w:rsidRPr="002E70D5" w14:paraId="39BECF1A" w14:textId="77777777" w:rsidTr="00F15899">
        <w:trPr>
          <w:trHeight w:val="280"/>
        </w:trPr>
        <w:tc>
          <w:tcPr>
            <w:tcW w:w="572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1CB091D6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Megnevezés</w:t>
            </w:r>
          </w:p>
        </w:tc>
        <w:tc>
          <w:tcPr>
            <w:tcW w:w="944" w:type="dxa"/>
            <w:vMerge w:val="restart"/>
            <w:shd w:val="clear" w:color="auto" w:fill="BDD6EE" w:themeFill="accent1" w:themeFillTint="66"/>
            <w:vAlign w:val="center"/>
            <w:hideMark/>
          </w:tcPr>
          <w:p w14:paraId="3CD792E3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2024.</w:t>
            </w:r>
            <w:r w:rsidR="002E70D5">
              <w:br/>
            </w: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I-X. hó</w:t>
            </w:r>
          </w:p>
        </w:tc>
        <w:tc>
          <w:tcPr>
            <w:tcW w:w="930" w:type="dxa"/>
            <w:vMerge w:val="restart"/>
            <w:shd w:val="clear" w:color="auto" w:fill="BDD6EE" w:themeFill="accent1" w:themeFillTint="66"/>
            <w:vAlign w:val="center"/>
            <w:hideMark/>
          </w:tcPr>
          <w:p w14:paraId="352AE7A1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2025.</w:t>
            </w:r>
            <w:r w:rsidR="002E70D5">
              <w:br/>
            </w: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I-X. hó</w:t>
            </w:r>
          </w:p>
        </w:tc>
        <w:tc>
          <w:tcPr>
            <w:tcW w:w="1644" w:type="dxa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4A04EB2C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Eltérés</w:t>
            </w:r>
          </w:p>
        </w:tc>
      </w:tr>
      <w:tr w:rsidR="002E70D5" w:rsidRPr="002E70D5" w14:paraId="6BE2994C" w14:textId="77777777" w:rsidTr="00F15899">
        <w:trPr>
          <w:trHeight w:val="553"/>
        </w:trPr>
        <w:tc>
          <w:tcPr>
            <w:tcW w:w="5720" w:type="dxa"/>
            <w:vMerge/>
            <w:shd w:val="clear" w:color="auto" w:fill="BDD6EE" w:themeFill="accent1" w:themeFillTint="66"/>
            <w:vAlign w:val="center"/>
            <w:hideMark/>
          </w:tcPr>
          <w:p w14:paraId="681BE34C" w14:textId="77777777" w:rsidR="002E70D5" w:rsidRPr="002E70D5" w:rsidRDefault="002E70D5" w:rsidP="00554C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4" w:type="dxa"/>
            <w:vMerge/>
            <w:shd w:val="clear" w:color="auto" w:fill="BDD6EE" w:themeFill="accent1" w:themeFillTint="66"/>
            <w:vAlign w:val="center"/>
            <w:hideMark/>
          </w:tcPr>
          <w:p w14:paraId="10EBC60F" w14:textId="77777777" w:rsidR="002E70D5" w:rsidRPr="002E70D5" w:rsidRDefault="002E70D5" w:rsidP="00554C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0" w:type="dxa"/>
            <w:vMerge/>
            <w:shd w:val="clear" w:color="auto" w:fill="BDD6EE" w:themeFill="accent1" w:themeFillTint="66"/>
            <w:vAlign w:val="center"/>
            <w:hideMark/>
          </w:tcPr>
          <w:p w14:paraId="4019F30F" w14:textId="77777777" w:rsidR="002E70D5" w:rsidRPr="002E70D5" w:rsidRDefault="002E70D5" w:rsidP="00554C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1" w:type="dxa"/>
            <w:shd w:val="clear" w:color="auto" w:fill="BDD6EE" w:themeFill="accent1" w:themeFillTint="66"/>
            <w:noWrap/>
            <w:vAlign w:val="center"/>
            <w:hideMark/>
          </w:tcPr>
          <w:p w14:paraId="3E8E5679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Mrd Ft</w:t>
            </w:r>
          </w:p>
        </w:tc>
        <w:tc>
          <w:tcPr>
            <w:tcW w:w="733" w:type="dxa"/>
            <w:shd w:val="clear" w:color="auto" w:fill="BDD6EE" w:themeFill="accent1" w:themeFillTint="66"/>
            <w:noWrap/>
            <w:vAlign w:val="center"/>
            <w:hideMark/>
          </w:tcPr>
          <w:p w14:paraId="7598397E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</w:t>
            </w:r>
          </w:p>
        </w:tc>
      </w:tr>
      <w:tr w:rsidR="002E70D5" w:rsidRPr="002E70D5" w14:paraId="79BDD8E7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6F1FE2A1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Családi támogatások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35463B97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342,3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268E87E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326,6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DAC2567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-15,7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0023D563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95,4</w:t>
            </w:r>
          </w:p>
        </w:tc>
      </w:tr>
      <w:tr w:rsidR="002E70D5" w:rsidRPr="002E70D5" w14:paraId="5AF1064F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033720FE" w14:textId="77777777" w:rsidR="002E70D5" w:rsidRPr="002E70D5" w:rsidRDefault="3C87A00B" w:rsidP="3C87A00B">
            <w:pPr>
              <w:spacing w:after="0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Ebből: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74F9509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B94AF8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21ED1B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635F529C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E70D5" w:rsidRPr="002E70D5" w14:paraId="189AA6D7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6B8BE428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családi pótlék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70BCBC1A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3892F1A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251,6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0E0C374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9B6E5C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2E70D5" w:rsidRPr="002E70D5" w14:paraId="5E22A8DD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7FFF56E0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anyasági támogatás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01B4C83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F727F3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68622AA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2ECB683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2E70D5" w:rsidRPr="002E70D5" w14:paraId="660813D3" w14:textId="77777777" w:rsidTr="00F15899">
        <w:trPr>
          <w:trHeight w:val="218"/>
        </w:trPr>
        <w:tc>
          <w:tcPr>
            <w:tcW w:w="5720" w:type="dxa"/>
            <w:shd w:val="clear" w:color="auto" w:fill="auto"/>
            <w:vAlign w:val="center"/>
            <w:hideMark/>
          </w:tcPr>
          <w:p w14:paraId="72B507FD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gyermekgondozást segítő ellátás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26006FB8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9CAB497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07F0162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365089B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2E70D5" w:rsidRPr="002E70D5" w14:paraId="54D4B8EA" w14:textId="77777777" w:rsidTr="00F15899">
        <w:trPr>
          <w:trHeight w:val="218"/>
        </w:trPr>
        <w:tc>
          <w:tcPr>
            <w:tcW w:w="5720" w:type="dxa"/>
            <w:shd w:val="clear" w:color="auto" w:fill="auto"/>
            <w:vAlign w:val="center"/>
            <w:hideMark/>
          </w:tcPr>
          <w:p w14:paraId="5EED669C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gyermeknevelési támogatás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54864A2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ED7D86B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9964C52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5FAE29F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2E70D5" w:rsidRPr="002E70D5" w14:paraId="0932D838" w14:textId="77777777" w:rsidTr="00F15899">
        <w:trPr>
          <w:trHeight w:val="218"/>
        </w:trPr>
        <w:tc>
          <w:tcPr>
            <w:tcW w:w="5720" w:type="dxa"/>
            <w:shd w:val="clear" w:color="auto" w:fill="auto"/>
            <w:vAlign w:val="center"/>
            <w:hideMark/>
          </w:tcPr>
          <w:p w14:paraId="7FC6C9F6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gyermekek születésével kapcsolatos szabadság megtérítése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083EE43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FC609F0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B7834F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6D9506C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</w:tr>
      <w:tr w:rsidR="002E70D5" w:rsidRPr="002E70D5" w14:paraId="5C1FD170" w14:textId="77777777" w:rsidTr="00F15899">
        <w:trPr>
          <w:trHeight w:val="218"/>
        </w:trPr>
        <w:tc>
          <w:tcPr>
            <w:tcW w:w="5720" w:type="dxa"/>
            <w:shd w:val="clear" w:color="auto" w:fill="auto"/>
            <w:vAlign w:val="center"/>
            <w:hideMark/>
          </w:tcPr>
          <w:p w14:paraId="7E9D85A0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életkezdési támogatás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7C1C4E8C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4FE41C6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92E3EF2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-12,8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4E31809C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</w:tr>
      <w:tr w:rsidR="002E70D5" w:rsidRPr="002E70D5" w14:paraId="5B535E4D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4BB29DB0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Korhatár alatti ellátások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1E584746" w14:textId="0F01507D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</w:t>
            </w:r>
            <w:r w:rsidR="00774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BB31635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067B78F" w14:textId="0FFA1CA8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-4,</w:t>
            </w:r>
            <w:r w:rsidR="00774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05F9CDA8" w14:textId="5937F9B3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74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</w:tr>
      <w:tr w:rsidR="002E70D5" w:rsidRPr="002E70D5" w14:paraId="2D6D4FB3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285599A0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Jövedelempótló és jövedelemkiegészítő szociális támogatások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76F346F2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180,4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DF5981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195,5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1D98773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15,1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12E0472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108,4</w:t>
            </w:r>
          </w:p>
        </w:tc>
      </w:tr>
      <w:tr w:rsidR="002E70D5" w:rsidRPr="002E70D5" w14:paraId="2F68BD6E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55975F0B" w14:textId="77777777" w:rsidR="002E70D5" w:rsidRPr="002E70D5" w:rsidRDefault="3C87A00B" w:rsidP="3C87A00B">
            <w:pPr>
              <w:spacing w:after="0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Ebből: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2B25FABF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B112B6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CBA18B6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A52A3F4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E70D5" w:rsidRPr="002E70D5" w14:paraId="0E61B6E0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center"/>
            <w:hideMark/>
          </w:tcPr>
          <w:p w14:paraId="6037ED1E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Jövedelempótló és jövedelemkiegészítő ellátások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5C906EAA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BF256A3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AF26DC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16943FB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  <w:tr w:rsidR="002E70D5" w:rsidRPr="002E70D5" w14:paraId="4BD7171B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center"/>
            <w:hideMark/>
          </w:tcPr>
          <w:p w14:paraId="55B155D0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Járási szociális feladatok ellátása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0F35ED60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2E0231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BADF695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2BD95678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</w:tr>
      <w:tr w:rsidR="002E70D5" w:rsidRPr="002E70D5" w14:paraId="5D884F8B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159E34A9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Különféle jogcímen adott térítések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715706AA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19,7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2A7AEB4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5E60E7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45C6250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96,4</w:t>
            </w:r>
          </w:p>
        </w:tc>
      </w:tr>
      <w:tr w:rsidR="002E70D5" w:rsidRPr="002E70D5" w14:paraId="1F6A3088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51606FF2" w14:textId="77777777" w:rsidR="002E70D5" w:rsidRPr="002E70D5" w:rsidRDefault="3C87A00B" w:rsidP="3C87A00B">
            <w:pPr>
              <w:spacing w:after="0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Ebből: 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7BB378B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F2A2014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E1D69D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49716CD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E70D5" w:rsidRPr="002E70D5" w14:paraId="084817F6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47D48781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közgyógyellátás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3F5F3F3F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440A367E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6D95B1C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6B892B1E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2E70D5" w:rsidRPr="002E70D5" w14:paraId="4A95CF06" w14:textId="77777777" w:rsidTr="00F15899">
        <w:trPr>
          <w:trHeight w:val="218"/>
        </w:trPr>
        <w:tc>
          <w:tcPr>
            <w:tcW w:w="5720" w:type="dxa"/>
            <w:shd w:val="clear" w:color="auto" w:fill="auto"/>
            <w:noWrap/>
            <w:vAlign w:val="bottom"/>
            <w:hideMark/>
          </w:tcPr>
          <w:p w14:paraId="50CBE7CC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Összesen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39885620" w14:textId="2E11D681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648,</w:t>
            </w:r>
            <w:r w:rsidR="00774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E5CDB5F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642,6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B58ABDF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-5,6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63C6541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99,1</w:t>
            </w:r>
          </w:p>
        </w:tc>
      </w:tr>
    </w:tbl>
    <w:p w14:paraId="0AB34004" w14:textId="27C5139D" w:rsidR="002E70D5" w:rsidRPr="00FD1735" w:rsidRDefault="3C87A00B" w:rsidP="00145F79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3C87A00B">
        <w:rPr>
          <w:rFonts w:ascii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hAnsi="Times New Roman" w:cs="Times New Roman"/>
          <w:b/>
          <w:bCs/>
          <w:sz w:val="26"/>
          <w:szCs w:val="26"/>
        </w:rPr>
        <w:t>családi támogatásokra</w:t>
      </w:r>
      <w:r w:rsidRPr="3C87A00B">
        <w:rPr>
          <w:rFonts w:ascii="Times New Roman" w:hAnsi="Times New Roman" w:cs="Times New Roman"/>
          <w:sz w:val="26"/>
          <w:szCs w:val="26"/>
        </w:rPr>
        <w:t xml:space="preserve"> 2025 első tíz hónapjában összesen 326,6 milliárd forintot fizettek ki, amely 15,7 milliárd forinttal volt alacsonyabb az előző évi teljesítésnél. Az</w:t>
      </w:r>
      <w:r w:rsidR="00145F79">
        <w:rPr>
          <w:rFonts w:ascii="Times New Roman" w:hAnsi="Times New Roman" w:cs="Times New Roman"/>
          <w:sz w:val="26"/>
          <w:szCs w:val="26"/>
        </w:rPr>
        <w:t> </w:t>
      </w:r>
      <w:r w:rsidRPr="3C87A00B">
        <w:rPr>
          <w:rFonts w:ascii="Times New Roman" w:hAnsi="Times New Roman" w:cs="Times New Roman"/>
          <w:sz w:val="26"/>
          <w:szCs w:val="26"/>
        </w:rPr>
        <w:t>eltérés elsősorban a Családi támogatások jogcím csoporthoz tartozó Életkezdési támogatás előirányzat kiadásai csökkenésének következménye, ami 12,8 milliárd forinttal volt alacsonyabb előző év azonos időszakához képest. Ennek oka, hogy 2025-ben az</w:t>
      </w:r>
      <w:r w:rsidR="00AA3982">
        <w:rPr>
          <w:rFonts w:ascii="Times New Roman" w:hAnsi="Times New Roman" w:cs="Times New Roman"/>
          <w:sz w:val="26"/>
          <w:szCs w:val="26"/>
        </w:rPr>
        <w:t> </w:t>
      </w:r>
      <w:r w:rsidRPr="3C87A00B">
        <w:rPr>
          <w:rFonts w:ascii="Times New Roman" w:hAnsi="Times New Roman" w:cs="Times New Roman"/>
          <w:sz w:val="26"/>
          <w:szCs w:val="26"/>
        </w:rPr>
        <w:t>életkezdési letéti számlákon nyilvántartott követelés összegére tekintettel fizetett kamat mértéke 3,7% volt (a 2024. évi infláció mértékének megfelelően), ami jelentősen alacsonyabb a 2024-ben fizetett kamat mértékénél (17,6%).</w:t>
      </w:r>
    </w:p>
    <w:p w14:paraId="068C66BC" w14:textId="77777777" w:rsidR="00145F79" w:rsidRDefault="00145F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9AB9D1E" w14:textId="4F7B0CB9" w:rsidR="002E70D5" w:rsidRPr="00FD1735" w:rsidRDefault="3C87A00B" w:rsidP="3C87A00B">
      <w:pPr>
        <w:jc w:val="both"/>
        <w:rPr>
          <w:rFonts w:ascii="Times New Roman" w:hAnsi="Times New Roman" w:cs="Times New Roman"/>
          <w:sz w:val="26"/>
          <w:szCs w:val="26"/>
        </w:rPr>
      </w:pPr>
      <w:r w:rsidRPr="3C87A00B">
        <w:rPr>
          <w:rFonts w:ascii="Times New Roman" w:hAnsi="Times New Roman" w:cs="Times New Roman"/>
          <w:sz w:val="26"/>
          <w:szCs w:val="26"/>
        </w:rPr>
        <w:lastRenderedPageBreak/>
        <w:t xml:space="preserve">A </w:t>
      </w:r>
      <w:r w:rsidRPr="3C87A00B">
        <w:rPr>
          <w:rFonts w:ascii="Times New Roman" w:hAnsi="Times New Roman" w:cs="Times New Roman"/>
          <w:b/>
          <w:bCs/>
          <w:sz w:val="26"/>
          <w:szCs w:val="26"/>
        </w:rPr>
        <w:t>korhatár alatti ellátások</w:t>
      </w:r>
      <w:r w:rsidRPr="3C87A00B">
        <w:rPr>
          <w:rFonts w:ascii="Times New Roman" w:hAnsi="Times New Roman" w:cs="Times New Roman"/>
          <w:sz w:val="26"/>
          <w:szCs w:val="26"/>
        </w:rPr>
        <w:t xml:space="preserve"> esetében a kiadás 4,</w:t>
      </w:r>
      <w:r w:rsidR="00DE76D5">
        <w:rPr>
          <w:rFonts w:ascii="Times New Roman" w:hAnsi="Times New Roman" w:cs="Times New Roman"/>
          <w:sz w:val="26"/>
          <w:szCs w:val="26"/>
        </w:rPr>
        <w:t>2 </w:t>
      </w:r>
      <w:r w:rsidRPr="3C87A00B">
        <w:rPr>
          <w:rFonts w:ascii="Times New Roman" w:hAnsi="Times New Roman" w:cs="Times New Roman"/>
          <w:sz w:val="26"/>
          <w:szCs w:val="26"/>
        </w:rPr>
        <w:t>milliárd forinttal alacsonyabb volt az előző év azonos időszakához képest. A csökkenést az okozza, hogy a jogosultak elérik az öregségi nyugdíjkorhatárt, és nyugellátásra válnak jogosulttá, létszámuk folyamatosan csökken. Januárban sor került az ellátások 3,2%-os emelésére is, valamint a 13. havi nyugdíjhoz hasonlóan februárban a korhatár előtti ellátásban részesülő személyek is részesültek 13. havi ellátásban.</w:t>
      </w:r>
    </w:p>
    <w:p w14:paraId="67B73C32" w14:textId="77777777" w:rsidR="002E70D5" w:rsidRPr="00FD1735" w:rsidRDefault="3C87A00B" w:rsidP="3C87A00B">
      <w:pPr>
        <w:jc w:val="both"/>
        <w:rPr>
          <w:rFonts w:ascii="Times New Roman" w:hAnsi="Times New Roman" w:cs="Times New Roman"/>
          <w:sz w:val="26"/>
          <w:szCs w:val="26"/>
        </w:rPr>
      </w:pPr>
      <w:r w:rsidRPr="3C87A00B">
        <w:rPr>
          <w:rFonts w:ascii="Times New Roman" w:hAnsi="Times New Roman" w:cs="Times New Roman"/>
          <w:sz w:val="26"/>
          <w:szCs w:val="26"/>
        </w:rPr>
        <w:t xml:space="preserve">2025 októberéig a </w:t>
      </w:r>
      <w:r w:rsidRPr="00490676">
        <w:rPr>
          <w:rFonts w:ascii="Times New Roman" w:hAnsi="Times New Roman" w:cs="Times New Roman"/>
          <w:b/>
          <w:bCs/>
          <w:sz w:val="26"/>
          <w:szCs w:val="26"/>
        </w:rPr>
        <w:t>jövedelempótló és jövedelemkiegészítő szociális támogatásokra biztosított kiadásokon</w:t>
      </w:r>
      <w:r w:rsidRPr="3C87A00B">
        <w:rPr>
          <w:rFonts w:ascii="Times New Roman" w:hAnsi="Times New Roman" w:cs="Times New Roman"/>
          <w:sz w:val="26"/>
          <w:szCs w:val="26"/>
        </w:rPr>
        <w:t xml:space="preserve"> belül a </w:t>
      </w:r>
      <w:r w:rsidRPr="00490676">
        <w:rPr>
          <w:rFonts w:ascii="Times New Roman" w:hAnsi="Times New Roman" w:cs="Times New Roman"/>
          <w:sz w:val="26"/>
          <w:szCs w:val="26"/>
        </w:rPr>
        <w:t>járási szociális feladatok</w:t>
      </w:r>
      <w:r w:rsidRPr="3C87A00B">
        <w:rPr>
          <w:rFonts w:ascii="Times New Roman" w:hAnsi="Times New Roman" w:cs="Times New Roman"/>
          <w:sz w:val="26"/>
          <w:szCs w:val="26"/>
        </w:rPr>
        <w:t xml:space="preserve"> ellátására (gyermekek otthongondozási díja, ápolási díj, időskorúak járadéka, foglalkoztatást helyettesítő támogatás, egészségkárosodási és gyermekfelügyeleti támogatás) 129,0 milliárd forintot fordítottak, mely 14,7 milliárd forinttal magasabb az előző évi adatnál. A növekedést elsődlegesen az okozza, hogy 2025. januártól a gyermekek otthongondozási díjának összege a minimálbér emelkedése miatt (266 800 forintról 290 800 forintra) emelkedett, az ápolási díj összege pedig 3,2%-kal nőtt, és folyamatosan emelkedik a gyermekek otthongondozási díjára jogosultak létszáma is.</w:t>
      </w:r>
    </w:p>
    <w:p w14:paraId="7B8D421F" w14:textId="10C39724" w:rsidR="002E70D5" w:rsidRPr="00FD1735" w:rsidRDefault="3C87A00B" w:rsidP="3C87A00B">
      <w:pPr>
        <w:jc w:val="both"/>
        <w:rPr>
          <w:rFonts w:ascii="Times New Roman" w:hAnsi="Times New Roman" w:cs="Times New Roman"/>
          <w:sz w:val="26"/>
          <w:szCs w:val="26"/>
        </w:rPr>
      </w:pPr>
      <w:r w:rsidRPr="3C87A00B">
        <w:rPr>
          <w:rFonts w:ascii="Times New Roman" w:hAnsi="Times New Roman" w:cs="Times New Roman"/>
          <w:sz w:val="26"/>
          <w:szCs w:val="26"/>
        </w:rPr>
        <w:t xml:space="preserve">A </w:t>
      </w:r>
      <w:r w:rsidRPr="00490676">
        <w:rPr>
          <w:rFonts w:ascii="Times New Roman" w:hAnsi="Times New Roman" w:cs="Times New Roman"/>
          <w:sz w:val="26"/>
          <w:szCs w:val="26"/>
        </w:rPr>
        <w:t>Jövedelempótló és jövedelemkiegészítő ellátások</w:t>
      </w:r>
      <w:r w:rsidRPr="3C87A00B">
        <w:rPr>
          <w:rFonts w:ascii="Times New Roman" w:hAnsi="Times New Roman" w:cs="Times New Roman"/>
          <w:sz w:val="26"/>
          <w:szCs w:val="26"/>
        </w:rPr>
        <w:t xml:space="preserve"> előirányzat tartalmazza a</w:t>
      </w:r>
      <w:r w:rsidR="00490676">
        <w:rPr>
          <w:rFonts w:ascii="Times New Roman" w:hAnsi="Times New Roman" w:cs="Times New Roman"/>
          <w:sz w:val="26"/>
          <w:szCs w:val="26"/>
        </w:rPr>
        <w:t> </w:t>
      </w:r>
      <w:r w:rsidRPr="3C87A00B">
        <w:rPr>
          <w:rFonts w:ascii="Times New Roman" w:hAnsi="Times New Roman" w:cs="Times New Roman"/>
          <w:sz w:val="26"/>
          <w:szCs w:val="26"/>
        </w:rPr>
        <w:t>fogyatékossági támogatás, a vakok személyi járadéka, az átmeneti bányászjáradék és</w:t>
      </w:r>
      <w:r w:rsidR="00490676">
        <w:rPr>
          <w:rFonts w:ascii="Times New Roman" w:hAnsi="Times New Roman" w:cs="Times New Roman"/>
          <w:sz w:val="26"/>
          <w:szCs w:val="26"/>
        </w:rPr>
        <w:t> </w:t>
      </w:r>
      <w:r w:rsidRPr="3C87A00B">
        <w:rPr>
          <w:rFonts w:ascii="Times New Roman" w:hAnsi="Times New Roman" w:cs="Times New Roman"/>
          <w:sz w:val="26"/>
          <w:szCs w:val="26"/>
        </w:rPr>
        <w:t>számos további, jellemzően kifutó jellegű ellátás (pl. mezőgazdasági járadék, politikai rehabilitációs és más nyugdíj-kiegészítések, házastársi pótlék) forrását. A jövedelempótló és jövedelemkiegészítő ellátásokra 66,5 milliárd forintot fizettek ki, mely az előző évi kifizetésnél 0,4 milliárd forinttal magasabb. A kiadások növekedését egyes ellátások januárban végrehajtott 3,2%-os emelésének, valamint a 2025.</w:t>
      </w:r>
      <w:r w:rsidR="00F101F8">
        <w:rPr>
          <w:rFonts w:ascii="Times New Roman" w:hAnsi="Times New Roman" w:cs="Times New Roman"/>
          <w:sz w:val="26"/>
          <w:szCs w:val="26"/>
        </w:rPr>
        <w:t> </w:t>
      </w:r>
      <w:r w:rsidRPr="3C87A00B">
        <w:rPr>
          <w:rFonts w:ascii="Times New Roman" w:hAnsi="Times New Roman" w:cs="Times New Roman"/>
          <w:sz w:val="26"/>
          <w:szCs w:val="26"/>
        </w:rPr>
        <w:t>februárjában kifizetett 13.</w:t>
      </w:r>
      <w:r w:rsidR="00490676">
        <w:rPr>
          <w:rFonts w:ascii="Times New Roman" w:hAnsi="Times New Roman" w:cs="Times New Roman"/>
          <w:sz w:val="26"/>
          <w:szCs w:val="26"/>
        </w:rPr>
        <w:t> </w:t>
      </w:r>
      <w:r w:rsidRPr="3C87A00B">
        <w:rPr>
          <w:rFonts w:ascii="Times New Roman" w:hAnsi="Times New Roman" w:cs="Times New Roman"/>
          <w:sz w:val="26"/>
          <w:szCs w:val="26"/>
        </w:rPr>
        <w:t>havi ellátásnak a hatása okozza, amit a jogosultak létszámának csökkenése részben ellensúlyoz.</w:t>
      </w:r>
    </w:p>
    <w:p w14:paraId="752E980B" w14:textId="54EBF00B" w:rsidR="002E70D5" w:rsidRPr="00FD1735" w:rsidRDefault="3C87A00B" w:rsidP="3C87A00B">
      <w:pPr>
        <w:jc w:val="both"/>
        <w:rPr>
          <w:rFonts w:ascii="Times New Roman" w:hAnsi="Times New Roman" w:cs="Times New Roman"/>
          <w:sz w:val="26"/>
          <w:szCs w:val="26"/>
        </w:rPr>
      </w:pPr>
      <w:r w:rsidRPr="3C87A00B">
        <w:rPr>
          <w:rFonts w:ascii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hAnsi="Times New Roman" w:cs="Times New Roman"/>
          <w:b/>
          <w:bCs/>
          <w:sz w:val="26"/>
          <w:szCs w:val="26"/>
        </w:rPr>
        <w:t>különféle jogcímen adott térítések</w:t>
      </w:r>
      <w:r w:rsidRPr="3C87A00B">
        <w:rPr>
          <w:rFonts w:ascii="Times New Roman" w:hAnsi="Times New Roman" w:cs="Times New Roman"/>
          <w:sz w:val="26"/>
          <w:szCs w:val="26"/>
        </w:rPr>
        <w:t xml:space="preserve"> 2025</w:t>
      </w:r>
      <w:r w:rsidR="00490676">
        <w:rPr>
          <w:rFonts w:ascii="Times New Roman" w:hAnsi="Times New Roman" w:cs="Times New Roman"/>
          <w:sz w:val="26"/>
          <w:szCs w:val="26"/>
        </w:rPr>
        <w:t>.</w:t>
      </w:r>
      <w:r w:rsidRPr="3C87A00B">
        <w:rPr>
          <w:rFonts w:ascii="Times New Roman" w:hAnsi="Times New Roman" w:cs="Times New Roman"/>
          <w:sz w:val="26"/>
          <w:szCs w:val="26"/>
        </w:rPr>
        <w:t xml:space="preserve"> októberi összege 0,7 milliárd forinttal alacsonyabb volt, mint az előző év azonos időszakában. A térítéseken belül a legnagyobb összeget, 12,4 milliárd forintot a közgyógyellátásra fizették ki.</w:t>
      </w:r>
    </w:p>
    <w:p w14:paraId="2BBDBEB3" w14:textId="176FB308" w:rsidR="0032261D" w:rsidRPr="005C3ECD" w:rsidRDefault="239528D4" w:rsidP="239528D4">
      <w:pPr>
        <w:pStyle w:val="NormlWeb"/>
        <w:spacing w:before="0" w:beforeAutospacing="0" w:after="160" w:afterAutospacing="0" w:line="259" w:lineRule="auto"/>
        <w:jc w:val="both"/>
        <w:rPr>
          <w:sz w:val="26"/>
          <w:szCs w:val="26"/>
        </w:rPr>
      </w:pPr>
      <w:r w:rsidRPr="239528D4">
        <w:rPr>
          <w:sz w:val="26"/>
          <w:szCs w:val="26"/>
        </w:rPr>
        <w:t xml:space="preserve">A </w:t>
      </w:r>
      <w:r w:rsidRPr="239528D4">
        <w:rPr>
          <w:b/>
          <w:bCs/>
          <w:sz w:val="26"/>
          <w:szCs w:val="26"/>
        </w:rPr>
        <w:t>babaváró támogatásokra</w:t>
      </w:r>
      <w:r w:rsidRPr="239528D4">
        <w:rPr>
          <w:sz w:val="26"/>
          <w:szCs w:val="26"/>
        </w:rPr>
        <w:t xml:space="preserve"> fordított kiadások összege október végéig 198,0 milliárd forintot tett ki, amely a törvényi előirányzat 78,7%-ának felel meg, és a 2024. év azonos időszakához viszonyítva 26,7 milliárd forinttal teljesült magasabban.</w:t>
      </w:r>
    </w:p>
    <w:p w14:paraId="75EFF307" w14:textId="2FB2EB40" w:rsidR="00B3244C" w:rsidRDefault="3C87A00B" w:rsidP="3C87A00B">
      <w:pPr>
        <w:pStyle w:val="NormlWeb"/>
        <w:spacing w:before="0" w:beforeAutospacing="0" w:after="160" w:afterAutospacing="0" w:line="259" w:lineRule="auto"/>
        <w:jc w:val="both"/>
        <w:rPr>
          <w:sz w:val="26"/>
          <w:szCs w:val="26"/>
        </w:rPr>
      </w:pPr>
      <w:bookmarkStart w:id="0" w:name="_Hlk202786542"/>
      <w:r w:rsidRPr="3C87A00B">
        <w:rPr>
          <w:sz w:val="26"/>
          <w:szCs w:val="26"/>
        </w:rPr>
        <w:t xml:space="preserve">A </w:t>
      </w:r>
      <w:r w:rsidRPr="3C87A00B">
        <w:rPr>
          <w:b/>
          <w:bCs/>
          <w:sz w:val="26"/>
          <w:szCs w:val="26"/>
        </w:rPr>
        <w:t>helyi önkormányzatok</w:t>
      </w:r>
      <w:r w:rsidRPr="3C87A00B">
        <w:rPr>
          <w:sz w:val="26"/>
          <w:szCs w:val="26"/>
        </w:rPr>
        <w:t xml:space="preserve"> 2025. évi feladataihoz a hatályos költségvetési törvény alapján 1305,7 milliárd forint állami támogatás került megállapításra. Az október havi tényadat alapján 1146,4 milliárd forint kifizetés történt, ami az eredeti előirányzat 87,8%-át teszi ki. Az előző év azonos időszakához viszonyított 107,1 milliárd forint (10,3%-os) növekedés főként a tanárok és polgármesterek béremeléséből, valamint a szociális ágazat idei előirányzatának törvényi emeléséből fakad. A jelentősebb tételek alakulását a következő táblázat mutatja:</w:t>
      </w:r>
      <w:r w:rsidR="6D17EF1F" w:rsidRPr="3C87A00B">
        <w:rPr>
          <w:sz w:val="26"/>
          <w:szCs w:val="26"/>
        </w:rPr>
        <w:br w:type="page"/>
      </w:r>
    </w:p>
    <w:p w14:paraId="2723D8B3" w14:textId="34B7D713" w:rsidR="00C24948" w:rsidRPr="00F15899" w:rsidRDefault="3C87A00B" w:rsidP="3C87A00B">
      <w:pPr>
        <w:pStyle w:val="NormlWeb"/>
        <w:spacing w:before="0" w:beforeAutospacing="0" w:after="160" w:afterAutospacing="0" w:line="259" w:lineRule="auto"/>
        <w:jc w:val="center"/>
      </w:pPr>
      <w:r w:rsidRPr="00F15899">
        <w:rPr>
          <w:b/>
          <w:bCs/>
        </w:rPr>
        <w:lastRenderedPageBreak/>
        <w:t>A helyi önkormányzatok támogatásának alakulása (milliárd forint)</w:t>
      </w:r>
    </w:p>
    <w:tbl>
      <w:tblPr>
        <w:tblpPr w:leftFromText="141" w:rightFromText="141" w:vertAnchor="text" w:horzAnchor="margin" w:tblpY="20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134"/>
        <w:gridCol w:w="1134"/>
        <w:gridCol w:w="850"/>
        <w:gridCol w:w="771"/>
      </w:tblGrid>
      <w:tr w:rsidR="00081A16" w:rsidRPr="00F15899" w14:paraId="6741B982" w14:textId="77777777" w:rsidTr="239528D4">
        <w:trPr>
          <w:trHeight w:val="340"/>
        </w:trPr>
        <w:tc>
          <w:tcPr>
            <w:tcW w:w="5382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07514BAA" w14:textId="77777777" w:rsidR="00081A16" w:rsidRPr="00F15899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  <w:hideMark/>
          </w:tcPr>
          <w:p w14:paraId="5DC080D6" w14:textId="7A64B779" w:rsidR="00081A16" w:rsidRPr="00F15899" w:rsidRDefault="3C87A00B" w:rsidP="3C87A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2024. </w:t>
            </w:r>
            <w:r w:rsidR="6D17EF1F" w:rsidRPr="00F15899">
              <w:br/>
            </w:r>
            <w:r w:rsidRPr="00F15899">
              <w:rPr>
                <w:rFonts w:ascii="Times New Roman" w:hAnsi="Times New Roman" w:cs="Times New Roman"/>
                <w:b/>
                <w:bCs/>
              </w:rPr>
              <w:t>I-X. hó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  <w:hideMark/>
          </w:tcPr>
          <w:p w14:paraId="626AC8BC" w14:textId="04DFA93A" w:rsidR="00081A16" w:rsidRPr="00F15899" w:rsidRDefault="3C87A00B" w:rsidP="3C87A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2025. </w:t>
            </w:r>
            <w:r w:rsidR="6D17EF1F" w:rsidRPr="00F15899">
              <w:br/>
            </w:r>
            <w:r w:rsidRPr="00F15899">
              <w:rPr>
                <w:rFonts w:ascii="Times New Roman" w:hAnsi="Times New Roman" w:cs="Times New Roman"/>
                <w:b/>
                <w:bCs/>
              </w:rPr>
              <w:t>I-X. hó</w:t>
            </w:r>
          </w:p>
        </w:tc>
        <w:tc>
          <w:tcPr>
            <w:tcW w:w="1621" w:type="dxa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35A3C823" w14:textId="77777777" w:rsidR="00081A16" w:rsidRPr="00F15899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Eltérés</w:t>
            </w:r>
          </w:p>
        </w:tc>
      </w:tr>
      <w:tr w:rsidR="00C24948" w:rsidRPr="00F15899" w14:paraId="2DD9A798" w14:textId="77777777" w:rsidTr="239528D4">
        <w:trPr>
          <w:trHeight w:val="340"/>
        </w:trPr>
        <w:tc>
          <w:tcPr>
            <w:tcW w:w="5382" w:type="dxa"/>
            <w:vMerge/>
            <w:shd w:val="clear" w:color="auto" w:fill="BDD6EE" w:themeFill="accent1" w:themeFillTint="66"/>
            <w:vAlign w:val="center"/>
            <w:hideMark/>
          </w:tcPr>
          <w:p w14:paraId="5F76A56A" w14:textId="77777777" w:rsidR="00C24948" w:rsidRPr="00F15899" w:rsidRDefault="00C24948" w:rsidP="00C2494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  <w:vAlign w:val="center"/>
            <w:hideMark/>
          </w:tcPr>
          <w:p w14:paraId="65B4B0A4" w14:textId="77777777" w:rsidR="00C24948" w:rsidRPr="00F15899" w:rsidRDefault="00C24948" w:rsidP="00C2494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  <w:vAlign w:val="center"/>
            <w:hideMark/>
          </w:tcPr>
          <w:p w14:paraId="5FE97B50" w14:textId="77777777" w:rsidR="00C24948" w:rsidRPr="00F15899" w:rsidRDefault="00C24948" w:rsidP="00C2494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850" w:type="dxa"/>
            <w:shd w:val="clear" w:color="auto" w:fill="BDD6EE" w:themeFill="accent1" w:themeFillTint="66"/>
            <w:noWrap/>
            <w:vAlign w:val="center"/>
            <w:hideMark/>
          </w:tcPr>
          <w:p w14:paraId="1B2C8FF2" w14:textId="77777777" w:rsidR="00C24948" w:rsidRPr="00F15899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Mrd Ft</w:t>
            </w:r>
          </w:p>
        </w:tc>
        <w:tc>
          <w:tcPr>
            <w:tcW w:w="771" w:type="dxa"/>
            <w:shd w:val="clear" w:color="auto" w:fill="BDD6EE" w:themeFill="accent1" w:themeFillTint="66"/>
            <w:noWrap/>
            <w:vAlign w:val="center"/>
            <w:hideMark/>
          </w:tcPr>
          <w:p w14:paraId="179AEF43" w14:textId="77777777" w:rsidR="00C24948" w:rsidRPr="00F15899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%</w:t>
            </w:r>
          </w:p>
        </w:tc>
      </w:tr>
      <w:tr w:rsidR="000E4A68" w:rsidRPr="00F15899" w14:paraId="5CF52B9C" w14:textId="77777777" w:rsidTr="00774838">
        <w:trPr>
          <w:trHeight w:val="510"/>
        </w:trPr>
        <w:tc>
          <w:tcPr>
            <w:tcW w:w="5382" w:type="dxa"/>
            <w:vAlign w:val="center"/>
            <w:hideMark/>
          </w:tcPr>
          <w:p w14:paraId="11FF4C49" w14:textId="77777777" w:rsidR="000E4A68" w:rsidRPr="00F15899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1E4CBD" w14:textId="6D148269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938,4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729553" w14:textId="7B423738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1013,5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D76081" w14:textId="5148F054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75,1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E9DF60E" w14:textId="74C8BC19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108,0</w:t>
            </w:r>
          </w:p>
        </w:tc>
      </w:tr>
      <w:tr w:rsidR="000E4A68" w:rsidRPr="00F15899" w14:paraId="66D88640" w14:textId="77777777" w:rsidTr="00774838">
        <w:trPr>
          <w:trHeight w:val="340"/>
        </w:trPr>
        <w:tc>
          <w:tcPr>
            <w:tcW w:w="5382" w:type="dxa"/>
            <w:vAlign w:val="center"/>
            <w:hideMark/>
          </w:tcPr>
          <w:p w14:paraId="4496E62C" w14:textId="77777777" w:rsidR="000E4A68" w:rsidRPr="00F15899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helyi önkormányzatok működésének általános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091267" w14:textId="159579C5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262,8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13F341" w14:textId="513311AD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267,8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7C594" w14:textId="6B45DAF7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90676" w:rsidRPr="00F15899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1384BF" w14:textId="3C578F17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101,9</w:t>
            </w:r>
          </w:p>
        </w:tc>
      </w:tr>
      <w:tr w:rsidR="000E4A68" w:rsidRPr="00F15899" w14:paraId="644FC967" w14:textId="77777777" w:rsidTr="00774838">
        <w:trPr>
          <w:trHeight w:val="510"/>
        </w:trPr>
        <w:tc>
          <w:tcPr>
            <w:tcW w:w="5382" w:type="dxa"/>
            <w:vAlign w:val="center"/>
            <w:hideMark/>
          </w:tcPr>
          <w:p w14:paraId="1BA330A0" w14:textId="77777777" w:rsidR="000E4A68" w:rsidRPr="00F15899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8D28C3" w14:textId="77C6C45F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298</w:t>
            </w:r>
            <w:r w:rsidR="00D9267C" w:rsidRPr="00F15899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61BB58" w14:textId="6EDF954F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338,1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5D1E80" w14:textId="679E0341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767CDD1" w14:textId="0EB6764A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113,5</w:t>
            </w:r>
          </w:p>
        </w:tc>
      </w:tr>
      <w:tr w:rsidR="000E4A68" w:rsidRPr="00F15899" w14:paraId="11F06AEB" w14:textId="77777777" w:rsidTr="00774838">
        <w:trPr>
          <w:trHeight w:val="510"/>
        </w:trPr>
        <w:tc>
          <w:tcPr>
            <w:tcW w:w="5382" w:type="dxa"/>
            <w:vAlign w:val="center"/>
            <w:hideMark/>
          </w:tcPr>
          <w:p w14:paraId="63EE65A2" w14:textId="77777777" w:rsidR="000E4A68" w:rsidRPr="00F15899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egyes szociális, gyermekjóléti és gyermekétkeztetési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BDE34C" w14:textId="45C5927C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358,6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5C695" w14:textId="31871D45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388,7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601228" w14:textId="27AE4850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4A53BB5" w14:textId="2A5CFF1B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108,4</w:t>
            </w:r>
          </w:p>
        </w:tc>
      </w:tr>
      <w:tr w:rsidR="000E4A68" w:rsidRPr="00F15899" w14:paraId="1FC403F4" w14:textId="77777777" w:rsidTr="00774838">
        <w:trPr>
          <w:trHeight w:val="340"/>
        </w:trPr>
        <w:tc>
          <w:tcPr>
            <w:tcW w:w="5382" w:type="dxa"/>
            <w:vAlign w:val="center"/>
            <w:hideMark/>
          </w:tcPr>
          <w:p w14:paraId="4F427CE2" w14:textId="77777777" w:rsidR="000E4A68" w:rsidRPr="00F15899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kulturális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BDB6D4" w14:textId="1B831D07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1BBCDB" w14:textId="0379AFE6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18,9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28EF3A" w14:textId="1A7E8B0B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-0,1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96E83D2" w14:textId="7F406EBB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15899">
              <w:rPr>
                <w:rFonts w:ascii="Times New Roman" w:hAnsi="Times New Roman" w:cs="Times New Roman"/>
                <w:color w:val="000000" w:themeColor="text1"/>
              </w:rPr>
              <w:t>99,5</w:t>
            </w:r>
          </w:p>
        </w:tc>
      </w:tr>
      <w:tr w:rsidR="000E4A68" w:rsidRPr="00F15899" w14:paraId="44EF96BF" w14:textId="77777777" w:rsidTr="00774838">
        <w:trPr>
          <w:trHeight w:val="340"/>
        </w:trPr>
        <w:tc>
          <w:tcPr>
            <w:tcW w:w="5382" w:type="dxa"/>
            <w:vAlign w:val="center"/>
            <w:hideMark/>
          </w:tcPr>
          <w:p w14:paraId="3DD87A70" w14:textId="766307B5" w:rsidR="000E4A68" w:rsidRPr="00F15899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Helyi önkormányzatok kiegészítő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DDE983" w14:textId="1A2B792D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89,2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5423BA" w14:textId="3F935D29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123,0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EB67F0" w14:textId="5C3FE78B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33,8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FFF6C6E" w14:textId="6F847480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137,9</w:t>
            </w:r>
          </w:p>
        </w:tc>
      </w:tr>
      <w:tr w:rsidR="000E4A68" w:rsidRPr="00F15899" w14:paraId="648C3F54" w14:textId="77777777" w:rsidTr="00774838">
        <w:trPr>
          <w:trHeight w:val="340"/>
        </w:trPr>
        <w:tc>
          <w:tcPr>
            <w:tcW w:w="5382" w:type="dxa"/>
            <w:vAlign w:val="center"/>
            <w:hideMark/>
          </w:tcPr>
          <w:p w14:paraId="3676EE9C" w14:textId="4925EF27" w:rsidR="000E4A68" w:rsidRPr="00F15899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 közben létrejött új jogcímek kiadásai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ACAC9E" w14:textId="1F24CE2D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66E9FC" w14:textId="2679D5C4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2B586A" w14:textId="4D23F371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-1,8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EEBBBB0" w14:textId="4782A452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84,6</w:t>
            </w:r>
          </w:p>
        </w:tc>
      </w:tr>
      <w:tr w:rsidR="000E4A68" w:rsidRPr="00377D59" w14:paraId="60064293" w14:textId="77777777" w:rsidTr="00774838">
        <w:trPr>
          <w:trHeight w:val="340"/>
        </w:trPr>
        <w:tc>
          <w:tcPr>
            <w:tcW w:w="5382" w:type="dxa"/>
            <w:noWrap/>
            <w:vAlign w:val="center"/>
            <w:hideMark/>
          </w:tcPr>
          <w:p w14:paraId="73666509" w14:textId="770E1DDA" w:rsidR="000E4A68" w:rsidRPr="00F15899" w:rsidRDefault="3C87A00B" w:rsidP="3C87A0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15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3EFD36" w14:textId="24C31A48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1039,3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84CCAC" w14:textId="3E5D5759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1146,4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ACA3FA" w14:textId="21941924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107,1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C1B57DC" w14:textId="7B912BCA" w:rsidR="000E4A68" w:rsidRPr="00F15899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158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110,3</w:t>
            </w:r>
          </w:p>
        </w:tc>
      </w:tr>
    </w:tbl>
    <w:bookmarkEnd w:id="0"/>
    <w:p w14:paraId="294CBB33" w14:textId="042ECF07" w:rsidR="74B9DF17" w:rsidRPr="00CD1AC2" w:rsidRDefault="691A06BB" w:rsidP="691A06BB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kiadásai</w:t>
      </w:r>
      <w:r w:rsidRPr="691A06B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mérlegsoron 2025. október végéig 1636,6 milliárd forint összegű kifizetés történt, amely a törvényi előirányzat (3023,8 milliárd forint) 54,1%</w:t>
      </w:r>
      <w:r w:rsidR="00A9317A">
        <w:rPr>
          <w:rFonts w:ascii="Times New Roman" w:eastAsia="Times New Roman" w:hAnsi="Times New Roman" w:cs="Times New Roman"/>
          <w:sz w:val="26"/>
          <w:szCs w:val="26"/>
        </w:rPr>
        <w:noBreakHyphen/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os</w:t>
      </w:r>
      <w:r w:rsidR="00A9317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teljesítését jelenti. A felmerült kiadások jelentős részét a 2021-2027-es Széchenyi</w:t>
      </w:r>
      <w:r w:rsidR="00A9317A">
        <w:rPr>
          <w:rFonts w:ascii="Times New Roman" w:eastAsia="Times New Roman" w:hAnsi="Times New Roman" w:cs="Times New Roman"/>
          <w:sz w:val="26"/>
          <w:szCs w:val="26"/>
        </w:rPr>
        <w:t> Terv 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Plusz programjai adták.</w:t>
      </w:r>
    </w:p>
    <w:p w14:paraId="6ABC464B" w14:textId="4D5CB4B2" w:rsidR="74B9DF17" w:rsidRPr="00CD1AC2" w:rsidRDefault="3C87A00B" w:rsidP="3C87A00B">
      <w:pPr>
        <w:spacing w:befor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 legnagyobb összegű kifizetéseket ezen időszakban a Széchenyi Terv Plusz operatív programok közül az Emberi Erőforrás Fejlesztési OP Plusz (EFOP Plusz) és a Terület- és Településfejlesztési OP (TOP Plusz) teljesítette. Kiemelkedők továbbá a Vidékfejlesztési Program és a KAP Stratégiai Terv Vidékfejlesztési Intézkedéseinek kifizetése.</w:t>
      </w:r>
    </w:p>
    <w:p w14:paraId="0EE0B389" w14:textId="44DCF617" w:rsidR="029C2633" w:rsidRPr="00CD1AC2" w:rsidRDefault="6DEE8A84" w:rsidP="6DEE8A84">
      <w:pPr>
        <w:keepLines/>
        <w:spacing w:befor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DEE8A84">
        <w:rPr>
          <w:rFonts w:ascii="Times New Roman" w:eastAsia="Times New Roman" w:hAnsi="Times New Roman" w:cs="Times New Roman"/>
          <w:b/>
          <w:bCs/>
          <w:sz w:val="26"/>
          <w:szCs w:val="26"/>
        </w:rPr>
        <w:t>állami vagyonnal kapcsolatos kiadások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 2025 első tízhavi összege 619,2 milliárd forint volt, amelynek meghatározó része ingatlanokhoz kapcsolódóan került kifizetésre.</w:t>
      </w:r>
    </w:p>
    <w:p w14:paraId="4D36018A" w14:textId="2F5B63A2" w:rsidR="000B49AE" w:rsidRPr="00377D59" w:rsidRDefault="00145F79" w:rsidP="000B49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6009F97E" wp14:editId="7C809FCD">
            <wp:extent cx="5242707" cy="3299179"/>
            <wp:effectExtent l="0" t="0" r="0" b="0"/>
            <wp:docPr id="205203643" name="Kép 1" descr="A képen szöveg, képernyőkép, sor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3643" name="Kép 1" descr="A képen szöveg, képernyőkép, sor, diagram látható&#10;&#10;Előfordulhat, hogy a mesterséges intelligencia által létrehozott tartalom helytele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0528" cy="330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26D3" w14:textId="5CB235F8" w:rsidR="5B67C7D7" w:rsidRPr="00CB07DE" w:rsidRDefault="2D9251E6" w:rsidP="2D9251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D9251E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</w:t>
      </w:r>
      <w:r w:rsidRPr="2D9251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állami beruházási fejezet kiadásait 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>alapvetően az egyes projektek előrehaladása határozza meg. 2025 első tíz hónapjában 345,1 milliárd forint kiadás teljesült</w:t>
      </w:r>
      <w:r w:rsidRPr="00F15899">
        <w:rPr>
          <w:rFonts w:ascii="Times New Roman" w:eastAsia="Times New Roman" w:hAnsi="Times New Roman" w:cs="Times New Roman"/>
          <w:sz w:val="26"/>
          <w:szCs w:val="26"/>
        </w:rPr>
        <w:t>. A kifizetések nagy része az állami közútfejlesztési beruházásokhoz (217,1 milliárd forint), az európai uniós forrásokból megvalósuló beruházásokhoz (93,1 milliárd forint) és az egyedi magasépítési beruházásokhoz (21,4 milliárd forint) kapcsolódtak</w:t>
      </w:r>
      <w:r w:rsidRPr="00F15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CEA5E" w14:textId="1DA41A0B" w:rsidR="00C224F5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egyéb kiadások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2025. évi </w:t>
      </w:r>
      <w:r w:rsidR="00F41372" w:rsidRPr="00F41372">
        <w:rPr>
          <w:rFonts w:ascii="Times New Roman" w:eastAsia="Times New Roman" w:hAnsi="Times New Roman" w:cs="Times New Roman"/>
          <w:sz w:val="26"/>
          <w:szCs w:val="26"/>
        </w:rPr>
        <w:t xml:space="preserve">első tízhavi 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teljesítése </w:t>
      </w:r>
      <w:r w:rsidR="00F41372">
        <w:rPr>
          <w:rFonts w:ascii="Times New Roman" w:eastAsia="Times New Roman" w:hAnsi="Times New Roman" w:cs="Times New Roman"/>
          <w:sz w:val="26"/>
          <w:szCs w:val="26"/>
        </w:rPr>
        <w:t>552,0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 lett, ami </w:t>
      </w:r>
      <w:r w:rsidR="00F41372">
        <w:rPr>
          <w:rFonts w:ascii="Times New Roman" w:eastAsia="Times New Roman" w:hAnsi="Times New Roman" w:cs="Times New Roman"/>
          <w:sz w:val="26"/>
          <w:szCs w:val="26"/>
        </w:rPr>
        <w:t>32,3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> milliárd forinttal magasabban alakult az előző év azonos időszakához képest.</w:t>
      </w:r>
    </w:p>
    <w:p w14:paraId="15F013A7" w14:textId="330DA5E9" w:rsidR="74B9DF17" w:rsidRDefault="691A06BB" w:rsidP="691A06B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>Hozzájárulás az EU költségvetéséhez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mérlegsoron 2025. október végéig 609,4 milliárd forint kiadás teljesült, ami a törvényi előirányzat 87,3%-a. E hozzájárulás 68,4</w:t>
      </w:r>
      <w:r w:rsidR="00DE76D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milliárd forinttal haladja meg a 2024. év azonos időszakában teljesített kiadásokat.</w:t>
      </w:r>
    </w:p>
    <w:p w14:paraId="0F5A0F03" w14:textId="1F0BF4C5" w:rsidR="6462B5A6" w:rsidRPr="00920F4D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Nemzeti Kutatási, Fejlesztési és Innovációs Alapból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(NKFI Alap) 2025. </w:t>
      </w:r>
      <w:r w:rsidR="00334D9F">
        <w:rPr>
          <w:rFonts w:ascii="Times New Roman" w:eastAsia="Times New Roman" w:hAnsi="Times New Roman" w:cs="Times New Roman"/>
          <w:sz w:val="26"/>
          <w:szCs w:val="26"/>
        </w:rPr>
        <w:t xml:space="preserve">október 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végéig </w:t>
      </w:r>
      <w:r w:rsidR="00334D9F">
        <w:rPr>
          <w:rFonts w:ascii="Times New Roman" w:eastAsia="Times New Roman" w:hAnsi="Times New Roman" w:cs="Times New Roman"/>
          <w:sz w:val="26"/>
          <w:szCs w:val="26"/>
        </w:rPr>
        <w:t>103,6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 kiadás teljesült, ami </w:t>
      </w:r>
      <w:r w:rsidR="00334D9F">
        <w:rPr>
          <w:rFonts w:ascii="Times New Roman" w:eastAsia="Times New Roman" w:hAnsi="Times New Roman" w:cs="Times New Roman"/>
          <w:sz w:val="26"/>
          <w:szCs w:val="26"/>
        </w:rPr>
        <w:t>9,4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forinttal kevesebb kifizetést jelent a 2024. évi azonos időszak teljesítéséhez képest. </w:t>
      </w:r>
    </w:p>
    <w:p w14:paraId="17605E21" w14:textId="54A93846" w:rsidR="6462B5A6" w:rsidRPr="00CB07DE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Nemzeti Foglalkoztatási Alap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(NFA) kiadásai esetében a Start-munkaprogramra összesen 110,3 milliárd forint teljesült. Az uniós elő- és társfinanszírozásra </w:t>
      </w:r>
      <w:r w:rsidR="00DE76D5">
        <w:rPr>
          <w:rFonts w:ascii="Times New Roman" w:eastAsia="Times New Roman" w:hAnsi="Times New Roman" w:cs="Times New Roman"/>
          <w:sz w:val="26"/>
          <w:szCs w:val="26"/>
        </w:rPr>
        <w:t>6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>6,2 milliárd forintot fordítottak.</w:t>
      </w:r>
    </w:p>
    <w:p w14:paraId="76B18BB1" w14:textId="7A58A066" w:rsidR="123EFD2F" w:rsidRPr="00CB07DE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Bethlen Gábor Alapból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(BGA) az év első tíz hónapjában összesen 81,4 milliárd forint kiadás teljesült. Az alapból nyújtott támogatások a BGA irányítását ellátó Bizottság döntései alapján, ütemezetten kerültek kifizetésre.</w:t>
      </w:r>
    </w:p>
    <w:p w14:paraId="51683CC2" w14:textId="59E43049" w:rsidR="00043E49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0631177">
        <w:rPr>
          <w:rFonts w:ascii="Times New Roman" w:eastAsia="Times New Roman" w:hAnsi="Times New Roman" w:cs="Times New Roman"/>
          <w:b/>
          <w:bCs/>
          <w:sz w:val="26"/>
          <w:szCs w:val="26"/>
        </w:rPr>
        <w:t>Nyugdíjbiztosítási Alap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nyugellátási kiadásai október végéig 5511,2 milliárd forintban teljesültek, ami 267,</w:t>
      </w:r>
      <w:r w:rsidR="000079FD">
        <w:rPr>
          <w:rFonts w:ascii="Times New Roman" w:eastAsia="Times New Roman" w:hAnsi="Times New Roman" w:cs="Times New Roman"/>
          <w:sz w:val="26"/>
          <w:szCs w:val="26"/>
        </w:rPr>
        <w:t>1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 milliárd forinttal haladta meg az előző év azonos időszakának teljesítési adatait. Az 5,1%-os kiadásnövekedést a tárgyév január hónapban végrehajtott inflációkövető nyugdíjemelés hatása, valamint az eltelt időszakban bekövetkezett létszámváltozás és cserélődés együttes hatása eredményezte.</w:t>
      </w:r>
    </w:p>
    <w:p w14:paraId="26EFB518" w14:textId="16489323" w:rsidR="00043E49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>Február hónapban több mint 2 millió öregségi nyugdíjban és hozzátartozói nyugellátásban részesülő személy részére folyósítottak 13. havi nyugdíjat. A 13. havi nyugdíj Nyugdíjbiztosítási Alapot terhelő kiadása október végéig 493,7 milliárd forint volt, ami</w:t>
      </w:r>
      <w:r w:rsidR="006B61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22,0 milliárd forinttal haladta meg az előző év azonos időszakában ezen a jogcímen teljesített kiadások összegét.</w:t>
      </w:r>
    </w:p>
    <w:p w14:paraId="168226B1" w14:textId="5D10A953" w:rsidR="00D72777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>Az első tíz hónap adatai alapján a nyugellátási kiadásokon belül a korbetöltött öregségi nyugellátások 5,6%-kal, a nők 40 év jogosultsági idővel igénybe vehető öregségi nyugdíja („nők 40”) pedig 3,3%-kal haladta meg az előző év azonos időszakának kiadásait.</w:t>
      </w:r>
    </w:p>
    <w:p w14:paraId="0F073B32" w14:textId="258C7245" w:rsidR="00C35E13" w:rsidRDefault="00145F79" w:rsidP="00C35E13">
      <w:pPr>
        <w:pStyle w:val="NormlWeb"/>
        <w:jc w:val="center"/>
      </w:pPr>
      <w:r>
        <w:rPr>
          <w:noProof/>
        </w:rPr>
        <w:lastRenderedPageBreak/>
        <w:drawing>
          <wp:inline distT="0" distB="0" distL="0" distR="0" wp14:anchorId="18088EEB" wp14:editId="72E3E7D1">
            <wp:extent cx="5640731" cy="2365429"/>
            <wp:effectExtent l="0" t="0" r="0" b="0"/>
            <wp:docPr id="1020129743" name="Kép 1" descr="A képen szöveg, diagram, képernyőkép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29743" name="Kép 1" descr="A képen szöveg, diagram, képernyőkép, Betűtípus látható&#10;&#10;Előfordulhat, hogy a mesterséges intelligencia által létrehozott tartalom helytele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8517" cy="236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4D45" w14:textId="72771756" w:rsidR="00884EDC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Az öregségi nyugdíjban részesülők 2025. október havi </w:t>
      </w:r>
      <w:r w:rsidRPr="70631177">
        <w:rPr>
          <w:rFonts w:ascii="Times New Roman" w:eastAsia="Times New Roman" w:hAnsi="Times New Roman" w:cs="Times New Roman"/>
          <w:b/>
          <w:bCs/>
          <w:sz w:val="26"/>
          <w:szCs w:val="26"/>
        </w:rPr>
        <w:t>átlagos statisztikai állományi létszáma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kis mértékben növekedett, 4837 fővel haladta meg az előző év azonos időszakának létszámát, ez mintegy 2 millió főt jelent. Az öregségi nyugdíjban részesülők létszámán belül a nők kedvezményes nyugdíjában részesülők (korhatár alattiak) létszáma a korhatárbetöltés, az újonnan belépők és az elhalálozás együttes hatásaként 4137 fővel csökkent a 2024. októberi adathoz képest, jelenleg 137 676 fő veszi igénybe a „nők 40” kedvezményes nyugdíját.</w:t>
      </w:r>
    </w:p>
    <w:p w14:paraId="61DC0A5C" w14:textId="5EB6540D" w:rsidR="00884EDC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>Az öregségi nyugdíjak átlagos havi összege egy év alatt 12 333 forinttal emelkedett, 2025.</w:t>
      </w:r>
      <w:r w:rsidR="006B61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októberben 246 187 forint volt.</w:t>
      </w:r>
    </w:p>
    <w:p w14:paraId="725BF303" w14:textId="60C58C4B" w:rsidR="7BF38582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Az ellátások egy főre jutó havi átlagos összege az egyes ellátotti jogcímeken belül az előző év azonos időszakával összehasonlítva az alábbiak szerint növekedett.</w:t>
      </w:r>
    </w:p>
    <w:p w14:paraId="503DFEB7" w14:textId="033403E6" w:rsidR="00EF1F5B" w:rsidRDefault="00145F79" w:rsidP="002D6802">
      <w:pPr>
        <w:pStyle w:val="Norm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7D863BCF" wp14:editId="6F358717">
            <wp:extent cx="4822343" cy="3313009"/>
            <wp:effectExtent l="0" t="0" r="0" b="1905"/>
            <wp:docPr id="1993127958" name="Kép 1" descr="A képen szöveg, képernyőkép, szám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27958" name="Kép 1" descr="A képen szöveg, képernyőkép, szám, Betűtípus látható&#10;&#10;Előfordulhat, hogy a mesterséges intelligencia által létrehozott tartalom helytelen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0169" cy="3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9DB9C" w14:textId="246CB37A" w:rsidR="0022104D" w:rsidRDefault="00D33920" w:rsidP="00A31F84">
      <w:pPr>
        <w:widowControl w:val="0"/>
        <w:spacing w:before="2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br w:type="column"/>
      </w:r>
      <w:r w:rsidR="7C285CBA" w:rsidRPr="7C285CB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öregségi nyugdíjban, hozzátartozói nyugellátásban részesülők jogcím szerinti megoszlásának összehasonlítását a korábbi adatokkal az alábbi ábrák mutatják. </w:t>
      </w:r>
    </w:p>
    <w:p w14:paraId="6E229341" w14:textId="3A37261D" w:rsidR="00EF1F5B" w:rsidRDefault="00145F79" w:rsidP="00A31F84">
      <w:pPr>
        <w:pStyle w:val="NormlWeb"/>
        <w:widowControl w:val="0"/>
        <w:jc w:val="center"/>
      </w:pPr>
      <w:r>
        <w:rPr>
          <w:noProof/>
        </w:rPr>
        <w:drawing>
          <wp:inline distT="0" distB="0" distL="0" distR="0" wp14:anchorId="70BE0577" wp14:editId="75FBCE9B">
            <wp:extent cx="5515648" cy="2112078"/>
            <wp:effectExtent l="0" t="0" r="8890" b="2540"/>
            <wp:docPr id="1319578288" name="Kép 1" descr="A képen szöveg, képernyőkép, Betűtípus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78288" name="Kép 1" descr="A képen szöveg, képernyőkép, Betűtípus, diagram látható&#10;&#10;Előfordulhat, hogy a mesterséges intelligencia által létrehozott tartalom helytelen."/>
                    <pic:cNvPicPr/>
                  </pic:nvPicPr>
                  <pic:blipFill rotWithShape="1">
                    <a:blip r:embed="rId22"/>
                    <a:srcRect b="6809"/>
                    <a:stretch/>
                  </pic:blipFill>
                  <pic:spPr bwMode="auto">
                    <a:xfrm>
                      <a:off x="0" y="0"/>
                      <a:ext cx="5549212" cy="212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F88FB" w14:textId="558B9764" w:rsidR="00D4148C" w:rsidRPr="002B492B" w:rsidRDefault="3C87A00B" w:rsidP="3C87A00B">
      <w:pPr>
        <w:widowContro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Egészségbiztosítási Alap kiadásainak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összetételét a következő ábra mutatja be: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7C38B59" w14:textId="136D45BB" w:rsidR="00D4148C" w:rsidRDefault="00145F79" w:rsidP="00A31F84">
      <w:pPr>
        <w:widowControl w:val="0"/>
        <w:spacing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218D905" wp14:editId="1141D24D">
            <wp:extent cx="5077460" cy="2175492"/>
            <wp:effectExtent l="0" t="0" r="0" b="0"/>
            <wp:docPr id="1453767763" name="Kép 1" descr="A képen szöveg, diagram, kör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67763" name="Kép 1" descr="A képen szöveg, diagram, kör, képernyőkép látható&#10;&#10;Előfordulhat, hogy a mesterséges intelligencia által létrehozott tartalom helytelen."/>
                    <pic:cNvPicPr/>
                  </pic:nvPicPr>
                  <pic:blipFill rotWithShape="1">
                    <a:blip r:embed="rId23"/>
                    <a:srcRect b="5954"/>
                    <a:stretch/>
                  </pic:blipFill>
                  <pic:spPr bwMode="auto">
                    <a:xfrm>
                      <a:off x="0" y="0"/>
                      <a:ext cx="5089937" cy="218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DF989" w14:textId="15F2985C" w:rsidR="00CA3468" w:rsidRDefault="239528D4" w:rsidP="239528D4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Egészségbiztosítási Alap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összes kiadásának 25,6%-át a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pénzbeli ellátásokra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fordított összeg adta. Az ellátások részletes bemutatását a következő táblázat tartalmazza:</w:t>
      </w:r>
    </w:p>
    <w:p w14:paraId="1D31F2C8" w14:textId="3F5AAC59" w:rsidR="00DA4FBC" w:rsidRPr="001074A1" w:rsidRDefault="3C87A00B" w:rsidP="3C87A00B">
      <w:pPr>
        <w:widowControl w:val="0"/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3C87A00B">
        <w:rPr>
          <w:rFonts w:ascii="Times New Roman" w:eastAsia="Times New Roman" w:hAnsi="Times New Roman" w:cs="Times New Roman"/>
          <w:b/>
          <w:bCs/>
        </w:rPr>
        <w:t>Az Egészségbiztosítási Alap pénzbeli ellátásokra fordított kiadásainak alakulása (milliárd forint)</w:t>
      </w:r>
    </w:p>
    <w:tbl>
      <w:tblPr>
        <w:tblpPr w:leftFromText="141" w:rightFromText="141" w:vertAnchor="text" w:tblpXSpec="center" w:tblpY="1"/>
        <w:tblOverlap w:val="never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1209"/>
        <w:gridCol w:w="992"/>
        <w:gridCol w:w="993"/>
      </w:tblGrid>
      <w:tr w:rsidR="00E601EF" w:rsidRPr="00377D59" w14:paraId="06E6BC15" w14:textId="77777777" w:rsidTr="00F15899">
        <w:trPr>
          <w:trHeight w:val="340"/>
        </w:trPr>
        <w:tc>
          <w:tcPr>
            <w:tcW w:w="4248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510863DA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</w:rPr>
              <w:t>Megnevezés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  <w:vAlign w:val="center"/>
            <w:hideMark/>
          </w:tcPr>
          <w:p w14:paraId="6BB44369" w14:textId="72BB24F3" w:rsidR="00E601EF" w:rsidRPr="00377D59" w:rsidRDefault="239528D4" w:rsidP="23952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39528D4">
              <w:rPr>
                <w:rFonts w:ascii="Times New Roman" w:eastAsia="Times New Roman" w:hAnsi="Times New Roman" w:cs="Times New Roman"/>
                <w:b/>
                <w:bCs/>
              </w:rPr>
              <w:t xml:space="preserve">2024. </w:t>
            </w:r>
            <w:r w:rsidR="6D17EF1F">
              <w:br/>
            </w:r>
            <w:r w:rsidRPr="239528D4">
              <w:rPr>
                <w:rFonts w:ascii="Times New Roman" w:eastAsia="Times New Roman" w:hAnsi="Times New Roman" w:cs="Times New Roman"/>
                <w:b/>
                <w:bCs/>
              </w:rPr>
              <w:t>I-X. hó</w:t>
            </w:r>
          </w:p>
        </w:tc>
        <w:tc>
          <w:tcPr>
            <w:tcW w:w="1209" w:type="dxa"/>
            <w:vMerge w:val="restart"/>
            <w:shd w:val="clear" w:color="auto" w:fill="BDD6EE" w:themeFill="accent1" w:themeFillTint="66"/>
            <w:vAlign w:val="center"/>
            <w:hideMark/>
          </w:tcPr>
          <w:p w14:paraId="5A1BFE64" w14:textId="12E9B3BC" w:rsidR="00E601EF" w:rsidRPr="00377D59" w:rsidRDefault="239528D4" w:rsidP="23952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39528D4">
              <w:rPr>
                <w:rFonts w:ascii="Times New Roman" w:eastAsia="Times New Roman" w:hAnsi="Times New Roman" w:cs="Times New Roman"/>
                <w:b/>
                <w:bCs/>
              </w:rPr>
              <w:t xml:space="preserve">2025. </w:t>
            </w:r>
            <w:r w:rsidR="6D17EF1F">
              <w:br/>
            </w:r>
            <w:r w:rsidRPr="239528D4">
              <w:rPr>
                <w:rFonts w:ascii="Times New Roman" w:eastAsia="Times New Roman" w:hAnsi="Times New Roman" w:cs="Times New Roman"/>
                <w:b/>
                <w:bCs/>
              </w:rPr>
              <w:t>I-X. hó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7EFB39D6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</w:rPr>
              <w:t>Eltérés</w:t>
            </w:r>
          </w:p>
        </w:tc>
      </w:tr>
      <w:tr w:rsidR="00E601EF" w:rsidRPr="00377D59" w14:paraId="67C6C54B" w14:textId="77777777" w:rsidTr="00F15899">
        <w:trPr>
          <w:trHeight w:val="340"/>
        </w:trPr>
        <w:tc>
          <w:tcPr>
            <w:tcW w:w="4248" w:type="dxa"/>
            <w:vMerge/>
            <w:shd w:val="clear" w:color="auto" w:fill="BDD6EE" w:themeFill="accent1" w:themeFillTint="66"/>
            <w:vAlign w:val="center"/>
            <w:hideMark/>
          </w:tcPr>
          <w:p w14:paraId="5CCA367D" w14:textId="77777777" w:rsidR="00E601EF" w:rsidRPr="00377D59" w:rsidRDefault="00E601EF" w:rsidP="00A31F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vAlign w:val="center"/>
            <w:hideMark/>
          </w:tcPr>
          <w:p w14:paraId="5499307A" w14:textId="77777777" w:rsidR="00E601EF" w:rsidRPr="00377D59" w:rsidRDefault="00E601EF" w:rsidP="00A31F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9" w:type="dxa"/>
            <w:vMerge/>
            <w:shd w:val="clear" w:color="auto" w:fill="BDD6EE" w:themeFill="accent1" w:themeFillTint="66"/>
            <w:vAlign w:val="center"/>
            <w:hideMark/>
          </w:tcPr>
          <w:p w14:paraId="13E594B6" w14:textId="77777777" w:rsidR="00E601EF" w:rsidRPr="00377D59" w:rsidRDefault="00E601EF" w:rsidP="00A31F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noWrap/>
            <w:vAlign w:val="center"/>
            <w:hideMark/>
          </w:tcPr>
          <w:p w14:paraId="6986BC2B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Mrd Ft</w:t>
            </w:r>
          </w:p>
        </w:tc>
        <w:tc>
          <w:tcPr>
            <w:tcW w:w="993" w:type="dxa"/>
            <w:shd w:val="clear" w:color="auto" w:fill="BDD6EE" w:themeFill="accent1" w:themeFillTint="66"/>
            <w:noWrap/>
            <w:vAlign w:val="center"/>
            <w:hideMark/>
          </w:tcPr>
          <w:p w14:paraId="70EDA458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%</w:t>
            </w:r>
          </w:p>
        </w:tc>
      </w:tr>
      <w:tr w:rsidR="00494D4B" w:rsidRPr="00377D59" w14:paraId="0F7FB8C0" w14:textId="77777777" w:rsidTr="00F15899">
        <w:trPr>
          <w:trHeight w:val="340"/>
        </w:trPr>
        <w:tc>
          <w:tcPr>
            <w:tcW w:w="4248" w:type="dxa"/>
            <w:noWrap/>
            <w:vAlign w:val="center"/>
            <w:hideMark/>
          </w:tcPr>
          <w:p w14:paraId="4F8BBBDE" w14:textId="77777777" w:rsidR="00494D4B" w:rsidRPr="00377D59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Pénzbeli ellátások</w:t>
            </w:r>
          </w:p>
        </w:tc>
        <w:tc>
          <w:tcPr>
            <w:tcW w:w="1276" w:type="dxa"/>
            <w:vAlign w:val="center"/>
          </w:tcPr>
          <w:p w14:paraId="3EB30386" w14:textId="64DC6876" w:rsidR="00494D4B" w:rsidRPr="001074A1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966,7</w:t>
            </w:r>
          </w:p>
        </w:tc>
        <w:tc>
          <w:tcPr>
            <w:tcW w:w="1209" w:type="dxa"/>
            <w:vAlign w:val="center"/>
          </w:tcPr>
          <w:p w14:paraId="749AF748" w14:textId="4EDF3193" w:rsidR="00494D4B" w:rsidRPr="001074A1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1037,7</w:t>
            </w:r>
          </w:p>
        </w:tc>
        <w:tc>
          <w:tcPr>
            <w:tcW w:w="992" w:type="dxa"/>
            <w:noWrap/>
            <w:vAlign w:val="center"/>
          </w:tcPr>
          <w:p w14:paraId="780D698F" w14:textId="1ED0C220" w:rsidR="00494D4B" w:rsidRPr="001074A1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71,0</w:t>
            </w:r>
          </w:p>
        </w:tc>
        <w:tc>
          <w:tcPr>
            <w:tcW w:w="993" w:type="dxa"/>
            <w:noWrap/>
            <w:vAlign w:val="center"/>
          </w:tcPr>
          <w:p w14:paraId="35977C13" w14:textId="1D085A23" w:rsidR="00494D4B" w:rsidRPr="001074A1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107,3</w:t>
            </w:r>
          </w:p>
        </w:tc>
      </w:tr>
      <w:tr w:rsidR="00494D4B" w:rsidRPr="00377D59" w14:paraId="07715518" w14:textId="77777777" w:rsidTr="00F15899">
        <w:trPr>
          <w:trHeight w:val="284"/>
        </w:trPr>
        <w:tc>
          <w:tcPr>
            <w:tcW w:w="4248" w:type="dxa"/>
            <w:noWrap/>
            <w:vAlign w:val="center"/>
            <w:hideMark/>
          </w:tcPr>
          <w:p w14:paraId="31DF5B0B" w14:textId="77777777" w:rsidR="00494D4B" w:rsidRPr="003D21B5" w:rsidRDefault="3C87A00B" w:rsidP="3C87A00B">
            <w:pPr>
              <w:widowControl w:val="0"/>
              <w:spacing w:after="0" w:line="240" w:lineRule="auto"/>
              <w:ind w:firstLine="285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Ebből:</w:t>
            </w:r>
          </w:p>
        </w:tc>
        <w:tc>
          <w:tcPr>
            <w:tcW w:w="4470" w:type="dxa"/>
            <w:gridSpan w:val="4"/>
            <w:vAlign w:val="center"/>
          </w:tcPr>
          <w:p w14:paraId="60B47ECC" w14:textId="007D4839" w:rsidR="00494D4B" w:rsidRPr="003D21B5" w:rsidRDefault="239528D4" w:rsidP="239528D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94D4B" w:rsidRPr="00377D59" w14:paraId="72B9616A" w14:textId="77777777" w:rsidTr="00F15899">
        <w:trPr>
          <w:trHeight w:val="340"/>
        </w:trPr>
        <w:tc>
          <w:tcPr>
            <w:tcW w:w="4248" w:type="dxa"/>
            <w:noWrap/>
            <w:vAlign w:val="center"/>
            <w:hideMark/>
          </w:tcPr>
          <w:p w14:paraId="21DA2C4C" w14:textId="77777777" w:rsidR="00494D4B" w:rsidRPr="003D21B5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lang w:eastAsia="hu-HU"/>
              </w:rPr>
              <w:t>Rokkantsági, rehabilitációs ellátások</w:t>
            </w:r>
          </w:p>
        </w:tc>
        <w:tc>
          <w:tcPr>
            <w:tcW w:w="1276" w:type="dxa"/>
            <w:noWrap/>
            <w:vAlign w:val="center"/>
          </w:tcPr>
          <w:p w14:paraId="49E22A63" w14:textId="6515F59F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337,9</w:t>
            </w:r>
          </w:p>
        </w:tc>
        <w:tc>
          <w:tcPr>
            <w:tcW w:w="1209" w:type="dxa"/>
            <w:noWrap/>
            <w:vAlign w:val="center"/>
          </w:tcPr>
          <w:p w14:paraId="0480FC73" w14:textId="2C07462E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355,6</w:t>
            </w:r>
          </w:p>
        </w:tc>
        <w:tc>
          <w:tcPr>
            <w:tcW w:w="992" w:type="dxa"/>
            <w:noWrap/>
            <w:vAlign w:val="center"/>
          </w:tcPr>
          <w:p w14:paraId="63616B24" w14:textId="6C3B915F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17,7</w:t>
            </w:r>
          </w:p>
        </w:tc>
        <w:tc>
          <w:tcPr>
            <w:tcW w:w="993" w:type="dxa"/>
            <w:noWrap/>
            <w:vAlign w:val="center"/>
          </w:tcPr>
          <w:p w14:paraId="2B583A17" w14:textId="486DF170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105,2</w:t>
            </w:r>
          </w:p>
        </w:tc>
      </w:tr>
      <w:tr w:rsidR="00494D4B" w:rsidRPr="00377D59" w14:paraId="778FD915" w14:textId="77777777" w:rsidTr="00F15899">
        <w:trPr>
          <w:trHeight w:val="340"/>
        </w:trPr>
        <w:tc>
          <w:tcPr>
            <w:tcW w:w="4248" w:type="dxa"/>
            <w:noWrap/>
            <w:vAlign w:val="center"/>
            <w:hideMark/>
          </w:tcPr>
          <w:p w14:paraId="4CDB1046" w14:textId="4891E4FD" w:rsidR="00494D4B" w:rsidRPr="003D21B5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lang w:eastAsia="hu-HU"/>
              </w:rPr>
              <w:t>Gyermekgondozási díj és örökbefogadói díj</w:t>
            </w:r>
          </w:p>
        </w:tc>
        <w:tc>
          <w:tcPr>
            <w:tcW w:w="1276" w:type="dxa"/>
            <w:noWrap/>
            <w:vAlign w:val="center"/>
          </w:tcPr>
          <w:p w14:paraId="0B0C3582" w14:textId="1CD9E96B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314,3</w:t>
            </w:r>
          </w:p>
        </w:tc>
        <w:tc>
          <w:tcPr>
            <w:tcW w:w="1209" w:type="dxa"/>
            <w:noWrap/>
            <w:vAlign w:val="center"/>
          </w:tcPr>
          <w:p w14:paraId="6E6D7B2A" w14:textId="22FE1B7C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330,0</w:t>
            </w:r>
          </w:p>
        </w:tc>
        <w:tc>
          <w:tcPr>
            <w:tcW w:w="992" w:type="dxa"/>
            <w:noWrap/>
            <w:vAlign w:val="center"/>
          </w:tcPr>
          <w:p w14:paraId="791AEA46" w14:textId="666889AD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15,7</w:t>
            </w:r>
          </w:p>
        </w:tc>
        <w:tc>
          <w:tcPr>
            <w:tcW w:w="993" w:type="dxa"/>
            <w:noWrap/>
            <w:vAlign w:val="center"/>
          </w:tcPr>
          <w:p w14:paraId="189A6E8D" w14:textId="6129418B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105,0</w:t>
            </w:r>
          </w:p>
        </w:tc>
      </w:tr>
      <w:tr w:rsidR="00494D4B" w:rsidRPr="00377D59" w14:paraId="7D62EFFD" w14:textId="77777777" w:rsidTr="00F15899">
        <w:trPr>
          <w:trHeight w:val="340"/>
        </w:trPr>
        <w:tc>
          <w:tcPr>
            <w:tcW w:w="4248" w:type="dxa"/>
            <w:noWrap/>
            <w:vAlign w:val="center"/>
            <w:hideMark/>
          </w:tcPr>
          <w:p w14:paraId="6487EDDE" w14:textId="77777777" w:rsidR="00494D4B" w:rsidRPr="003D21B5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lang w:eastAsia="hu-HU"/>
              </w:rPr>
              <w:t>Táppénz</w:t>
            </w:r>
          </w:p>
        </w:tc>
        <w:tc>
          <w:tcPr>
            <w:tcW w:w="1276" w:type="dxa"/>
            <w:noWrap/>
            <w:vAlign w:val="center"/>
          </w:tcPr>
          <w:p w14:paraId="4DBD4593" w14:textId="29259956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173,8</w:t>
            </w:r>
          </w:p>
        </w:tc>
        <w:tc>
          <w:tcPr>
            <w:tcW w:w="1209" w:type="dxa"/>
            <w:noWrap/>
            <w:vAlign w:val="center"/>
          </w:tcPr>
          <w:p w14:paraId="7122EFC4" w14:textId="15A9E3E9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201,3</w:t>
            </w:r>
          </w:p>
        </w:tc>
        <w:tc>
          <w:tcPr>
            <w:tcW w:w="992" w:type="dxa"/>
            <w:noWrap/>
            <w:vAlign w:val="center"/>
          </w:tcPr>
          <w:p w14:paraId="64552A76" w14:textId="4B15B069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 xml:space="preserve">  27,5</w:t>
            </w:r>
          </w:p>
        </w:tc>
        <w:tc>
          <w:tcPr>
            <w:tcW w:w="993" w:type="dxa"/>
            <w:noWrap/>
            <w:vAlign w:val="center"/>
          </w:tcPr>
          <w:p w14:paraId="324ADF3D" w14:textId="39E9D645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115,8</w:t>
            </w:r>
          </w:p>
        </w:tc>
      </w:tr>
    </w:tbl>
    <w:p w14:paraId="7F2895FE" w14:textId="2C05DBE5" w:rsidR="001074A1" w:rsidRDefault="239528D4" w:rsidP="239528D4">
      <w:pPr>
        <w:widowControl w:val="0"/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gyógyító-megelőző ellátásokra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fordított kiadás 2025 első tíz hónapjában 2413,8 milliárd forintot tett ki a 2024 azonos időszakában felmerülő 2197,2 milliárd forint összegű kiadással szemben.</w:t>
      </w:r>
    </w:p>
    <w:p w14:paraId="63C09739" w14:textId="781ABBC9" w:rsidR="13E847AC" w:rsidRDefault="3C87A00B" w:rsidP="13E847AC">
      <w:pPr>
        <w:jc w:val="both"/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lastRenderedPageBreak/>
        <w:t>Az előző évhez viszonyított magasabb összegű kiadás – többek között – az egészségügyi ágazati előmeneteli szabályok hatálya alá tartozó egészségügyi szakdolgozókat és egészségügyben dolgozókat 2024. március 1-jétől megillető, átlagosan 20%-os, valamint az alapellátásban dolgozó egészségügyi dolgozók azonos mértékű béremelésével kapcsolatosan jelentkező, 2025. évre áthúzódó hatásából ered.</w:t>
      </w:r>
    </w:p>
    <w:p w14:paraId="32E93D9D" w14:textId="683A2A35" w:rsidR="13E847AC" w:rsidRDefault="7BF38582" w:rsidP="13E847AC">
      <w:pPr>
        <w:jc w:val="both"/>
      </w:pPr>
      <w:r w:rsidRPr="7BF38582">
        <w:rPr>
          <w:rFonts w:ascii="Times New Roman" w:eastAsia="Times New Roman" w:hAnsi="Times New Roman" w:cs="Times New Roman"/>
          <w:sz w:val="26"/>
          <w:szCs w:val="26"/>
        </w:rPr>
        <w:t>Az előző évhez viszonyított növekedést az is magyarázza, hogy a fekvő- és járóbeteg-szakellátás és laboratóriumi ellátás teljesítményegységeinek forintértékéről szóló új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BM</w:t>
      </w:r>
      <w:r w:rsidR="00A23458">
        <w:rPr>
          <w:rFonts w:ascii="Times New Roman" w:eastAsia="Times New Roman" w:hAnsi="Times New Roman" w:cs="Times New Roman"/>
          <w:sz w:val="26"/>
          <w:szCs w:val="26"/>
        </w:rPr>
        <w:noBreakHyphen/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NGM együttes közlemény, illetve a Nemzeti Dialízis Központ létrehozásával kapcsolatos feladatokról és egyéb, az egészségügyi szolgáltatókat segítő finanszírozási intézkedésekről szóló 66/2025. (IV. 4.) Korm. rendelet, valamint az egészségügyi ágazati szakmai képzésekkel és az egészségügyi szolgáltatók finanszírozásával összefüggő miniszteri rendeletek módosításáról szóló 10/2025. (IV. 4.) BM rendelet alapján az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Egészségbiztosítási Alap Gyógyító-megelőző ellátás alcímének 150,0</w:t>
      </w:r>
      <w:r w:rsidR="006F326F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6F326F">
        <w:rPr>
          <w:rFonts w:ascii="Times New Roman" w:eastAsia="Times New Roman" w:hAnsi="Times New Roman" w:cs="Times New Roman"/>
          <w:sz w:val="26"/>
          <w:szCs w:val="26"/>
        </w:rPr>
        <w:t> forin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t összegű, az Egészségügyi szolgáltatók kiegészítő finanszírozása megnevezésű jogcímcsoport felhasználásával 2025. januártól megtörténik a közfinanszírozásban részesülő egészségügyi szolgáltatók kifizetése.</w:t>
      </w:r>
    </w:p>
    <w:p w14:paraId="69E4940B" w14:textId="508B3750" w:rsidR="001074A1" w:rsidRDefault="239528D4" w:rsidP="239528D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Gyógyszertámogatásra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2025.</w:t>
      </w:r>
      <w:r w:rsidR="00490676">
        <w:rPr>
          <w:rFonts w:ascii="Times New Roman" w:eastAsia="Times New Roman" w:hAnsi="Times New Roman" w:cs="Times New Roman"/>
          <w:sz w:val="26"/>
          <w:szCs w:val="26"/>
        </w:rPr>
        <w:t> o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>któber végéig 487,6 milliárd forint került kifizetésre, amely 35,9 milliárd forinttal magasabb az előző év azonos időszakában kifizetett összegnél.</w:t>
      </w:r>
    </w:p>
    <w:p w14:paraId="7B768C24" w14:textId="4F783F64" w:rsidR="00B155FE" w:rsidRPr="004966FE" w:rsidRDefault="3C87A00B" w:rsidP="3C87A00B">
      <w:pPr>
        <w:keepNext/>
        <w:pageBreakBefore/>
        <w:numPr>
          <w:ilvl w:val="0"/>
          <w:numId w:val="3"/>
        </w:numPr>
        <w:spacing w:after="12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lastRenderedPageBreak/>
        <w:t>A költségvetési szervek és fejezeti kezelésű előirányzatok alakulása</w:t>
      </w:r>
    </w:p>
    <w:p w14:paraId="0CFDE309" w14:textId="329FA452" w:rsidR="00266768" w:rsidRPr="00145F79" w:rsidRDefault="3C87A00B" w:rsidP="3C87A00B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költségvetési szervek bevételei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 első </w:t>
      </w:r>
      <w:r w:rsidR="00422A0B">
        <w:rPr>
          <w:rFonts w:ascii="Times New Roman" w:eastAsia="Times New Roman" w:hAnsi="Times New Roman" w:cs="Times New Roman"/>
          <w:sz w:val="26"/>
          <w:szCs w:val="26"/>
          <w:lang w:eastAsia="hu-HU"/>
        </w:rPr>
        <w:t>tíz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2</w:t>
      </w:r>
      <w:r w:rsid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529,6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milliárd forintot tettek ki, amely 1</w:t>
      </w:r>
      <w:r w:rsid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6,7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magasabb </w:t>
      </w:r>
      <w:r w:rsidRP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az előző év azonos időszakának bevételeihez képest. Az intézmények bevételei közül 1</w:t>
      </w:r>
      <w:r w:rsidR="00AC34DA" w:rsidRP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307,6</w:t>
      </w:r>
      <w:r w:rsidRP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milliárd forintot tett ki a Nemzeti Egészségbiztosítási Alapkezelő által az egészségügyi intézményeknek utalt </w:t>
      </w:r>
      <w:r w:rsidRPr="00145F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támogatás.</w:t>
      </w:r>
    </w:p>
    <w:p w14:paraId="02FB9B34" w14:textId="7ED95407" w:rsidR="00266768" w:rsidRPr="007B6DF2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szakmai fejezeti kezelésű előirányzatok bevételei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 első </w:t>
      </w:r>
      <w:r w:rsid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tíz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</w:t>
      </w:r>
      <w:r w:rsid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463,7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milliárd forintot tettek ki, mely </w:t>
      </w:r>
      <w:r w:rsid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27,6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</w:t>
      </w:r>
      <w:r w:rsid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alacsonyabb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előző év azonos időszakának bevételéhez képest. A bevételek jelentős részét az „Alapok alapja GINOP pénzügyi eszközök” törvényi sorra befolyt összegek teszik ki, melyek nem uniós bevételként jóváírt tételek.</w:t>
      </w:r>
    </w:p>
    <w:p w14:paraId="56786471" w14:textId="296FB82D" w:rsidR="00B63DA3" w:rsidRPr="004966FE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2025. év első </w:t>
      </w:r>
      <w:r w:rsidR="00AC34DA">
        <w:rPr>
          <w:rFonts w:ascii="Times New Roman" w:hAnsi="Times New Roman" w:cs="Times New Roman"/>
          <w:sz w:val="26"/>
          <w:szCs w:val="26"/>
          <w:lang w:eastAsia="hu-HU"/>
        </w:rPr>
        <w:t>tíz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>havi, 2</w:t>
      </w:r>
      <w:r w:rsidR="00AC34DA">
        <w:rPr>
          <w:rFonts w:ascii="Times New Roman" w:hAnsi="Times New Roman" w:cs="Times New Roman"/>
          <w:sz w:val="26"/>
          <w:szCs w:val="26"/>
          <w:lang w:eastAsia="hu-HU"/>
        </w:rPr>
        <w:t>993,3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 milliárd forint összegű bevételek megoszlását a következő grafikon szemlélteti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</w:p>
    <w:p w14:paraId="576D18BB" w14:textId="780DEBA6" w:rsidR="00B056CC" w:rsidRPr="00377D59" w:rsidRDefault="00145F79" w:rsidP="00C2238F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4916292E" wp14:editId="64E0D020">
            <wp:extent cx="5446389" cy="2956944"/>
            <wp:effectExtent l="0" t="0" r="2540" b="0"/>
            <wp:docPr id="219255183" name="Kép 1" descr="A képen szöveg, képernyőkép, sor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55183" name="Kép 1" descr="A képen szöveg, képernyőkép, sor, diagram látható&#10;&#10;Előfordulhat, hogy a mesterséges intelligencia által létrehozott tartalom helytelen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60480" cy="296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331B2" w14:textId="65A78C7C" w:rsidR="00266768" w:rsidRPr="00E56F21" w:rsidRDefault="3C87A00B" w:rsidP="3C87A00B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költségvetési szervek kiadásai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mérlegsoron 2025 első 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tíz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7515,2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milliárd forint kiadás teljesült, mely 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7,9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magasabb az előző év azonos időszakának kiadásaihoz képest. A kiadásból 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4356,2</w:t>
      </w:r>
      <w:r w:rsidR="00413F2D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="00413F2D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 a személyi juttatásokra és munkaadókat terhelő járulékokra kifizetett összeg.</w:t>
      </w:r>
    </w:p>
    <w:p w14:paraId="690E18FB" w14:textId="4570B78A" w:rsidR="0074788C" w:rsidRPr="004966FE" w:rsidRDefault="3C87A00B" w:rsidP="3C87A00B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szakmai fejezeti kezelésű előirányzatok kiadásai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mérlegsoron 2025 első 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tíz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hónapjában 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4373,1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milliárd forint kiadás teljesült, mely 1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3,9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%-kal magasabb, mint az előző év azonos időszakának kiadása. Ezen időszak teljesítéséből az alábbi kiadások emelhetők ki:</w:t>
      </w:r>
    </w:p>
    <w:p w14:paraId="1F07A5C3" w14:textId="5CE13A09" w:rsidR="000E4F73" w:rsidRPr="00BE4BAC" w:rsidRDefault="5DC4A04A" w:rsidP="0E6BB8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966FE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br w:type="page"/>
      </w:r>
    </w:p>
    <w:p w14:paraId="036EE87C" w14:textId="77777777" w:rsidR="000E4F73" w:rsidRPr="00A61DE1" w:rsidRDefault="3C87A00B" w:rsidP="3C87A00B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  <w:r w:rsidRPr="3C87A00B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lastRenderedPageBreak/>
        <w:t>milliárd forint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2"/>
        <w:gridCol w:w="851"/>
      </w:tblGrid>
      <w:tr w:rsidR="00D33920" w:rsidRPr="00D33705" w14:paraId="26A524AC" w14:textId="77777777" w:rsidTr="239528D4">
        <w:trPr>
          <w:trHeight w:val="340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E3F3" w14:textId="77777777" w:rsidR="00D33920" w:rsidRPr="00D33705" w:rsidRDefault="3C87A00B" w:rsidP="3C87A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3C87A00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Normatív finanszírozás (köznevelési célú humánszolgáltatás és működési támogatás, hit- és erkölcstanoktatás és tankönyvtámogatás, illetve szociális, gyermekvédelmi, gyermekjóléti és fogyatékos személyek esélyegyenlőségét elősegítő célelőirányzatok)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CAB3" w14:textId="75D17B55" w:rsidR="00D33920" w:rsidRPr="00D33705" w:rsidRDefault="001C21CA" w:rsidP="239528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858,4</w:t>
            </w:r>
          </w:p>
        </w:tc>
      </w:tr>
      <w:tr w:rsidR="00D33920" w:rsidRPr="00D33705" w14:paraId="0AE5AE84" w14:textId="77777777" w:rsidTr="239528D4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5244" w14:textId="77777777" w:rsidR="00D33920" w:rsidRPr="002763AE" w:rsidRDefault="3C87A00B" w:rsidP="3C87A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3C87A00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Nem állami felsőoktatási intézmények támogatása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E4A6" w14:textId="41F68CCC" w:rsidR="00D33920" w:rsidRPr="002763AE" w:rsidRDefault="001C21CA" w:rsidP="239528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481,3</w:t>
            </w:r>
          </w:p>
        </w:tc>
      </w:tr>
      <w:tr w:rsidR="00EE0057" w:rsidRPr="00D33705" w14:paraId="2311B6CC" w14:textId="77777777" w:rsidTr="239528D4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E1AC" w14:textId="367F6D69" w:rsidR="00EE0057" w:rsidRPr="716D41F4" w:rsidRDefault="3C87A00B" w:rsidP="3C87A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3C87A00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Közlekedési ágazati programok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43DA" w14:textId="08B74A43" w:rsidR="00EE0057" w:rsidRDefault="239528D4" w:rsidP="239528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239528D4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11</w:t>
            </w:r>
            <w:r w:rsidR="001C21C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5,3</w:t>
            </w:r>
          </w:p>
        </w:tc>
      </w:tr>
      <w:tr w:rsidR="00D33920" w:rsidRPr="00D33705" w14:paraId="42DCA3C3" w14:textId="77777777" w:rsidTr="239528D4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B2CA" w14:textId="7C75A97E" w:rsidR="00D33920" w:rsidRPr="002763AE" w:rsidRDefault="3C87A00B" w:rsidP="3C87A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3C87A00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Térségi fejlesztési feladatok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DA61" w14:textId="2EE5C025" w:rsidR="00D33920" w:rsidRPr="002763AE" w:rsidRDefault="001C21CA" w:rsidP="239528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109,5</w:t>
            </w:r>
          </w:p>
        </w:tc>
      </w:tr>
      <w:tr w:rsidR="00EB1850" w:rsidRPr="00D33705" w14:paraId="738BB1D7" w14:textId="77777777" w:rsidTr="239528D4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CB99" w14:textId="1D444CE1" w:rsidR="00EB1850" w:rsidRPr="002763AE" w:rsidRDefault="3C87A00B" w:rsidP="3C87A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3C87A00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Turisztikai fejlesztési célelőirányzat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4D1A" w14:textId="2BFD58E5" w:rsidR="00EB1850" w:rsidRPr="002763AE" w:rsidRDefault="001C21CA" w:rsidP="239528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100,8</w:t>
            </w:r>
          </w:p>
        </w:tc>
      </w:tr>
      <w:tr w:rsidR="00EB1850" w:rsidRPr="00D33705" w14:paraId="691BD3D5" w14:textId="77777777" w:rsidTr="239528D4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D7E5" w14:textId="4D256046" w:rsidR="00EB1850" w:rsidRPr="002763AE" w:rsidRDefault="3C87A00B" w:rsidP="3C87A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3C87A00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Beruházás ösztönzési célelőirányzat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0DAE" w14:textId="06E054D5" w:rsidR="00EB1850" w:rsidRPr="002763AE" w:rsidRDefault="001C21CA" w:rsidP="239528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75,5</w:t>
            </w:r>
          </w:p>
        </w:tc>
      </w:tr>
      <w:tr w:rsidR="00EB1850" w:rsidRPr="00D33705" w14:paraId="1D9DF599" w14:textId="77777777" w:rsidTr="239528D4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862C" w14:textId="69F94ADF" w:rsidR="00EB1850" w:rsidRPr="002763AE" w:rsidRDefault="3C87A00B" w:rsidP="3C87A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3C87A00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Megváltozott munkaképességű munkavállalók foglalkoztatásának támogatása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0BF8" w14:textId="02AFDC16" w:rsidR="00EB1850" w:rsidRPr="002763AE" w:rsidRDefault="001C21CA" w:rsidP="239528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61,0</w:t>
            </w:r>
          </w:p>
        </w:tc>
      </w:tr>
    </w:tbl>
    <w:p w14:paraId="130E1B4D" w14:textId="180C9FDC" w:rsidR="0033462C" w:rsidRPr="00A61DE1" w:rsidRDefault="3C87A00B" w:rsidP="3C87A00B">
      <w:pPr>
        <w:spacing w:before="160"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2025. év első 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tíz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havi, 1</w:t>
      </w:r>
      <w:r w:rsidR="001C21CA">
        <w:rPr>
          <w:rFonts w:ascii="Times New Roman" w:eastAsia="Times New Roman" w:hAnsi="Times New Roman" w:cs="Times New Roman"/>
          <w:sz w:val="26"/>
          <w:szCs w:val="26"/>
          <w:lang w:eastAsia="hu-HU"/>
        </w:rPr>
        <w:t>1 888,2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 forint összegű kiadások megoszlását a következő grafikon szemlélteti:</w:t>
      </w:r>
    </w:p>
    <w:p w14:paraId="3599A16D" w14:textId="39EE1316" w:rsidR="00B056CC" w:rsidRDefault="00145F79" w:rsidP="009C33A4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7D5F05A3" wp14:editId="2D0A4996">
            <wp:extent cx="5107847" cy="2951140"/>
            <wp:effectExtent l="0" t="0" r="0" b="1905"/>
            <wp:docPr id="544992423" name="Kép 1" descr="A képen szöveg, képernyőkép, diagram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92423" name="Kép 1" descr="A képen szöveg, képernyőkép, diagram, sor látható&#10;&#10;Előfordulhat, hogy a mesterséges intelligencia által létrehozott tartalom helytelen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16595" cy="295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68C4E" w14:textId="3E063542" w:rsidR="00B155FE" w:rsidRPr="00377D59" w:rsidRDefault="3C87A00B" w:rsidP="3C87A00B">
      <w:pPr>
        <w:keepNext/>
        <w:numPr>
          <w:ilvl w:val="0"/>
          <w:numId w:val="3"/>
        </w:numPr>
        <w:ind w:left="714" w:hanging="357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t>Kamategyenleg</w:t>
      </w:r>
    </w:p>
    <w:p w14:paraId="0047F521" w14:textId="5297EDE9" w:rsidR="003F3151" w:rsidRDefault="3C87A00B" w:rsidP="3C87A00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1416201"/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A bevételek és kiadások egyenlegeként adódó </w:t>
      </w:r>
      <w:r w:rsidR="00B37A83" w:rsidRPr="00B37A83">
        <w:rPr>
          <w:rFonts w:ascii="Times New Roman" w:hAnsi="Times New Roman" w:cs="Times New Roman"/>
          <w:sz w:val="26"/>
          <w:szCs w:val="26"/>
          <w:lang w:eastAsia="hu-HU"/>
        </w:rPr>
        <w:t>3478,7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 milliárd forint összegű </w:t>
      </w:r>
      <w:r w:rsidRPr="3C87A00B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nettó</w:t>
      </w:r>
      <w:r w:rsidRPr="3C87A00B">
        <w:rPr>
          <w:rFonts w:ascii="Times New Roman" w:hAnsi="Times New Roman" w:cs="Times New Roman"/>
          <w:b/>
          <w:bCs/>
          <w:sz w:val="26"/>
          <w:szCs w:val="26"/>
        </w:rPr>
        <w:t xml:space="preserve"> kamatkiadás</w:t>
      </w:r>
      <w:r w:rsidRPr="3C87A00B">
        <w:rPr>
          <w:rFonts w:ascii="Times New Roman" w:hAnsi="Times New Roman" w:cs="Times New Roman"/>
          <w:sz w:val="26"/>
          <w:szCs w:val="26"/>
        </w:rPr>
        <w:t xml:space="preserve"> </w:t>
      </w:r>
      <w:r w:rsidR="00B37A83">
        <w:rPr>
          <w:rFonts w:ascii="Times New Roman" w:hAnsi="Times New Roman" w:cs="Times New Roman"/>
          <w:sz w:val="26"/>
          <w:szCs w:val="26"/>
        </w:rPr>
        <w:t>októ</w:t>
      </w:r>
      <w:r w:rsidRPr="3C87A00B">
        <w:rPr>
          <w:rFonts w:ascii="Times New Roman" w:hAnsi="Times New Roman" w:cs="Times New Roman"/>
          <w:sz w:val="26"/>
          <w:szCs w:val="26"/>
        </w:rPr>
        <w:t xml:space="preserve">ber végéig </w:t>
      </w:r>
      <w:r w:rsidR="00B37A83" w:rsidRPr="00B37A83">
        <w:rPr>
          <w:rFonts w:ascii="Times New Roman" w:hAnsi="Times New Roman" w:cs="Times New Roman"/>
          <w:sz w:val="26"/>
          <w:szCs w:val="26"/>
        </w:rPr>
        <w:t>641,</w:t>
      </w:r>
      <w:r w:rsidR="00735827">
        <w:rPr>
          <w:rFonts w:ascii="Times New Roman" w:hAnsi="Times New Roman" w:cs="Times New Roman"/>
          <w:sz w:val="26"/>
          <w:szCs w:val="26"/>
        </w:rPr>
        <w:t>4</w:t>
      </w:r>
      <w:r w:rsidRPr="3C87A00B">
        <w:rPr>
          <w:rFonts w:ascii="Times New Roman" w:hAnsi="Times New Roman" w:cs="Times New Roman"/>
          <w:sz w:val="26"/>
          <w:szCs w:val="26"/>
        </w:rPr>
        <w:t> milliárd forinttal lett magasabb az előző évhez képest, mely az előző évitől különböző hozamokkal és finanszírozási szerkezettel magyarázható.</w:t>
      </w:r>
    </w:p>
    <w:bookmarkEnd w:id="1"/>
    <w:p w14:paraId="1475120F" w14:textId="77777777" w:rsidR="00224E67" w:rsidRDefault="00224E67" w:rsidP="716D41F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833000" w14:textId="77777777" w:rsidR="00224E67" w:rsidRDefault="00224E67" w:rsidP="716D41F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768C50" w14:textId="77777777" w:rsidR="00B155FE" w:rsidRPr="00377D59" w:rsidRDefault="00B155FE" w:rsidP="00B155FE">
      <w:pPr>
        <w:tabs>
          <w:tab w:val="left" w:pos="55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0"/>
          <w:lang w:eastAsia="hu-HU"/>
        </w:rPr>
      </w:pPr>
      <w:r w:rsidRPr="00377D59">
        <w:rPr>
          <w:rFonts w:ascii="Times New Roman" w:eastAsia="Times New Roman" w:hAnsi="Times New Roman" w:cs="Times New Roman"/>
          <w:caps/>
          <w:sz w:val="26"/>
          <w:szCs w:val="20"/>
          <w:lang w:eastAsia="hu-HU"/>
        </w:rPr>
        <w:br w:type="page"/>
      </w:r>
    </w:p>
    <w:p w14:paraId="688B9DA7" w14:textId="77777777" w:rsidR="00C9408B" w:rsidRDefault="3C87A00B" w:rsidP="3C87A00B">
      <w:pPr>
        <w:keepNext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lastRenderedPageBreak/>
        <w:t>II.</w:t>
      </w:r>
    </w:p>
    <w:p w14:paraId="7B768C51" w14:textId="63BB059C" w:rsidR="00B155FE" w:rsidRPr="00377D59" w:rsidRDefault="3C87A00B" w:rsidP="3C87A00B">
      <w:pPr>
        <w:keepNext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Az államháztartás központi alrendszerének finanszírozása</w:t>
      </w:r>
    </w:p>
    <w:p w14:paraId="1C71E48D" w14:textId="463A8161" w:rsidR="00224E67" w:rsidRPr="008E6DF0" w:rsidRDefault="3C87A00B" w:rsidP="00B37A83">
      <w:pPr>
        <w:ind w:right="2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központi költségvetés adóssága 2025. </w:t>
      </w:r>
      <w:r w:rsid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októ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ber végéig 4</w:t>
      </w:r>
      <w:r w:rsid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398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r w:rsid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7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 forinttal növekedett a következő négy tényező eredményeképpen:</w:t>
      </w:r>
    </w:p>
    <w:p w14:paraId="1DDD5EC5" w14:textId="486E554B" w:rsidR="00B37A83" w:rsidRDefault="00B37A83" w:rsidP="00B37A8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37A8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Az első tényező 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a nettó forintkibocsátás, amely 3089,2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milliárd forinttal </w:t>
      </w:r>
      <w:r w:rsidRPr="00B37A8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növelte 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az adósságot, így segítette a költségvetési hiány egy részének finanszírozását.</w:t>
      </w:r>
    </w:p>
    <w:p w14:paraId="18370CF8" w14:textId="06E6C3A8" w:rsidR="00B37A83" w:rsidRPr="00B37A83" w:rsidRDefault="00B37A83" w:rsidP="00B37A8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37A8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második – szintén növelő hatású – tényező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nettó devizakibocsátás, amely 2433,</w:t>
      </w:r>
      <w:r w:rsidR="00F91AA5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 forint összegben hozzájárul a hiány finanszírozásához és a devizabetétállomány növekedéséhez.</w:t>
      </w:r>
    </w:p>
    <w:p w14:paraId="785543A5" w14:textId="61B80C7B" w:rsidR="00B37A83" w:rsidRPr="00B37A83" w:rsidRDefault="00B37A83" w:rsidP="00B37A8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37A8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harmadik – fentiekkel ellentétes, csökkentő hatású – tényező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forint árfolyamának az elmúlt év végéhez képest bekövetkezett erősödése, amely az adósság devizában fennálló részének forintban számított nyilvántartási értékét 1036,3 milliárd forinttal mérsékelte.</w:t>
      </w:r>
    </w:p>
    <w:p w14:paraId="4882F075" w14:textId="7C7A250F" w:rsidR="00B37A83" w:rsidRPr="00B37A83" w:rsidRDefault="00B37A83" w:rsidP="00B37A8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37A8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negyedik – további csökkentő hatású – tényező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deviza-keresztárfolyamok változása és az egyéb tényezők miatt bekövetkezett mark-</w:t>
      </w:r>
      <w:proofErr w:type="spellStart"/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to</w:t>
      </w:r>
      <w:proofErr w:type="spellEnd"/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-market betétállományok csökkenése 87,7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 forint összegben.</w:t>
      </w:r>
    </w:p>
    <w:p w14:paraId="510E0310" w14:textId="55B98873" w:rsidR="00CE4893" w:rsidRDefault="00CE4893" w:rsidP="00224E67">
      <w:pPr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11568C6" w14:textId="77777777" w:rsidR="007B0B76" w:rsidRDefault="007B0B76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57CBCF7" w14:textId="192A582E" w:rsidR="007B0B76" w:rsidRPr="007B0B76" w:rsidRDefault="007B0B76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  <w:sectPr w:rsidR="007B0B76" w:rsidRPr="007B0B76" w:rsidSect="007449BF">
          <w:headerReference w:type="default" r:id="rId26"/>
          <w:footerReference w:type="default" r:id="rId27"/>
          <w:footnotePr>
            <w:numRestart w:val="eachPage"/>
          </w:footnotePr>
          <w:pgSz w:w="11907" w:h="16840" w:code="9"/>
          <w:pgMar w:top="1134" w:right="1134" w:bottom="1418" w:left="1418" w:header="709" w:footer="709" w:gutter="0"/>
          <w:cols w:space="708"/>
          <w:docGrid w:linePitch="354"/>
        </w:sectPr>
      </w:pPr>
    </w:p>
    <w:p w14:paraId="7B768C5C" w14:textId="60DB52B8" w:rsidR="00B155FE" w:rsidRPr="00377D59" w:rsidRDefault="3C87A00B" w:rsidP="3C87A00B">
      <w:pPr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Az előzetes adatok szerint 2025. </w:t>
      </w:r>
      <w:r w:rsid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október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végén 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központi költségvetés forint- és devizaadóssága 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az alábbiak szerint alakult:</w:t>
      </w:r>
    </w:p>
    <w:p w14:paraId="7B768C5D" w14:textId="252296E8" w:rsidR="00B155FE" w:rsidRDefault="3C87A00B" w:rsidP="3C87A00B">
      <w:pPr>
        <w:overflowPunct w:val="0"/>
        <w:autoSpaceDE w:val="0"/>
        <w:autoSpaceDN w:val="0"/>
        <w:adjustRightInd w:val="0"/>
        <w:spacing w:after="120" w:line="240" w:lineRule="auto"/>
        <w:ind w:right="23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A központi költségvetés adósságának alakulása 2025-ben, milliárd forint</w:t>
      </w:r>
    </w:p>
    <w:p w14:paraId="31C86ED1" w14:textId="09AE72BD" w:rsidR="007B0B76" w:rsidRDefault="004B33EA" w:rsidP="13E847AC">
      <w:pPr>
        <w:overflowPunct w:val="0"/>
        <w:autoSpaceDE w:val="0"/>
        <w:autoSpaceDN w:val="0"/>
        <w:adjustRightInd w:val="0"/>
        <w:spacing w:after="120" w:line="240" w:lineRule="auto"/>
        <w:ind w:right="23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noProof/>
        </w:rPr>
        <w:drawing>
          <wp:inline distT="0" distB="0" distL="0" distR="0" wp14:anchorId="0718AA31" wp14:editId="4DD89A90">
            <wp:extent cx="8936990" cy="4230370"/>
            <wp:effectExtent l="0" t="0" r="0" b="0"/>
            <wp:docPr id="158101343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990" cy="42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8C5F" w14:textId="77777777" w:rsidR="00B155FE" w:rsidRPr="00377D59" w:rsidRDefault="3C87A00B" w:rsidP="3C87A0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3C87A00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 a táblában szereplő tizedes eltérések kerekítésből adódnak.</w:t>
      </w:r>
    </w:p>
    <w:p w14:paraId="67FEF71B" w14:textId="4352F928" w:rsidR="00617877" w:rsidRPr="00377D59" w:rsidRDefault="00617877" w:rsidP="00617877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12D5E01" w14:textId="247C2A7A" w:rsidR="00617877" w:rsidRPr="00377D59" w:rsidRDefault="00617877" w:rsidP="00617877">
      <w:pPr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764331" w14:textId="77777777" w:rsidR="00EA1F58" w:rsidRPr="00377D59" w:rsidRDefault="00EA1F58" w:rsidP="00617877">
      <w:pPr>
        <w:rPr>
          <w:rFonts w:ascii="Times New Roman" w:eastAsia="Times New Roman" w:hAnsi="Times New Roman" w:cs="Times New Roman"/>
          <w:sz w:val="26"/>
          <w:szCs w:val="26"/>
          <w:lang w:eastAsia="hu-HU"/>
        </w:rPr>
        <w:sectPr w:rsidR="00EA1F58" w:rsidRPr="00377D59" w:rsidSect="007449BF">
          <w:headerReference w:type="default" r:id="rId29"/>
          <w:headerReference w:type="first" r:id="rId30"/>
          <w:footnotePr>
            <w:numRestart w:val="eachPage"/>
          </w:footnotePr>
          <w:pgSz w:w="16840" w:h="11907" w:orient="landscape" w:code="9"/>
          <w:pgMar w:top="993" w:right="1134" w:bottom="1134" w:left="1418" w:header="709" w:footer="709" w:gutter="0"/>
          <w:pgNumType w:start="19"/>
          <w:cols w:space="708"/>
          <w:titlePg/>
          <w:docGrid w:linePitch="299"/>
        </w:sectPr>
      </w:pPr>
    </w:p>
    <w:p w14:paraId="2F72EADB" w14:textId="62A9F6B5" w:rsidR="004B33EA" w:rsidRPr="004B33EA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A központi költségvetés devizaadóssága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2025-ben 1397,2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17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955,0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forintra növekedett az elmúlt év végéhez képest. A devizaadósság részaránya a 2024. év végi 29,8%-os szintről 30,0%-os szintre emelkedett a teljes adósságon belül.</w:t>
      </w:r>
    </w:p>
    <w:p w14:paraId="66A89186" w14:textId="676F48B2" w:rsidR="004B33EA" w:rsidRPr="004B33EA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A növekedés hátterében döntően a devizakötvény-kibocsátások állnak. 2025. január 7-én sor került az idei év első nemzetközi eurókötvény-kibocsátására összesen 1035,7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(2,5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összegben. Két sorozat piacra vitele történt meg, egy 10 éves futamidejű hagyományos sorozat 621,4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és egy 15 éves futamidejű zöld sorozat 414,3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összegben. 2025. június 16-án valósult meg a második nemzetközi devizakötvénykibocsátás, összesen 1404,6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értékben. Ez három tételből állt, az 5 éves futamidejű 526,7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összegű, a 10 éves futamidejű 351,1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 és a 30 éves futamidejű 526,7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 sorozatból. 2025. július 22-én volt Magyarország idei harmadik devizakötvény kibocsátása, amely egyben hazánk ötödik Panda Kötvény kibocsátása Kínában, összesen 237,8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összegben. Két sorozat értékesítése történt meg, egy 3 éves futamidejű 190,2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és egy 5 éves futamidejű 47,6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összegű. </w:t>
      </w:r>
    </w:p>
    <w:p w14:paraId="6BE3A3D5" w14:textId="065E99D7" w:rsidR="004B33EA" w:rsidRPr="004B33EA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ECP (Euro </w:t>
      </w:r>
      <w:proofErr w:type="spellStart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Commercial</w:t>
      </w:r>
      <w:proofErr w:type="spellEnd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Paper</w:t>
      </w:r>
      <w:proofErr w:type="spellEnd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) program keretében áprilisban kibocsátott devizaértékpapírok összege 180,1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(500 millió USD) volt. A további devizahitel lehívások összege szintén emelte, míg az árfolyamerősödés ugyanakkor csökkentette a devizaadósság részarányát.</w:t>
      </w:r>
    </w:p>
    <w:p w14:paraId="071DC33E" w14:textId="78D2A67D" w:rsidR="004B33EA" w:rsidRPr="004B33EA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költségvetés forintadóssága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október végéig 3089,2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növekedett és 41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790,8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ért el, a forint adósság a teljes államadósság 69,8%-át teszi ki. 2024</w:t>
      </w:r>
      <w:r w:rsidR="007A1926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decemberében ez az arány szintén 69,8% volt. </w:t>
      </w:r>
    </w:p>
    <w:p w14:paraId="1BD7D394" w14:textId="47567603" w:rsidR="004B33EA" w:rsidRPr="004B33EA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2025. október végén a forint lakossági állampapírok állománya 11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383,0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ki, ami 120,1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növekedést jelent 2024. december vége óta. A Prémium Magyar Állampapír állománya 2025. október végére 3079,7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csökkent, amely így 3881,3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Fix Magyar Állampapír állománya 2295,4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növekedett és elérte a 3312,3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hó végén. Szintén emelkedett a Bónusz Magyar Állampapír állománya is, 861,6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növekedést követően a hó végén 2070,5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Magyar Állampapír Plusz állománya, a nyomdai kibocsátású és a korábban értékesített papírokkal együtt, 279,7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emelkedett, így hó végén 1042,3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lakossági állampapírok közül a Fix Magyar Állampapír értékesítése volt a legmagasabb októberben.</w:t>
      </w:r>
    </w:p>
    <w:p w14:paraId="4651EDF3" w14:textId="2C90994E" w:rsidR="004B33EA" w:rsidRPr="004B33EA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Az ÁKK Zrt. október hó folyamán összesen 2,9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összegben vásárolt vissza lakossági állampapírokat a forgalmazó bankoktól. 2025 áprilisától a forgalmazóknak lehetőség nyílt saját számlájukra került lakossági állampapírok cseréjére. Ennek keretében a saját számlájukra került lakossági állampapírokat az épp értékesítés alatt álló sorozatokra válthatják be, amit a másodpiacon tovább értékesíthetnek a lakosság számára. 2025 októbertől megújult a lakossági állampapír paletta, </w:t>
      </w:r>
      <w:proofErr w:type="gramStart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ezért</w:t>
      </w:r>
      <w:proofErr w:type="gramEnd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hogy a bankoknak lehetőség nyíljon az új 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papírok figyelembevételére is a csere során, a szeptember havi csere 9,5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összegben áthúzódott október elejére, majd ezt követően az október végi csere folyamán 48,3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összegben éltek a cserelehetőséggel a bankok.  </w:t>
      </w:r>
    </w:p>
    <w:p w14:paraId="502270BF" w14:textId="6845936F" w:rsidR="004B33EA" w:rsidRPr="004B33EA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külföldi befektetők állampapír állománya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októberben 838,5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7249,1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forintra emelkedett az előző hónaphoz képest. A külföldi állomány 99,8%-a, 7232,3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államkötvény, 0,2%-a, 16,8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diszkontkincstárjegy. A</w:t>
      </w:r>
      <w:r w:rsidR="007A1926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külföldi állomány átlagos hátralévő futamideje október végén 5,8 év volt.</w:t>
      </w:r>
    </w:p>
    <w:p w14:paraId="41B275C0" w14:textId="266F9E89" w:rsidR="007B0B76" w:rsidRDefault="004B33EA" w:rsidP="004B33EA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devizaállamadósság kockázatainak mérséklése érdekében az ÁKK Zrt. </w:t>
      </w:r>
      <w:proofErr w:type="spellStart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swapügyleteket</w:t>
      </w:r>
      <w:proofErr w:type="spellEnd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köt. Ezen ügyletekhez kapcsolódóan az ÁKK Zrt.-nél elhelyezett fedezeti összegek (ún. mark-</w:t>
      </w:r>
      <w:proofErr w:type="spellStart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to</w:t>
      </w:r>
      <w:proofErr w:type="spellEnd"/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-market betétek) az adósságállomány részét képezik, és az „egyéb kötelezettségek” soron kerülnek kimutatásra. A vizsgált időszakban az egyéb kötelezettségek állománya 87,7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csökkent. Október végén az állomány 131,9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ki, ami a teljes államadósság 0,2%-át jelenti.</w:t>
      </w:r>
    </w:p>
    <w:p w14:paraId="32E988AF" w14:textId="77777777" w:rsidR="00807A87" w:rsidRPr="007B0B76" w:rsidRDefault="00807A87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807A87" w:rsidRPr="007B0B76" w:rsidSect="007449BF">
      <w:headerReference w:type="even" r:id="rId31"/>
      <w:footerReference w:type="default" r:id="rId32"/>
      <w:footerReference w:type="first" r:id="rId33"/>
      <w:pgSz w:w="11906" w:h="16838"/>
      <w:pgMar w:top="1418" w:right="1134" w:bottom="1418" w:left="1134" w:header="708" w:footer="6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813D" w14:textId="77777777" w:rsidR="000F7142" w:rsidRDefault="000F7142" w:rsidP="00B155FE">
      <w:pPr>
        <w:spacing w:after="0" w:line="240" w:lineRule="auto"/>
      </w:pPr>
      <w:r>
        <w:separator/>
      </w:r>
    </w:p>
  </w:endnote>
  <w:endnote w:type="continuationSeparator" w:id="0">
    <w:p w14:paraId="7990734B" w14:textId="77777777" w:rsidR="000F7142" w:rsidRDefault="000F7142" w:rsidP="00B155FE">
      <w:pPr>
        <w:spacing w:after="0" w:line="240" w:lineRule="auto"/>
      </w:pPr>
      <w:r>
        <w:continuationSeparator/>
      </w:r>
    </w:p>
  </w:endnote>
  <w:endnote w:type="continuationNotice" w:id="1">
    <w:p w14:paraId="6D2C6579" w14:textId="77777777" w:rsidR="000F7142" w:rsidRDefault="000F7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2D1F" w14:textId="4DE2DC1D" w:rsidR="00473AC1" w:rsidRDefault="00473AC1">
    <w:pPr>
      <w:pStyle w:val="llb"/>
      <w:jc w:val="center"/>
    </w:pPr>
  </w:p>
  <w:p w14:paraId="41773F2F" w14:textId="77777777" w:rsidR="00473AC1" w:rsidRDefault="00473A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154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2C756D2" w14:textId="3800D4A3" w:rsidR="00473AC1" w:rsidRPr="005A1E0F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5A1E0F">
          <w:rPr>
            <w:rFonts w:ascii="Times New Roman" w:hAnsi="Times New Roman" w:cs="Times New Roman"/>
          </w:rPr>
          <w:t>20</w:t>
        </w:r>
      </w:p>
    </w:sdtContent>
  </w:sdt>
  <w:p w14:paraId="64304736" w14:textId="77777777" w:rsidR="00473AC1" w:rsidRDefault="00473AC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558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0FD5F29" w14:textId="7D80A60B" w:rsidR="00473AC1" w:rsidRPr="00470868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470868">
          <w:rPr>
            <w:rFonts w:ascii="Times New Roman" w:hAnsi="Times New Roman" w:cs="Times New Roman"/>
            <w:sz w:val="24"/>
          </w:rPr>
          <w:fldChar w:fldCharType="begin"/>
        </w:r>
        <w:r w:rsidRPr="00470868">
          <w:rPr>
            <w:rFonts w:ascii="Times New Roman" w:hAnsi="Times New Roman" w:cs="Times New Roman"/>
            <w:sz w:val="24"/>
          </w:rPr>
          <w:instrText>PAGE   \* MERGEFORMAT</w:instrText>
        </w:r>
        <w:r w:rsidRPr="00470868">
          <w:rPr>
            <w:rFonts w:ascii="Times New Roman" w:hAnsi="Times New Roman" w:cs="Times New Roman"/>
            <w:sz w:val="24"/>
          </w:rPr>
          <w:fldChar w:fldCharType="separate"/>
        </w:r>
        <w:r w:rsidR="007B6DF2">
          <w:rPr>
            <w:rFonts w:ascii="Times New Roman" w:hAnsi="Times New Roman" w:cs="Times New Roman"/>
            <w:noProof/>
            <w:sz w:val="24"/>
          </w:rPr>
          <w:t>19</w:t>
        </w:r>
        <w:r w:rsidRPr="004708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7329691" w14:textId="773A5D5E" w:rsidR="00473AC1" w:rsidRPr="00556984" w:rsidRDefault="00473AC1" w:rsidP="00556984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18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ADCE6C8" w14:textId="77777777" w:rsidR="00473AC1" w:rsidRPr="00D4148C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22</w:t>
        </w:r>
      </w:p>
    </w:sdtContent>
  </w:sdt>
  <w:p w14:paraId="078E8FA1" w14:textId="77777777" w:rsidR="00473AC1" w:rsidRDefault="00473AC1" w:rsidP="00C74E0F">
    <w:pPr>
      <w:pStyle w:val="llb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0D1" w14:textId="0EBE225F" w:rsidR="00473AC1" w:rsidRDefault="239528D4" w:rsidP="004A3001">
    <w:pPr>
      <w:pStyle w:val="llb"/>
      <w:jc w:val="center"/>
    </w:pPr>
    <w:r w:rsidRPr="239528D4">
      <w:rPr>
        <w:rFonts w:ascii="Times New Roman" w:hAnsi="Times New Roman" w:cs="Times New Roman"/>
        <w:sz w:val="24"/>
        <w:szCs w:val="24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72B2" w14:textId="77777777" w:rsidR="000F7142" w:rsidRDefault="000F7142" w:rsidP="00B155FE">
      <w:pPr>
        <w:spacing w:after="0" w:line="240" w:lineRule="auto"/>
      </w:pPr>
      <w:r>
        <w:separator/>
      </w:r>
    </w:p>
  </w:footnote>
  <w:footnote w:type="continuationSeparator" w:id="0">
    <w:p w14:paraId="2D241A6B" w14:textId="77777777" w:rsidR="000F7142" w:rsidRDefault="000F7142" w:rsidP="00B155FE">
      <w:pPr>
        <w:spacing w:after="0" w:line="240" w:lineRule="auto"/>
      </w:pPr>
      <w:r>
        <w:continuationSeparator/>
      </w:r>
    </w:p>
  </w:footnote>
  <w:footnote w:type="continuationNotice" w:id="1">
    <w:p w14:paraId="3833500A" w14:textId="77777777" w:rsidR="000F7142" w:rsidRDefault="000F7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473AC1" w14:paraId="1027336C" w14:textId="77777777" w:rsidTr="75E7E8C2">
      <w:tc>
        <w:tcPr>
          <w:tcW w:w="3118" w:type="dxa"/>
        </w:tcPr>
        <w:p w14:paraId="4C837DDD" w14:textId="79A8EEFC" w:rsidR="00473AC1" w:rsidRDefault="00473AC1" w:rsidP="75E7E8C2">
          <w:pPr>
            <w:pStyle w:val="lfej"/>
            <w:ind w:left="-115"/>
          </w:pPr>
        </w:p>
      </w:tc>
      <w:tc>
        <w:tcPr>
          <w:tcW w:w="3118" w:type="dxa"/>
        </w:tcPr>
        <w:p w14:paraId="215A5B55" w14:textId="4B5EFC16" w:rsidR="00473AC1" w:rsidRDefault="00473AC1" w:rsidP="75E7E8C2">
          <w:pPr>
            <w:pStyle w:val="lfej"/>
            <w:jc w:val="center"/>
          </w:pPr>
        </w:p>
      </w:tc>
      <w:tc>
        <w:tcPr>
          <w:tcW w:w="3118" w:type="dxa"/>
        </w:tcPr>
        <w:p w14:paraId="08CD3A76" w14:textId="283AC16D" w:rsidR="00473AC1" w:rsidRDefault="00473AC1" w:rsidP="75E7E8C2">
          <w:pPr>
            <w:pStyle w:val="lfej"/>
            <w:ind w:right="-115"/>
            <w:jc w:val="right"/>
          </w:pPr>
        </w:p>
      </w:tc>
    </w:tr>
  </w:tbl>
  <w:p w14:paraId="4176297E" w14:textId="7CD13837" w:rsidR="00473AC1" w:rsidRDefault="00473AC1" w:rsidP="75E7E8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47D1" w14:textId="3D0DDD49" w:rsidR="00473AC1" w:rsidRDefault="00473AC1" w:rsidP="75E7E8C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C96" w14:textId="77777777" w:rsidR="00473AC1" w:rsidRPr="00881044" w:rsidRDefault="00473AC1" w:rsidP="00C74E0F">
    <w:pPr>
      <w:pStyle w:val="lfej"/>
      <w:rPr>
        <w:rStyle w:val="Oldalszm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C97" w14:textId="77777777" w:rsidR="00473AC1" w:rsidRPr="00FE4DD1" w:rsidRDefault="00473AC1" w:rsidP="00C74E0F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0095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B15785" w14:textId="77777777" w:rsidR="00473AC1" w:rsidRDefault="00473AC1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A775F7D" w14:textId="77777777" w:rsidR="00473AC1" w:rsidRDefault="00473A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298"/>
    <w:multiLevelType w:val="hybridMultilevel"/>
    <w:tmpl w:val="44CCC2AC"/>
    <w:lvl w:ilvl="0" w:tplc="08783BE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2D43"/>
    <w:multiLevelType w:val="hybridMultilevel"/>
    <w:tmpl w:val="390E53F2"/>
    <w:lvl w:ilvl="0" w:tplc="F872D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C4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C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E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66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06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A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3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4D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7670D"/>
    <w:multiLevelType w:val="hybridMultilevel"/>
    <w:tmpl w:val="FDDC7674"/>
    <w:lvl w:ilvl="0" w:tplc="9120D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33469"/>
    <w:multiLevelType w:val="hybridMultilevel"/>
    <w:tmpl w:val="D612FE54"/>
    <w:lvl w:ilvl="0" w:tplc="85BCE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8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1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4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48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0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0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AE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CE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3523A"/>
    <w:multiLevelType w:val="hybridMultilevel"/>
    <w:tmpl w:val="92D45DA0"/>
    <w:lvl w:ilvl="0" w:tplc="5E42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F720B"/>
    <w:multiLevelType w:val="hybridMultilevel"/>
    <w:tmpl w:val="9D346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3289">
    <w:abstractNumId w:val="3"/>
  </w:num>
  <w:num w:numId="2" w16cid:durableId="1171026080">
    <w:abstractNumId w:val="4"/>
  </w:num>
  <w:num w:numId="3" w16cid:durableId="1245341741">
    <w:abstractNumId w:val="0"/>
  </w:num>
  <w:num w:numId="4" w16cid:durableId="1549414595">
    <w:abstractNumId w:val="5"/>
  </w:num>
  <w:num w:numId="5" w16cid:durableId="993993450">
    <w:abstractNumId w:val="2"/>
  </w:num>
  <w:num w:numId="6" w16cid:durableId="89535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FE"/>
    <w:rsid w:val="00000517"/>
    <w:rsid w:val="0000169C"/>
    <w:rsid w:val="000017BD"/>
    <w:rsid w:val="00001DDD"/>
    <w:rsid w:val="00001F08"/>
    <w:rsid w:val="000044C3"/>
    <w:rsid w:val="000079FD"/>
    <w:rsid w:val="00007D4A"/>
    <w:rsid w:val="000103E9"/>
    <w:rsid w:val="000118DE"/>
    <w:rsid w:val="00015558"/>
    <w:rsid w:val="00015945"/>
    <w:rsid w:val="00020D17"/>
    <w:rsid w:val="0002105A"/>
    <w:rsid w:val="00022205"/>
    <w:rsid w:val="00022974"/>
    <w:rsid w:val="000237EA"/>
    <w:rsid w:val="00024158"/>
    <w:rsid w:val="0002586B"/>
    <w:rsid w:val="00025889"/>
    <w:rsid w:val="00026266"/>
    <w:rsid w:val="0002674A"/>
    <w:rsid w:val="0002725E"/>
    <w:rsid w:val="000302F3"/>
    <w:rsid w:val="00031896"/>
    <w:rsid w:val="00031C82"/>
    <w:rsid w:val="00031C9D"/>
    <w:rsid w:val="00034760"/>
    <w:rsid w:val="000365DC"/>
    <w:rsid w:val="0003668B"/>
    <w:rsid w:val="0003701E"/>
    <w:rsid w:val="0004032B"/>
    <w:rsid w:val="000407DB"/>
    <w:rsid w:val="00042512"/>
    <w:rsid w:val="00043E49"/>
    <w:rsid w:val="00044042"/>
    <w:rsid w:val="000458BD"/>
    <w:rsid w:val="00045DF7"/>
    <w:rsid w:val="000471E4"/>
    <w:rsid w:val="000512BB"/>
    <w:rsid w:val="00051E9B"/>
    <w:rsid w:val="0005236D"/>
    <w:rsid w:val="00052502"/>
    <w:rsid w:val="0005250F"/>
    <w:rsid w:val="00052554"/>
    <w:rsid w:val="00052E4F"/>
    <w:rsid w:val="00054358"/>
    <w:rsid w:val="00054CDA"/>
    <w:rsid w:val="00055632"/>
    <w:rsid w:val="00057916"/>
    <w:rsid w:val="0006115E"/>
    <w:rsid w:val="000611EC"/>
    <w:rsid w:val="000617B7"/>
    <w:rsid w:val="00064521"/>
    <w:rsid w:val="0006496D"/>
    <w:rsid w:val="00064D6A"/>
    <w:rsid w:val="00064E2A"/>
    <w:rsid w:val="00065E19"/>
    <w:rsid w:val="00067A57"/>
    <w:rsid w:val="00070EAC"/>
    <w:rsid w:val="00071FA3"/>
    <w:rsid w:val="00072A58"/>
    <w:rsid w:val="0007336F"/>
    <w:rsid w:val="00073826"/>
    <w:rsid w:val="0007525D"/>
    <w:rsid w:val="000770F3"/>
    <w:rsid w:val="00077440"/>
    <w:rsid w:val="0008062F"/>
    <w:rsid w:val="000809B3"/>
    <w:rsid w:val="00081A0C"/>
    <w:rsid w:val="00081A16"/>
    <w:rsid w:val="00081FF0"/>
    <w:rsid w:val="00082ADE"/>
    <w:rsid w:val="000846A7"/>
    <w:rsid w:val="00085B09"/>
    <w:rsid w:val="00085C37"/>
    <w:rsid w:val="00085DCC"/>
    <w:rsid w:val="000874F4"/>
    <w:rsid w:val="00087C75"/>
    <w:rsid w:val="00090E9A"/>
    <w:rsid w:val="00091B18"/>
    <w:rsid w:val="00091F16"/>
    <w:rsid w:val="0009484D"/>
    <w:rsid w:val="00095983"/>
    <w:rsid w:val="00095C95"/>
    <w:rsid w:val="00096300"/>
    <w:rsid w:val="000A0A88"/>
    <w:rsid w:val="000A0C4E"/>
    <w:rsid w:val="000A18F9"/>
    <w:rsid w:val="000A1F24"/>
    <w:rsid w:val="000A2818"/>
    <w:rsid w:val="000A296F"/>
    <w:rsid w:val="000A2EAB"/>
    <w:rsid w:val="000A4669"/>
    <w:rsid w:val="000A4732"/>
    <w:rsid w:val="000A4839"/>
    <w:rsid w:val="000A531B"/>
    <w:rsid w:val="000A7964"/>
    <w:rsid w:val="000A7B53"/>
    <w:rsid w:val="000B1235"/>
    <w:rsid w:val="000B2569"/>
    <w:rsid w:val="000B410B"/>
    <w:rsid w:val="000B49AE"/>
    <w:rsid w:val="000B58D6"/>
    <w:rsid w:val="000B58F0"/>
    <w:rsid w:val="000B6723"/>
    <w:rsid w:val="000B6BE0"/>
    <w:rsid w:val="000B7018"/>
    <w:rsid w:val="000C1105"/>
    <w:rsid w:val="000C13F2"/>
    <w:rsid w:val="000C1781"/>
    <w:rsid w:val="000C1B6F"/>
    <w:rsid w:val="000C20F7"/>
    <w:rsid w:val="000C2BFE"/>
    <w:rsid w:val="000C31E5"/>
    <w:rsid w:val="000C3D4C"/>
    <w:rsid w:val="000C46F3"/>
    <w:rsid w:val="000C7981"/>
    <w:rsid w:val="000C7CC7"/>
    <w:rsid w:val="000D074C"/>
    <w:rsid w:val="000D1BA8"/>
    <w:rsid w:val="000D39EE"/>
    <w:rsid w:val="000D4A41"/>
    <w:rsid w:val="000D4E21"/>
    <w:rsid w:val="000D59E2"/>
    <w:rsid w:val="000D5A5C"/>
    <w:rsid w:val="000D6C88"/>
    <w:rsid w:val="000D76F4"/>
    <w:rsid w:val="000D7836"/>
    <w:rsid w:val="000D7C83"/>
    <w:rsid w:val="000D7EFD"/>
    <w:rsid w:val="000E08FE"/>
    <w:rsid w:val="000E3639"/>
    <w:rsid w:val="000E4202"/>
    <w:rsid w:val="000E4745"/>
    <w:rsid w:val="000E488F"/>
    <w:rsid w:val="000E4A68"/>
    <w:rsid w:val="000E4B01"/>
    <w:rsid w:val="000E4BA6"/>
    <w:rsid w:val="000E4F73"/>
    <w:rsid w:val="000E5868"/>
    <w:rsid w:val="000E5AA8"/>
    <w:rsid w:val="000E690A"/>
    <w:rsid w:val="000E6C13"/>
    <w:rsid w:val="000E78FE"/>
    <w:rsid w:val="000F046E"/>
    <w:rsid w:val="000F13BA"/>
    <w:rsid w:val="000F63B6"/>
    <w:rsid w:val="000F7142"/>
    <w:rsid w:val="000F765C"/>
    <w:rsid w:val="0010108E"/>
    <w:rsid w:val="00101618"/>
    <w:rsid w:val="001023AC"/>
    <w:rsid w:val="00103FE9"/>
    <w:rsid w:val="00104A6A"/>
    <w:rsid w:val="001074A1"/>
    <w:rsid w:val="0010753C"/>
    <w:rsid w:val="00110C6D"/>
    <w:rsid w:val="001135FA"/>
    <w:rsid w:val="001138B8"/>
    <w:rsid w:val="0011423A"/>
    <w:rsid w:val="00115834"/>
    <w:rsid w:val="00115AF5"/>
    <w:rsid w:val="00117E64"/>
    <w:rsid w:val="001209E7"/>
    <w:rsid w:val="00120B53"/>
    <w:rsid w:val="001215DC"/>
    <w:rsid w:val="001229C6"/>
    <w:rsid w:val="0012490F"/>
    <w:rsid w:val="00125040"/>
    <w:rsid w:val="0012611D"/>
    <w:rsid w:val="001266D5"/>
    <w:rsid w:val="00126D53"/>
    <w:rsid w:val="00127579"/>
    <w:rsid w:val="00130472"/>
    <w:rsid w:val="00133EE6"/>
    <w:rsid w:val="0013421A"/>
    <w:rsid w:val="0013434A"/>
    <w:rsid w:val="00134BE6"/>
    <w:rsid w:val="00134EEA"/>
    <w:rsid w:val="001357E1"/>
    <w:rsid w:val="0013596C"/>
    <w:rsid w:val="00135EA3"/>
    <w:rsid w:val="00136087"/>
    <w:rsid w:val="001366F9"/>
    <w:rsid w:val="001378AC"/>
    <w:rsid w:val="00142F01"/>
    <w:rsid w:val="00145F79"/>
    <w:rsid w:val="00146517"/>
    <w:rsid w:val="00147C0E"/>
    <w:rsid w:val="001508AD"/>
    <w:rsid w:val="00150CCD"/>
    <w:rsid w:val="0015256A"/>
    <w:rsid w:val="00153722"/>
    <w:rsid w:val="0015385C"/>
    <w:rsid w:val="00153C19"/>
    <w:rsid w:val="00155283"/>
    <w:rsid w:val="001552F0"/>
    <w:rsid w:val="00155301"/>
    <w:rsid w:val="00155BD4"/>
    <w:rsid w:val="00156079"/>
    <w:rsid w:val="001615DE"/>
    <w:rsid w:val="00161C4F"/>
    <w:rsid w:val="00162178"/>
    <w:rsid w:val="00167874"/>
    <w:rsid w:val="00170E23"/>
    <w:rsid w:val="00173573"/>
    <w:rsid w:val="00174A9A"/>
    <w:rsid w:val="001765F3"/>
    <w:rsid w:val="00180316"/>
    <w:rsid w:val="00180337"/>
    <w:rsid w:val="00182D6E"/>
    <w:rsid w:val="00182EA1"/>
    <w:rsid w:val="00183D4C"/>
    <w:rsid w:val="001849A2"/>
    <w:rsid w:val="00185268"/>
    <w:rsid w:val="001855C0"/>
    <w:rsid w:val="00186B09"/>
    <w:rsid w:val="0019060B"/>
    <w:rsid w:val="00190E21"/>
    <w:rsid w:val="0019257A"/>
    <w:rsid w:val="00193514"/>
    <w:rsid w:val="001936BE"/>
    <w:rsid w:val="00193DF7"/>
    <w:rsid w:val="00194065"/>
    <w:rsid w:val="00194E8F"/>
    <w:rsid w:val="00194EEE"/>
    <w:rsid w:val="001967FC"/>
    <w:rsid w:val="001970FB"/>
    <w:rsid w:val="00197516"/>
    <w:rsid w:val="001A025E"/>
    <w:rsid w:val="001A2835"/>
    <w:rsid w:val="001A4175"/>
    <w:rsid w:val="001A4E5E"/>
    <w:rsid w:val="001A57FD"/>
    <w:rsid w:val="001A5B43"/>
    <w:rsid w:val="001A5BE2"/>
    <w:rsid w:val="001A7E0B"/>
    <w:rsid w:val="001B0DB1"/>
    <w:rsid w:val="001B307C"/>
    <w:rsid w:val="001B389C"/>
    <w:rsid w:val="001B4158"/>
    <w:rsid w:val="001B416B"/>
    <w:rsid w:val="001B4DF1"/>
    <w:rsid w:val="001B50D2"/>
    <w:rsid w:val="001B6F61"/>
    <w:rsid w:val="001C0209"/>
    <w:rsid w:val="001C1935"/>
    <w:rsid w:val="001C21CA"/>
    <w:rsid w:val="001C456C"/>
    <w:rsid w:val="001D04A8"/>
    <w:rsid w:val="001D04FF"/>
    <w:rsid w:val="001D17F4"/>
    <w:rsid w:val="001D22D6"/>
    <w:rsid w:val="001D42E6"/>
    <w:rsid w:val="001D4975"/>
    <w:rsid w:val="001D49AD"/>
    <w:rsid w:val="001D6BA0"/>
    <w:rsid w:val="001D701F"/>
    <w:rsid w:val="001D709B"/>
    <w:rsid w:val="001D7FB5"/>
    <w:rsid w:val="001E0CF6"/>
    <w:rsid w:val="001E2296"/>
    <w:rsid w:val="001E2D1E"/>
    <w:rsid w:val="001E4B4D"/>
    <w:rsid w:val="001E4C57"/>
    <w:rsid w:val="001E6717"/>
    <w:rsid w:val="001E6750"/>
    <w:rsid w:val="001E689B"/>
    <w:rsid w:val="001E6F74"/>
    <w:rsid w:val="001E7243"/>
    <w:rsid w:val="001E7C1C"/>
    <w:rsid w:val="001F0233"/>
    <w:rsid w:val="001F10C2"/>
    <w:rsid w:val="001F14EB"/>
    <w:rsid w:val="001F4D95"/>
    <w:rsid w:val="001F7400"/>
    <w:rsid w:val="001F7BB0"/>
    <w:rsid w:val="001F7CA7"/>
    <w:rsid w:val="00201050"/>
    <w:rsid w:val="00201886"/>
    <w:rsid w:val="00201D91"/>
    <w:rsid w:val="00202A40"/>
    <w:rsid w:val="00203266"/>
    <w:rsid w:val="0020367E"/>
    <w:rsid w:val="0020471C"/>
    <w:rsid w:val="00204D0A"/>
    <w:rsid w:val="00204EA6"/>
    <w:rsid w:val="0020759E"/>
    <w:rsid w:val="00210593"/>
    <w:rsid w:val="002107FF"/>
    <w:rsid w:val="00210B1E"/>
    <w:rsid w:val="00213E49"/>
    <w:rsid w:val="002147CD"/>
    <w:rsid w:val="00215B35"/>
    <w:rsid w:val="00215F73"/>
    <w:rsid w:val="00217D8B"/>
    <w:rsid w:val="0022104D"/>
    <w:rsid w:val="0022196A"/>
    <w:rsid w:val="00221A06"/>
    <w:rsid w:val="002223AF"/>
    <w:rsid w:val="00224466"/>
    <w:rsid w:val="0022447A"/>
    <w:rsid w:val="00224692"/>
    <w:rsid w:val="00224714"/>
    <w:rsid w:val="002247AD"/>
    <w:rsid w:val="00224E67"/>
    <w:rsid w:val="002260BF"/>
    <w:rsid w:val="002267D0"/>
    <w:rsid w:val="00226A85"/>
    <w:rsid w:val="002276A7"/>
    <w:rsid w:val="0022DF0C"/>
    <w:rsid w:val="002310C9"/>
    <w:rsid w:val="00232288"/>
    <w:rsid w:val="00232FCD"/>
    <w:rsid w:val="00235F55"/>
    <w:rsid w:val="0023693F"/>
    <w:rsid w:val="00236BF8"/>
    <w:rsid w:val="0024009D"/>
    <w:rsid w:val="002400E5"/>
    <w:rsid w:val="002409BB"/>
    <w:rsid w:val="00241A82"/>
    <w:rsid w:val="00241E69"/>
    <w:rsid w:val="0024232D"/>
    <w:rsid w:val="0024454E"/>
    <w:rsid w:val="0024586E"/>
    <w:rsid w:val="0025038B"/>
    <w:rsid w:val="00250E1F"/>
    <w:rsid w:val="0025229C"/>
    <w:rsid w:val="00252EE5"/>
    <w:rsid w:val="00255506"/>
    <w:rsid w:val="002564C4"/>
    <w:rsid w:val="00256C78"/>
    <w:rsid w:val="00257190"/>
    <w:rsid w:val="00261221"/>
    <w:rsid w:val="0026130A"/>
    <w:rsid w:val="00261F15"/>
    <w:rsid w:val="00262041"/>
    <w:rsid w:val="0026208D"/>
    <w:rsid w:val="002655BB"/>
    <w:rsid w:val="00265E51"/>
    <w:rsid w:val="00266768"/>
    <w:rsid w:val="002678FB"/>
    <w:rsid w:val="00270798"/>
    <w:rsid w:val="00271066"/>
    <w:rsid w:val="00272765"/>
    <w:rsid w:val="00272CF0"/>
    <w:rsid w:val="002736E9"/>
    <w:rsid w:val="0027381C"/>
    <w:rsid w:val="00275CF5"/>
    <w:rsid w:val="002763AE"/>
    <w:rsid w:val="00280C09"/>
    <w:rsid w:val="00280E99"/>
    <w:rsid w:val="00281CE8"/>
    <w:rsid w:val="002827DF"/>
    <w:rsid w:val="00282A85"/>
    <w:rsid w:val="00284631"/>
    <w:rsid w:val="00285866"/>
    <w:rsid w:val="00286170"/>
    <w:rsid w:val="0028671F"/>
    <w:rsid w:val="00290289"/>
    <w:rsid w:val="002910F0"/>
    <w:rsid w:val="0029176A"/>
    <w:rsid w:val="002921A1"/>
    <w:rsid w:val="0029251A"/>
    <w:rsid w:val="0029365F"/>
    <w:rsid w:val="00293965"/>
    <w:rsid w:val="00295391"/>
    <w:rsid w:val="002954AA"/>
    <w:rsid w:val="00295EBB"/>
    <w:rsid w:val="002975B9"/>
    <w:rsid w:val="002A11AD"/>
    <w:rsid w:val="002A1BCD"/>
    <w:rsid w:val="002A34E6"/>
    <w:rsid w:val="002A41A8"/>
    <w:rsid w:val="002A4B97"/>
    <w:rsid w:val="002A4F7A"/>
    <w:rsid w:val="002A6144"/>
    <w:rsid w:val="002B0545"/>
    <w:rsid w:val="002B09F4"/>
    <w:rsid w:val="002B2B83"/>
    <w:rsid w:val="002B39F8"/>
    <w:rsid w:val="002B3F6F"/>
    <w:rsid w:val="002B492B"/>
    <w:rsid w:val="002B4E58"/>
    <w:rsid w:val="002B5961"/>
    <w:rsid w:val="002B7AB3"/>
    <w:rsid w:val="002B7BB9"/>
    <w:rsid w:val="002B7C36"/>
    <w:rsid w:val="002C11E9"/>
    <w:rsid w:val="002C1531"/>
    <w:rsid w:val="002C25D3"/>
    <w:rsid w:val="002C34B8"/>
    <w:rsid w:val="002C4EE9"/>
    <w:rsid w:val="002C5F14"/>
    <w:rsid w:val="002C6300"/>
    <w:rsid w:val="002C688F"/>
    <w:rsid w:val="002C6917"/>
    <w:rsid w:val="002C6F14"/>
    <w:rsid w:val="002D04D3"/>
    <w:rsid w:val="002D0677"/>
    <w:rsid w:val="002D1B11"/>
    <w:rsid w:val="002D20E7"/>
    <w:rsid w:val="002D387C"/>
    <w:rsid w:val="002D4984"/>
    <w:rsid w:val="002D56EC"/>
    <w:rsid w:val="002D6497"/>
    <w:rsid w:val="002D6802"/>
    <w:rsid w:val="002D7478"/>
    <w:rsid w:val="002D7CCE"/>
    <w:rsid w:val="002D7D55"/>
    <w:rsid w:val="002E08A7"/>
    <w:rsid w:val="002E1C57"/>
    <w:rsid w:val="002E2022"/>
    <w:rsid w:val="002E31EF"/>
    <w:rsid w:val="002E3CCD"/>
    <w:rsid w:val="002E401D"/>
    <w:rsid w:val="002E4CE9"/>
    <w:rsid w:val="002E4E83"/>
    <w:rsid w:val="002E502E"/>
    <w:rsid w:val="002E589F"/>
    <w:rsid w:val="002E5FBF"/>
    <w:rsid w:val="002E70D5"/>
    <w:rsid w:val="002E75A7"/>
    <w:rsid w:val="002E7744"/>
    <w:rsid w:val="002E7EAD"/>
    <w:rsid w:val="002F0795"/>
    <w:rsid w:val="002F0E70"/>
    <w:rsid w:val="002F150D"/>
    <w:rsid w:val="002F2521"/>
    <w:rsid w:val="002F25C3"/>
    <w:rsid w:val="002F3D61"/>
    <w:rsid w:val="002F4854"/>
    <w:rsid w:val="002F4E3B"/>
    <w:rsid w:val="002F5E69"/>
    <w:rsid w:val="002F6126"/>
    <w:rsid w:val="002F6DDD"/>
    <w:rsid w:val="002F7F1A"/>
    <w:rsid w:val="0030136A"/>
    <w:rsid w:val="003016AA"/>
    <w:rsid w:val="003018B0"/>
    <w:rsid w:val="00303306"/>
    <w:rsid w:val="003050ED"/>
    <w:rsid w:val="00306C97"/>
    <w:rsid w:val="00306EFA"/>
    <w:rsid w:val="00307C4F"/>
    <w:rsid w:val="003100A2"/>
    <w:rsid w:val="003112A9"/>
    <w:rsid w:val="0031139E"/>
    <w:rsid w:val="00311E85"/>
    <w:rsid w:val="003138FC"/>
    <w:rsid w:val="00313E8A"/>
    <w:rsid w:val="00314245"/>
    <w:rsid w:val="0031479F"/>
    <w:rsid w:val="00315E40"/>
    <w:rsid w:val="00316788"/>
    <w:rsid w:val="00316DCC"/>
    <w:rsid w:val="003208C8"/>
    <w:rsid w:val="00322101"/>
    <w:rsid w:val="0032261D"/>
    <w:rsid w:val="00323B30"/>
    <w:rsid w:val="00324B1E"/>
    <w:rsid w:val="0032514C"/>
    <w:rsid w:val="00326644"/>
    <w:rsid w:val="00327378"/>
    <w:rsid w:val="00327D30"/>
    <w:rsid w:val="00330084"/>
    <w:rsid w:val="003310E3"/>
    <w:rsid w:val="00331938"/>
    <w:rsid w:val="00331B23"/>
    <w:rsid w:val="00331DCD"/>
    <w:rsid w:val="00333A2D"/>
    <w:rsid w:val="0033462C"/>
    <w:rsid w:val="00334D9F"/>
    <w:rsid w:val="00334DE1"/>
    <w:rsid w:val="00336B23"/>
    <w:rsid w:val="00336E30"/>
    <w:rsid w:val="0034134A"/>
    <w:rsid w:val="003415FE"/>
    <w:rsid w:val="0034232F"/>
    <w:rsid w:val="00343A3D"/>
    <w:rsid w:val="00343F69"/>
    <w:rsid w:val="00345686"/>
    <w:rsid w:val="00346073"/>
    <w:rsid w:val="00346908"/>
    <w:rsid w:val="0034721A"/>
    <w:rsid w:val="00347F4F"/>
    <w:rsid w:val="00350210"/>
    <w:rsid w:val="00350F76"/>
    <w:rsid w:val="00351743"/>
    <w:rsid w:val="003517A3"/>
    <w:rsid w:val="00351831"/>
    <w:rsid w:val="00351D59"/>
    <w:rsid w:val="003524B0"/>
    <w:rsid w:val="003526BB"/>
    <w:rsid w:val="003550F2"/>
    <w:rsid w:val="003558B8"/>
    <w:rsid w:val="003559D3"/>
    <w:rsid w:val="00356959"/>
    <w:rsid w:val="0035701C"/>
    <w:rsid w:val="0035786C"/>
    <w:rsid w:val="00360024"/>
    <w:rsid w:val="00362276"/>
    <w:rsid w:val="003632EE"/>
    <w:rsid w:val="00364745"/>
    <w:rsid w:val="0036497A"/>
    <w:rsid w:val="00366359"/>
    <w:rsid w:val="00370B57"/>
    <w:rsid w:val="00370CD6"/>
    <w:rsid w:val="0037227B"/>
    <w:rsid w:val="00373612"/>
    <w:rsid w:val="003754BF"/>
    <w:rsid w:val="00375C19"/>
    <w:rsid w:val="0037705D"/>
    <w:rsid w:val="003772C6"/>
    <w:rsid w:val="00377D59"/>
    <w:rsid w:val="003804A3"/>
    <w:rsid w:val="00380D8A"/>
    <w:rsid w:val="00381A54"/>
    <w:rsid w:val="00381FC5"/>
    <w:rsid w:val="003824FA"/>
    <w:rsid w:val="00382EE1"/>
    <w:rsid w:val="003847D8"/>
    <w:rsid w:val="00384AA3"/>
    <w:rsid w:val="00385EC8"/>
    <w:rsid w:val="003865FB"/>
    <w:rsid w:val="00387FF8"/>
    <w:rsid w:val="00390A19"/>
    <w:rsid w:val="00390D71"/>
    <w:rsid w:val="0039133A"/>
    <w:rsid w:val="00391ACC"/>
    <w:rsid w:val="003942C9"/>
    <w:rsid w:val="003943D5"/>
    <w:rsid w:val="00395832"/>
    <w:rsid w:val="00397C7F"/>
    <w:rsid w:val="003A0943"/>
    <w:rsid w:val="003A0BA1"/>
    <w:rsid w:val="003A2419"/>
    <w:rsid w:val="003A4B83"/>
    <w:rsid w:val="003A4D97"/>
    <w:rsid w:val="003A5C78"/>
    <w:rsid w:val="003A6B84"/>
    <w:rsid w:val="003A7E2F"/>
    <w:rsid w:val="003B04CA"/>
    <w:rsid w:val="003B2E1F"/>
    <w:rsid w:val="003B356C"/>
    <w:rsid w:val="003B53B6"/>
    <w:rsid w:val="003B55AB"/>
    <w:rsid w:val="003B5A9A"/>
    <w:rsid w:val="003B73B2"/>
    <w:rsid w:val="003C09EA"/>
    <w:rsid w:val="003C1306"/>
    <w:rsid w:val="003C13C6"/>
    <w:rsid w:val="003C1F7C"/>
    <w:rsid w:val="003C20B2"/>
    <w:rsid w:val="003C2D6B"/>
    <w:rsid w:val="003C391B"/>
    <w:rsid w:val="003C501E"/>
    <w:rsid w:val="003C57BB"/>
    <w:rsid w:val="003C6F64"/>
    <w:rsid w:val="003D0602"/>
    <w:rsid w:val="003D16B4"/>
    <w:rsid w:val="003D21B5"/>
    <w:rsid w:val="003D27F6"/>
    <w:rsid w:val="003D4300"/>
    <w:rsid w:val="003D5132"/>
    <w:rsid w:val="003D61A8"/>
    <w:rsid w:val="003E2A67"/>
    <w:rsid w:val="003E46ED"/>
    <w:rsid w:val="003E4A11"/>
    <w:rsid w:val="003E4A41"/>
    <w:rsid w:val="003E508C"/>
    <w:rsid w:val="003E622C"/>
    <w:rsid w:val="003E634A"/>
    <w:rsid w:val="003E7547"/>
    <w:rsid w:val="003F1571"/>
    <w:rsid w:val="003F18A4"/>
    <w:rsid w:val="003F267F"/>
    <w:rsid w:val="003F3149"/>
    <w:rsid w:val="003F3151"/>
    <w:rsid w:val="003F417E"/>
    <w:rsid w:val="003F4F73"/>
    <w:rsid w:val="003F7883"/>
    <w:rsid w:val="00400149"/>
    <w:rsid w:val="004003D1"/>
    <w:rsid w:val="00401229"/>
    <w:rsid w:val="004012A0"/>
    <w:rsid w:val="00401B4D"/>
    <w:rsid w:val="00402B47"/>
    <w:rsid w:val="00403D7E"/>
    <w:rsid w:val="00404793"/>
    <w:rsid w:val="0040704D"/>
    <w:rsid w:val="00411AC0"/>
    <w:rsid w:val="00411BDD"/>
    <w:rsid w:val="00413F2D"/>
    <w:rsid w:val="00414CDD"/>
    <w:rsid w:val="004163D7"/>
    <w:rsid w:val="004206D8"/>
    <w:rsid w:val="00421775"/>
    <w:rsid w:val="004220DE"/>
    <w:rsid w:val="00422213"/>
    <w:rsid w:val="00422A0B"/>
    <w:rsid w:val="0042380D"/>
    <w:rsid w:val="00424EA1"/>
    <w:rsid w:val="004269CF"/>
    <w:rsid w:val="00427EF9"/>
    <w:rsid w:val="00427F34"/>
    <w:rsid w:val="00427FBF"/>
    <w:rsid w:val="0043012E"/>
    <w:rsid w:val="00430D26"/>
    <w:rsid w:val="00433577"/>
    <w:rsid w:val="0043393D"/>
    <w:rsid w:val="00436C3A"/>
    <w:rsid w:val="004412D5"/>
    <w:rsid w:val="0044233D"/>
    <w:rsid w:val="00442993"/>
    <w:rsid w:val="0044396F"/>
    <w:rsid w:val="00444303"/>
    <w:rsid w:val="00444554"/>
    <w:rsid w:val="00444BD9"/>
    <w:rsid w:val="0044587B"/>
    <w:rsid w:val="00446026"/>
    <w:rsid w:val="004478CA"/>
    <w:rsid w:val="004523FE"/>
    <w:rsid w:val="00453786"/>
    <w:rsid w:val="00455A9C"/>
    <w:rsid w:val="004561EE"/>
    <w:rsid w:val="0045694E"/>
    <w:rsid w:val="00457124"/>
    <w:rsid w:val="00457711"/>
    <w:rsid w:val="00457918"/>
    <w:rsid w:val="00457950"/>
    <w:rsid w:val="004603AD"/>
    <w:rsid w:val="004605F2"/>
    <w:rsid w:val="00461216"/>
    <w:rsid w:val="00462EDD"/>
    <w:rsid w:val="00463BF1"/>
    <w:rsid w:val="00464B6D"/>
    <w:rsid w:val="00464D42"/>
    <w:rsid w:val="00465074"/>
    <w:rsid w:val="00466164"/>
    <w:rsid w:val="00466390"/>
    <w:rsid w:val="00466A47"/>
    <w:rsid w:val="00466C80"/>
    <w:rsid w:val="00467A58"/>
    <w:rsid w:val="00467BD6"/>
    <w:rsid w:val="00467E01"/>
    <w:rsid w:val="00470868"/>
    <w:rsid w:val="004726B3"/>
    <w:rsid w:val="004727C2"/>
    <w:rsid w:val="004730BE"/>
    <w:rsid w:val="00473AC1"/>
    <w:rsid w:val="00474AC8"/>
    <w:rsid w:val="00477B37"/>
    <w:rsid w:val="004816C1"/>
    <w:rsid w:val="00482908"/>
    <w:rsid w:val="00482CC1"/>
    <w:rsid w:val="0048361E"/>
    <w:rsid w:val="004837DC"/>
    <w:rsid w:val="0048484D"/>
    <w:rsid w:val="00485019"/>
    <w:rsid w:val="004854D3"/>
    <w:rsid w:val="00485E1E"/>
    <w:rsid w:val="004879B8"/>
    <w:rsid w:val="00490330"/>
    <w:rsid w:val="00490676"/>
    <w:rsid w:val="0049287F"/>
    <w:rsid w:val="00492CAB"/>
    <w:rsid w:val="00494B89"/>
    <w:rsid w:val="00494D4B"/>
    <w:rsid w:val="004951E8"/>
    <w:rsid w:val="004966FE"/>
    <w:rsid w:val="00496C75"/>
    <w:rsid w:val="00496EAA"/>
    <w:rsid w:val="004971F1"/>
    <w:rsid w:val="004A0A15"/>
    <w:rsid w:val="004A1812"/>
    <w:rsid w:val="004A2974"/>
    <w:rsid w:val="004A3001"/>
    <w:rsid w:val="004A3258"/>
    <w:rsid w:val="004A6A8F"/>
    <w:rsid w:val="004A6DD1"/>
    <w:rsid w:val="004B0F31"/>
    <w:rsid w:val="004B1132"/>
    <w:rsid w:val="004B1AF1"/>
    <w:rsid w:val="004B2CAC"/>
    <w:rsid w:val="004B2DC3"/>
    <w:rsid w:val="004B30A3"/>
    <w:rsid w:val="004B3295"/>
    <w:rsid w:val="004B33EA"/>
    <w:rsid w:val="004B3704"/>
    <w:rsid w:val="004B391E"/>
    <w:rsid w:val="004B60A5"/>
    <w:rsid w:val="004B7931"/>
    <w:rsid w:val="004B7DC9"/>
    <w:rsid w:val="004C0575"/>
    <w:rsid w:val="004C0F47"/>
    <w:rsid w:val="004C1AE7"/>
    <w:rsid w:val="004C1B57"/>
    <w:rsid w:val="004C2BB5"/>
    <w:rsid w:val="004C3A05"/>
    <w:rsid w:val="004C3E54"/>
    <w:rsid w:val="004C5206"/>
    <w:rsid w:val="004C5E84"/>
    <w:rsid w:val="004C64E7"/>
    <w:rsid w:val="004C6BF5"/>
    <w:rsid w:val="004C73AF"/>
    <w:rsid w:val="004C74F8"/>
    <w:rsid w:val="004D06BA"/>
    <w:rsid w:val="004D0EEC"/>
    <w:rsid w:val="004D32C3"/>
    <w:rsid w:val="004D3C6E"/>
    <w:rsid w:val="004D50F6"/>
    <w:rsid w:val="004D5146"/>
    <w:rsid w:val="004D549E"/>
    <w:rsid w:val="004D72BB"/>
    <w:rsid w:val="004D7623"/>
    <w:rsid w:val="004E069E"/>
    <w:rsid w:val="004E12D4"/>
    <w:rsid w:val="004E13F6"/>
    <w:rsid w:val="004E141D"/>
    <w:rsid w:val="004E1FF6"/>
    <w:rsid w:val="004E23DD"/>
    <w:rsid w:val="004E504E"/>
    <w:rsid w:val="004E5FD4"/>
    <w:rsid w:val="004E6FA2"/>
    <w:rsid w:val="004E7487"/>
    <w:rsid w:val="004F2496"/>
    <w:rsid w:val="004F25F4"/>
    <w:rsid w:val="004F277F"/>
    <w:rsid w:val="004F3641"/>
    <w:rsid w:val="004F3AFD"/>
    <w:rsid w:val="004F3B57"/>
    <w:rsid w:val="004F3F73"/>
    <w:rsid w:val="004F41FE"/>
    <w:rsid w:val="004F4571"/>
    <w:rsid w:val="004F6040"/>
    <w:rsid w:val="004F63CD"/>
    <w:rsid w:val="00502998"/>
    <w:rsid w:val="00504F0B"/>
    <w:rsid w:val="0050611B"/>
    <w:rsid w:val="00507BC3"/>
    <w:rsid w:val="0051029C"/>
    <w:rsid w:val="00510390"/>
    <w:rsid w:val="00510655"/>
    <w:rsid w:val="005106CA"/>
    <w:rsid w:val="00512E06"/>
    <w:rsid w:val="00512F67"/>
    <w:rsid w:val="00515112"/>
    <w:rsid w:val="005171E0"/>
    <w:rsid w:val="005173AB"/>
    <w:rsid w:val="00520DE7"/>
    <w:rsid w:val="00521BEE"/>
    <w:rsid w:val="00523772"/>
    <w:rsid w:val="00523C26"/>
    <w:rsid w:val="005246B0"/>
    <w:rsid w:val="00525D74"/>
    <w:rsid w:val="00526D67"/>
    <w:rsid w:val="005271DC"/>
    <w:rsid w:val="005278BA"/>
    <w:rsid w:val="00527BF5"/>
    <w:rsid w:val="0053032B"/>
    <w:rsid w:val="00530561"/>
    <w:rsid w:val="00530DB0"/>
    <w:rsid w:val="0053190B"/>
    <w:rsid w:val="00531A41"/>
    <w:rsid w:val="00533CAF"/>
    <w:rsid w:val="005349A5"/>
    <w:rsid w:val="00540FF8"/>
    <w:rsid w:val="00541866"/>
    <w:rsid w:val="00541988"/>
    <w:rsid w:val="00541D66"/>
    <w:rsid w:val="00543F6A"/>
    <w:rsid w:val="00545562"/>
    <w:rsid w:val="00545BAB"/>
    <w:rsid w:val="0054669C"/>
    <w:rsid w:val="00546DC0"/>
    <w:rsid w:val="00547A9D"/>
    <w:rsid w:val="00547E18"/>
    <w:rsid w:val="0055132B"/>
    <w:rsid w:val="005518E4"/>
    <w:rsid w:val="005521BE"/>
    <w:rsid w:val="00553319"/>
    <w:rsid w:val="005535B5"/>
    <w:rsid w:val="00556984"/>
    <w:rsid w:val="0055711F"/>
    <w:rsid w:val="00557FA3"/>
    <w:rsid w:val="0056020F"/>
    <w:rsid w:val="00560E0A"/>
    <w:rsid w:val="0056202F"/>
    <w:rsid w:val="005635A9"/>
    <w:rsid w:val="005652EE"/>
    <w:rsid w:val="00565662"/>
    <w:rsid w:val="00567344"/>
    <w:rsid w:val="00567CCD"/>
    <w:rsid w:val="00570628"/>
    <w:rsid w:val="005710F5"/>
    <w:rsid w:val="005720D2"/>
    <w:rsid w:val="00572182"/>
    <w:rsid w:val="00577309"/>
    <w:rsid w:val="00577BC5"/>
    <w:rsid w:val="005824F1"/>
    <w:rsid w:val="00584382"/>
    <w:rsid w:val="00584DFC"/>
    <w:rsid w:val="00585F22"/>
    <w:rsid w:val="005861AE"/>
    <w:rsid w:val="005865EE"/>
    <w:rsid w:val="00587EF6"/>
    <w:rsid w:val="00590630"/>
    <w:rsid w:val="00590E73"/>
    <w:rsid w:val="005916AF"/>
    <w:rsid w:val="00591D8B"/>
    <w:rsid w:val="00591E27"/>
    <w:rsid w:val="005920CB"/>
    <w:rsid w:val="0059272E"/>
    <w:rsid w:val="005933D0"/>
    <w:rsid w:val="00595277"/>
    <w:rsid w:val="005961B9"/>
    <w:rsid w:val="00597117"/>
    <w:rsid w:val="005971AF"/>
    <w:rsid w:val="00597EA7"/>
    <w:rsid w:val="005A0706"/>
    <w:rsid w:val="005A0AFC"/>
    <w:rsid w:val="005A1631"/>
    <w:rsid w:val="005A1E0F"/>
    <w:rsid w:val="005A246F"/>
    <w:rsid w:val="005A29CC"/>
    <w:rsid w:val="005A2C54"/>
    <w:rsid w:val="005A2FAA"/>
    <w:rsid w:val="005A34A7"/>
    <w:rsid w:val="005A684D"/>
    <w:rsid w:val="005A799B"/>
    <w:rsid w:val="005B053D"/>
    <w:rsid w:val="005B0833"/>
    <w:rsid w:val="005B1F86"/>
    <w:rsid w:val="005B2320"/>
    <w:rsid w:val="005B2606"/>
    <w:rsid w:val="005B326D"/>
    <w:rsid w:val="005B3CDC"/>
    <w:rsid w:val="005B3D58"/>
    <w:rsid w:val="005B4611"/>
    <w:rsid w:val="005B5A7D"/>
    <w:rsid w:val="005C0096"/>
    <w:rsid w:val="005C15F7"/>
    <w:rsid w:val="005C1AC5"/>
    <w:rsid w:val="005C32F3"/>
    <w:rsid w:val="005C34CA"/>
    <w:rsid w:val="005C3CF0"/>
    <w:rsid w:val="005C3E1F"/>
    <w:rsid w:val="005C3ECD"/>
    <w:rsid w:val="005C4E5A"/>
    <w:rsid w:val="005C7709"/>
    <w:rsid w:val="005D02FC"/>
    <w:rsid w:val="005D119B"/>
    <w:rsid w:val="005D2900"/>
    <w:rsid w:val="005D3512"/>
    <w:rsid w:val="005D3B78"/>
    <w:rsid w:val="005D42A9"/>
    <w:rsid w:val="005D513C"/>
    <w:rsid w:val="005D5304"/>
    <w:rsid w:val="005E0C48"/>
    <w:rsid w:val="005E1651"/>
    <w:rsid w:val="005E1A83"/>
    <w:rsid w:val="005E31AC"/>
    <w:rsid w:val="005E34FD"/>
    <w:rsid w:val="005E45B0"/>
    <w:rsid w:val="005E5043"/>
    <w:rsid w:val="005E58C2"/>
    <w:rsid w:val="005E59CE"/>
    <w:rsid w:val="005F0581"/>
    <w:rsid w:val="005F1EEB"/>
    <w:rsid w:val="005F252F"/>
    <w:rsid w:val="005F5EDA"/>
    <w:rsid w:val="005F608E"/>
    <w:rsid w:val="005F7D0D"/>
    <w:rsid w:val="006013D2"/>
    <w:rsid w:val="00601C5A"/>
    <w:rsid w:val="00602E3C"/>
    <w:rsid w:val="00603461"/>
    <w:rsid w:val="006068B4"/>
    <w:rsid w:val="00607B0F"/>
    <w:rsid w:val="00607C87"/>
    <w:rsid w:val="006106CD"/>
    <w:rsid w:val="006116FE"/>
    <w:rsid w:val="00611B90"/>
    <w:rsid w:val="00614293"/>
    <w:rsid w:val="00614FF0"/>
    <w:rsid w:val="00616AB4"/>
    <w:rsid w:val="00617877"/>
    <w:rsid w:val="00617ED1"/>
    <w:rsid w:val="006200F6"/>
    <w:rsid w:val="00620CC0"/>
    <w:rsid w:val="00621840"/>
    <w:rsid w:val="006222FA"/>
    <w:rsid w:val="006224FC"/>
    <w:rsid w:val="006246EB"/>
    <w:rsid w:val="00625A7C"/>
    <w:rsid w:val="006260BC"/>
    <w:rsid w:val="00626339"/>
    <w:rsid w:val="00626577"/>
    <w:rsid w:val="0063002E"/>
    <w:rsid w:val="006314BC"/>
    <w:rsid w:val="00631F76"/>
    <w:rsid w:val="006320E9"/>
    <w:rsid w:val="00632B6F"/>
    <w:rsid w:val="006330AD"/>
    <w:rsid w:val="00637245"/>
    <w:rsid w:val="0063782C"/>
    <w:rsid w:val="00637F9C"/>
    <w:rsid w:val="00640595"/>
    <w:rsid w:val="00641968"/>
    <w:rsid w:val="00644395"/>
    <w:rsid w:val="006449C9"/>
    <w:rsid w:val="006461FB"/>
    <w:rsid w:val="00650D65"/>
    <w:rsid w:val="00650D9E"/>
    <w:rsid w:val="00656077"/>
    <w:rsid w:val="006569D7"/>
    <w:rsid w:val="00656DFE"/>
    <w:rsid w:val="00656E38"/>
    <w:rsid w:val="00657D8D"/>
    <w:rsid w:val="00660576"/>
    <w:rsid w:val="0066185B"/>
    <w:rsid w:val="0066786F"/>
    <w:rsid w:val="00667FF1"/>
    <w:rsid w:val="00670A50"/>
    <w:rsid w:val="0067190E"/>
    <w:rsid w:val="006737F6"/>
    <w:rsid w:val="00673E4A"/>
    <w:rsid w:val="00675784"/>
    <w:rsid w:val="006757CD"/>
    <w:rsid w:val="00676F5C"/>
    <w:rsid w:val="0067747F"/>
    <w:rsid w:val="00677483"/>
    <w:rsid w:val="006777EF"/>
    <w:rsid w:val="006817A6"/>
    <w:rsid w:val="006818BE"/>
    <w:rsid w:val="0068195E"/>
    <w:rsid w:val="00681D20"/>
    <w:rsid w:val="00681D46"/>
    <w:rsid w:val="00681D62"/>
    <w:rsid w:val="00681ED2"/>
    <w:rsid w:val="006821C2"/>
    <w:rsid w:val="006829CF"/>
    <w:rsid w:val="00684395"/>
    <w:rsid w:val="006843D1"/>
    <w:rsid w:val="00684D06"/>
    <w:rsid w:val="0068535B"/>
    <w:rsid w:val="00685DCD"/>
    <w:rsid w:val="00686075"/>
    <w:rsid w:val="0068706A"/>
    <w:rsid w:val="006879C8"/>
    <w:rsid w:val="0068D30D"/>
    <w:rsid w:val="006909E9"/>
    <w:rsid w:val="0069214F"/>
    <w:rsid w:val="006921DD"/>
    <w:rsid w:val="00692C42"/>
    <w:rsid w:val="0069385B"/>
    <w:rsid w:val="006949BB"/>
    <w:rsid w:val="00695394"/>
    <w:rsid w:val="00695B1B"/>
    <w:rsid w:val="0069615E"/>
    <w:rsid w:val="00696F46"/>
    <w:rsid w:val="006A0D78"/>
    <w:rsid w:val="006A18B3"/>
    <w:rsid w:val="006A36E4"/>
    <w:rsid w:val="006A38AE"/>
    <w:rsid w:val="006A486D"/>
    <w:rsid w:val="006A4AFD"/>
    <w:rsid w:val="006A624D"/>
    <w:rsid w:val="006A6F7F"/>
    <w:rsid w:val="006B0D06"/>
    <w:rsid w:val="006B0E36"/>
    <w:rsid w:val="006B0F2B"/>
    <w:rsid w:val="006B1170"/>
    <w:rsid w:val="006B2682"/>
    <w:rsid w:val="006B3F67"/>
    <w:rsid w:val="006B5076"/>
    <w:rsid w:val="006B50D4"/>
    <w:rsid w:val="006B6122"/>
    <w:rsid w:val="006B6C1C"/>
    <w:rsid w:val="006B7816"/>
    <w:rsid w:val="006C1AFA"/>
    <w:rsid w:val="006C240C"/>
    <w:rsid w:val="006C2769"/>
    <w:rsid w:val="006C2DF5"/>
    <w:rsid w:val="006C3879"/>
    <w:rsid w:val="006C5291"/>
    <w:rsid w:val="006C5426"/>
    <w:rsid w:val="006C7878"/>
    <w:rsid w:val="006C7960"/>
    <w:rsid w:val="006C7B4D"/>
    <w:rsid w:val="006D0DB6"/>
    <w:rsid w:val="006D25BB"/>
    <w:rsid w:val="006D304F"/>
    <w:rsid w:val="006D363A"/>
    <w:rsid w:val="006D3BF5"/>
    <w:rsid w:val="006D5492"/>
    <w:rsid w:val="006D57FF"/>
    <w:rsid w:val="006D626D"/>
    <w:rsid w:val="006D67B9"/>
    <w:rsid w:val="006D7645"/>
    <w:rsid w:val="006D7D00"/>
    <w:rsid w:val="006E045D"/>
    <w:rsid w:val="006E12D4"/>
    <w:rsid w:val="006E1380"/>
    <w:rsid w:val="006E1E70"/>
    <w:rsid w:val="006E311E"/>
    <w:rsid w:val="006E3762"/>
    <w:rsid w:val="006E3821"/>
    <w:rsid w:val="006E690D"/>
    <w:rsid w:val="006E789B"/>
    <w:rsid w:val="006E7C4E"/>
    <w:rsid w:val="006F0156"/>
    <w:rsid w:val="006F0DD1"/>
    <w:rsid w:val="006F1C22"/>
    <w:rsid w:val="006F2528"/>
    <w:rsid w:val="006F263E"/>
    <w:rsid w:val="006F2D56"/>
    <w:rsid w:val="006F326F"/>
    <w:rsid w:val="006F6524"/>
    <w:rsid w:val="006F7D2B"/>
    <w:rsid w:val="0070016B"/>
    <w:rsid w:val="007007A3"/>
    <w:rsid w:val="00700FD8"/>
    <w:rsid w:val="007031B7"/>
    <w:rsid w:val="007046C5"/>
    <w:rsid w:val="0070715D"/>
    <w:rsid w:val="00710A26"/>
    <w:rsid w:val="00711792"/>
    <w:rsid w:val="00712607"/>
    <w:rsid w:val="00712EB6"/>
    <w:rsid w:val="00713E95"/>
    <w:rsid w:val="00714A81"/>
    <w:rsid w:val="00714BC4"/>
    <w:rsid w:val="00715220"/>
    <w:rsid w:val="00715222"/>
    <w:rsid w:val="0071549A"/>
    <w:rsid w:val="007173BC"/>
    <w:rsid w:val="007176FE"/>
    <w:rsid w:val="0072076F"/>
    <w:rsid w:val="007211BE"/>
    <w:rsid w:val="00721D27"/>
    <w:rsid w:val="007224D4"/>
    <w:rsid w:val="007225C9"/>
    <w:rsid w:val="007229B6"/>
    <w:rsid w:val="00723659"/>
    <w:rsid w:val="007247B7"/>
    <w:rsid w:val="00725531"/>
    <w:rsid w:val="00726F02"/>
    <w:rsid w:val="00727AFB"/>
    <w:rsid w:val="00727FE7"/>
    <w:rsid w:val="007308FE"/>
    <w:rsid w:val="007310D9"/>
    <w:rsid w:val="007316D3"/>
    <w:rsid w:val="00731A13"/>
    <w:rsid w:val="007342E3"/>
    <w:rsid w:val="00734D72"/>
    <w:rsid w:val="00735827"/>
    <w:rsid w:val="007359C7"/>
    <w:rsid w:val="00736977"/>
    <w:rsid w:val="0073772C"/>
    <w:rsid w:val="00741A5C"/>
    <w:rsid w:val="00742B4A"/>
    <w:rsid w:val="007449BF"/>
    <w:rsid w:val="00745FE6"/>
    <w:rsid w:val="0074788C"/>
    <w:rsid w:val="00751A9D"/>
    <w:rsid w:val="00752242"/>
    <w:rsid w:val="007535E7"/>
    <w:rsid w:val="00753A39"/>
    <w:rsid w:val="00755595"/>
    <w:rsid w:val="007557AF"/>
    <w:rsid w:val="00756037"/>
    <w:rsid w:val="00757FD8"/>
    <w:rsid w:val="007600C9"/>
    <w:rsid w:val="00761C71"/>
    <w:rsid w:val="007627B9"/>
    <w:rsid w:val="00762DDE"/>
    <w:rsid w:val="00763ED2"/>
    <w:rsid w:val="00763F5B"/>
    <w:rsid w:val="00766F20"/>
    <w:rsid w:val="00767472"/>
    <w:rsid w:val="00767D38"/>
    <w:rsid w:val="00770976"/>
    <w:rsid w:val="00772B2E"/>
    <w:rsid w:val="00774838"/>
    <w:rsid w:val="00775995"/>
    <w:rsid w:val="00776277"/>
    <w:rsid w:val="0077698F"/>
    <w:rsid w:val="007770BD"/>
    <w:rsid w:val="007804BF"/>
    <w:rsid w:val="00780E0D"/>
    <w:rsid w:val="0078168D"/>
    <w:rsid w:val="00781776"/>
    <w:rsid w:val="00783764"/>
    <w:rsid w:val="00783E66"/>
    <w:rsid w:val="007847A7"/>
    <w:rsid w:val="00785089"/>
    <w:rsid w:val="0078542D"/>
    <w:rsid w:val="00785DD9"/>
    <w:rsid w:val="0078755A"/>
    <w:rsid w:val="00787E89"/>
    <w:rsid w:val="007946EA"/>
    <w:rsid w:val="00794A5E"/>
    <w:rsid w:val="0079570B"/>
    <w:rsid w:val="00796589"/>
    <w:rsid w:val="00796D93"/>
    <w:rsid w:val="00796E0F"/>
    <w:rsid w:val="00797CE0"/>
    <w:rsid w:val="007A1926"/>
    <w:rsid w:val="007A45B7"/>
    <w:rsid w:val="007A4DC5"/>
    <w:rsid w:val="007A6AE5"/>
    <w:rsid w:val="007A6D89"/>
    <w:rsid w:val="007B0346"/>
    <w:rsid w:val="007B0B76"/>
    <w:rsid w:val="007B18F1"/>
    <w:rsid w:val="007B2A80"/>
    <w:rsid w:val="007B2B9E"/>
    <w:rsid w:val="007B2E0D"/>
    <w:rsid w:val="007B3563"/>
    <w:rsid w:val="007B6DF2"/>
    <w:rsid w:val="007B6E5B"/>
    <w:rsid w:val="007C28EB"/>
    <w:rsid w:val="007C2B68"/>
    <w:rsid w:val="007C2DAD"/>
    <w:rsid w:val="007C4EF2"/>
    <w:rsid w:val="007C6787"/>
    <w:rsid w:val="007C7FEB"/>
    <w:rsid w:val="007D0565"/>
    <w:rsid w:val="007D310A"/>
    <w:rsid w:val="007D43AE"/>
    <w:rsid w:val="007D7E03"/>
    <w:rsid w:val="007E123A"/>
    <w:rsid w:val="007E13DB"/>
    <w:rsid w:val="007E22F7"/>
    <w:rsid w:val="007E2E82"/>
    <w:rsid w:val="007E4009"/>
    <w:rsid w:val="007E43EC"/>
    <w:rsid w:val="007E6FFE"/>
    <w:rsid w:val="007F08CB"/>
    <w:rsid w:val="007F131A"/>
    <w:rsid w:val="007F13C6"/>
    <w:rsid w:val="007F13D1"/>
    <w:rsid w:val="007F1E17"/>
    <w:rsid w:val="007F3648"/>
    <w:rsid w:val="007F3717"/>
    <w:rsid w:val="007F3D0C"/>
    <w:rsid w:val="007F45B4"/>
    <w:rsid w:val="007F5DD2"/>
    <w:rsid w:val="007F6469"/>
    <w:rsid w:val="007F76C4"/>
    <w:rsid w:val="007F778F"/>
    <w:rsid w:val="00800328"/>
    <w:rsid w:val="00801AAF"/>
    <w:rsid w:val="00801B64"/>
    <w:rsid w:val="0080295F"/>
    <w:rsid w:val="00802964"/>
    <w:rsid w:val="00802AA9"/>
    <w:rsid w:val="00803666"/>
    <w:rsid w:val="0080387B"/>
    <w:rsid w:val="00803A01"/>
    <w:rsid w:val="0080426C"/>
    <w:rsid w:val="008042C5"/>
    <w:rsid w:val="0080528F"/>
    <w:rsid w:val="0080731D"/>
    <w:rsid w:val="00807A87"/>
    <w:rsid w:val="00812402"/>
    <w:rsid w:val="00812D11"/>
    <w:rsid w:val="00815AAA"/>
    <w:rsid w:val="00815E8F"/>
    <w:rsid w:val="008206F1"/>
    <w:rsid w:val="0082381D"/>
    <w:rsid w:val="008275C6"/>
    <w:rsid w:val="00827E74"/>
    <w:rsid w:val="008303AC"/>
    <w:rsid w:val="008317C5"/>
    <w:rsid w:val="00831975"/>
    <w:rsid w:val="00832955"/>
    <w:rsid w:val="008343F0"/>
    <w:rsid w:val="00835E74"/>
    <w:rsid w:val="00836208"/>
    <w:rsid w:val="0083681E"/>
    <w:rsid w:val="00837F7C"/>
    <w:rsid w:val="008408B4"/>
    <w:rsid w:val="00841ABD"/>
    <w:rsid w:val="0084253B"/>
    <w:rsid w:val="0084330A"/>
    <w:rsid w:val="00843640"/>
    <w:rsid w:val="00844879"/>
    <w:rsid w:val="008467BD"/>
    <w:rsid w:val="00847DD0"/>
    <w:rsid w:val="00852731"/>
    <w:rsid w:val="00856A6C"/>
    <w:rsid w:val="00856DEE"/>
    <w:rsid w:val="0086123B"/>
    <w:rsid w:val="00861563"/>
    <w:rsid w:val="008618F5"/>
    <w:rsid w:val="00863CDD"/>
    <w:rsid w:val="008642C6"/>
    <w:rsid w:val="008647C5"/>
    <w:rsid w:val="00865224"/>
    <w:rsid w:val="008655FB"/>
    <w:rsid w:val="00865CA2"/>
    <w:rsid w:val="00867A22"/>
    <w:rsid w:val="00872377"/>
    <w:rsid w:val="008728FD"/>
    <w:rsid w:val="00873644"/>
    <w:rsid w:val="00873BD8"/>
    <w:rsid w:val="00873F9F"/>
    <w:rsid w:val="00875487"/>
    <w:rsid w:val="00880C11"/>
    <w:rsid w:val="00880D1C"/>
    <w:rsid w:val="00884EDC"/>
    <w:rsid w:val="008850F9"/>
    <w:rsid w:val="00885FCD"/>
    <w:rsid w:val="008877C7"/>
    <w:rsid w:val="00890030"/>
    <w:rsid w:val="00890B2A"/>
    <w:rsid w:val="00890C69"/>
    <w:rsid w:val="008916DB"/>
    <w:rsid w:val="00892166"/>
    <w:rsid w:val="0089371E"/>
    <w:rsid w:val="00893728"/>
    <w:rsid w:val="00897EAF"/>
    <w:rsid w:val="008A20E7"/>
    <w:rsid w:val="008A2877"/>
    <w:rsid w:val="008A3B0D"/>
    <w:rsid w:val="008A3C12"/>
    <w:rsid w:val="008A4DB8"/>
    <w:rsid w:val="008A524B"/>
    <w:rsid w:val="008A66DB"/>
    <w:rsid w:val="008A6C91"/>
    <w:rsid w:val="008A7027"/>
    <w:rsid w:val="008A7D1D"/>
    <w:rsid w:val="008A7E51"/>
    <w:rsid w:val="008B047F"/>
    <w:rsid w:val="008B0614"/>
    <w:rsid w:val="008B14E9"/>
    <w:rsid w:val="008B2A36"/>
    <w:rsid w:val="008B4734"/>
    <w:rsid w:val="008B5D03"/>
    <w:rsid w:val="008B685D"/>
    <w:rsid w:val="008B75B5"/>
    <w:rsid w:val="008C06B6"/>
    <w:rsid w:val="008C22A1"/>
    <w:rsid w:val="008C2CFF"/>
    <w:rsid w:val="008C3359"/>
    <w:rsid w:val="008C355E"/>
    <w:rsid w:val="008C3E79"/>
    <w:rsid w:val="008C4FE8"/>
    <w:rsid w:val="008C6211"/>
    <w:rsid w:val="008C74F0"/>
    <w:rsid w:val="008D01C3"/>
    <w:rsid w:val="008D0B8A"/>
    <w:rsid w:val="008D1089"/>
    <w:rsid w:val="008D17C3"/>
    <w:rsid w:val="008D1D54"/>
    <w:rsid w:val="008D1FFF"/>
    <w:rsid w:val="008D26F8"/>
    <w:rsid w:val="008D2842"/>
    <w:rsid w:val="008D2C21"/>
    <w:rsid w:val="008D3E76"/>
    <w:rsid w:val="008D41C5"/>
    <w:rsid w:val="008D6609"/>
    <w:rsid w:val="008D7836"/>
    <w:rsid w:val="008E0260"/>
    <w:rsid w:val="008E0435"/>
    <w:rsid w:val="008E1BBA"/>
    <w:rsid w:val="008E232B"/>
    <w:rsid w:val="008E2BC7"/>
    <w:rsid w:val="008E322E"/>
    <w:rsid w:val="008E4FAA"/>
    <w:rsid w:val="008E5197"/>
    <w:rsid w:val="008E5513"/>
    <w:rsid w:val="008E5FE2"/>
    <w:rsid w:val="008E647E"/>
    <w:rsid w:val="008E6833"/>
    <w:rsid w:val="008E6A94"/>
    <w:rsid w:val="008E6DF0"/>
    <w:rsid w:val="008E727C"/>
    <w:rsid w:val="008F0603"/>
    <w:rsid w:val="008F1384"/>
    <w:rsid w:val="008F18AC"/>
    <w:rsid w:val="008F2C57"/>
    <w:rsid w:val="008F4B41"/>
    <w:rsid w:val="008F511B"/>
    <w:rsid w:val="008F7D2C"/>
    <w:rsid w:val="009009EC"/>
    <w:rsid w:val="00901531"/>
    <w:rsid w:val="00902688"/>
    <w:rsid w:val="009033C0"/>
    <w:rsid w:val="00903806"/>
    <w:rsid w:val="00904BD8"/>
    <w:rsid w:val="00906285"/>
    <w:rsid w:val="0090700E"/>
    <w:rsid w:val="00907735"/>
    <w:rsid w:val="00911ADC"/>
    <w:rsid w:val="00911D45"/>
    <w:rsid w:val="009120C5"/>
    <w:rsid w:val="00916791"/>
    <w:rsid w:val="00917632"/>
    <w:rsid w:val="00920B37"/>
    <w:rsid w:val="00920F4D"/>
    <w:rsid w:val="009221A4"/>
    <w:rsid w:val="00922213"/>
    <w:rsid w:val="00924572"/>
    <w:rsid w:val="0092636F"/>
    <w:rsid w:val="009267C3"/>
    <w:rsid w:val="00927620"/>
    <w:rsid w:val="009278F9"/>
    <w:rsid w:val="00927CAB"/>
    <w:rsid w:val="00930092"/>
    <w:rsid w:val="0093390F"/>
    <w:rsid w:val="00933DA0"/>
    <w:rsid w:val="0093422D"/>
    <w:rsid w:val="00935118"/>
    <w:rsid w:val="009353CC"/>
    <w:rsid w:val="00935683"/>
    <w:rsid w:val="00936F84"/>
    <w:rsid w:val="009371F3"/>
    <w:rsid w:val="009422F9"/>
    <w:rsid w:val="009430F8"/>
    <w:rsid w:val="00943165"/>
    <w:rsid w:val="009440B1"/>
    <w:rsid w:val="00945147"/>
    <w:rsid w:val="009454E1"/>
    <w:rsid w:val="00945CE5"/>
    <w:rsid w:val="00945E04"/>
    <w:rsid w:val="00946E3A"/>
    <w:rsid w:val="00947C6B"/>
    <w:rsid w:val="00947DAB"/>
    <w:rsid w:val="0095149A"/>
    <w:rsid w:val="00951D6E"/>
    <w:rsid w:val="009521B4"/>
    <w:rsid w:val="0095423E"/>
    <w:rsid w:val="00955BAE"/>
    <w:rsid w:val="00960E81"/>
    <w:rsid w:val="009621AE"/>
    <w:rsid w:val="00964981"/>
    <w:rsid w:val="00964AB3"/>
    <w:rsid w:val="00964C0D"/>
    <w:rsid w:val="00964F0D"/>
    <w:rsid w:val="009657EE"/>
    <w:rsid w:val="009704FA"/>
    <w:rsid w:val="00970EE4"/>
    <w:rsid w:val="00971B20"/>
    <w:rsid w:val="0097271E"/>
    <w:rsid w:val="0097327C"/>
    <w:rsid w:val="0097329F"/>
    <w:rsid w:val="0097449A"/>
    <w:rsid w:val="009756D7"/>
    <w:rsid w:val="00975C2C"/>
    <w:rsid w:val="00976E1E"/>
    <w:rsid w:val="009778E0"/>
    <w:rsid w:val="00980084"/>
    <w:rsid w:val="00980E46"/>
    <w:rsid w:val="00980E56"/>
    <w:rsid w:val="0098157F"/>
    <w:rsid w:val="00984C17"/>
    <w:rsid w:val="009866E5"/>
    <w:rsid w:val="0098678C"/>
    <w:rsid w:val="009868E7"/>
    <w:rsid w:val="00987B39"/>
    <w:rsid w:val="00990E48"/>
    <w:rsid w:val="00990E75"/>
    <w:rsid w:val="00991169"/>
    <w:rsid w:val="00991946"/>
    <w:rsid w:val="009926FC"/>
    <w:rsid w:val="00993967"/>
    <w:rsid w:val="009946F7"/>
    <w:rsid w:val="00994856"/>
    <w:rsid w:val="00995845"/>
    <w:rsid w:val="009969A9"/>
    <w:rsid w:val="00996A51"/>
    <w:rsid w:val="00996BA2"/>
    <w:rsid w:val="009A0101"/>
    <w:rsid w:val="009A069E"/>
    <w:rsid w:val="009A0B96"/>
    <w:rsid w:val="009A1DD5"/>
    <w:rsid w:val="009A20F3"/>
    <w:rsid w:val="009A3D4A"/>
    <w:rsid w:val="009A65D0"/>
    <w:rsid w:val="009A7DCA"/>
    <w:rsid w:val="009A7F54"/>
    <w:rsid w:val="009B1108"/>
    <w:rsid w:val="009B15B4"/>
    <w:rsid w:val="009B5E5D"/>
    <w:rsid w:val="009B5E74"/>
    <w:rsid w:val="009B7BB9"/>
    <w:rsid w:val="009C33A4"/>
    <w:rsid w:val="009C40EA"/>
    <w:rsid w:val="009C49CC"/>
    <w:rsid w:val="009C4C6C"/>
    <w:rsid w:val="009C73F5"/>
    <w:rsid w:val="009C7BDF"/>
    <w:rsid w:val="009D0583"/>
    <w:rsid w:val="009D0F61"/>
    <w:rsid w:val="009D353C"/>
    <w:rsid w:val="009D533D"/>
    <w:rsid w:val="009D55B4"/>
    <w:rsid w:val="009D64CC"/>
    <w:rsid w:val="009D7D92"/>
    <w:rsid w:val="009E34AE"/>
    <w:rsid w:val="009E3E8D"/>
    <w:rsid w:val="009E4399"/>
    <w:rsid w:val="009E49CA"/>
    <w:rsid w:val="009E60E7"/>
    <w:rsid w:val="009E65F5"/>
    <w:rsid w:val="009E6FFE"/>
    <w:rsid w:val="009F019D"/>
    <w:rsid w:val="009F0426"/>
    <w:rsid w:val="009F4052"/>
    <w:rsid w:val="009F5EE4"/>
    <w:rsid w:val="009F665B"/>
    <w:rsid w:val="009F66DB"/>
    <w:rsid w:val="009F7C5E"/>
    <w:rsid w:val="00A01580"/>
    <w:rsid w:val="00A01BFF"/>
    <w:rsid w:val="00A01D51"/>
    <w:rsid w:val="00A023F8"/>
    <w:rsid w:val="00A0268E"/>
    <w:rsid w:val="00A02DDD"/>
    <w:rsid w:val="00A0423B"/>
    <w:rsid w:val="00A0698F"/>
    <w:rsid w:val="00A069FE"/>
    <w:rsid w:val="00A07653"/>
    <w:rsid w:val="00A10571"/>
    <w:rsid w:val="00A1161C"/>
    <w:rsid w:val="00A12022"/>
    <w:rsid w:val="00A13316"/>
    <w:rsid w:val="00A136DD"/>
    <w:rsid w:val="00A14C8C"/>
    <w:rsid w:val="00A161A8"/>
    <w:rsid w:val="00A20692"/>
    <w:rsid w:val="00A23458"/>
    <w:rsid w:val="00A24316"/>
    <w:rsid w:val="00A254CF"/>
    <w:rsid w:val="00A26E31"/>
    <w:rsid w:val="00A3167F"/>
    <w:rsid w:val="00A31F84"/>
    <w:rsid w:val="00A3350E"/>
    <w:rsid w:val="00A349BC"/>
    <w:rsid w:val="00A3501B"/>
    <w:rsid w:val="00A358EC"/>
    <w:rsid w:val="00A36579"/>
    <w:rsid w:val="00A36ED5"/>
    <w:rsid w:val="00A37B00"/>
    <w:rsid w:val="00A40C03"/>
    <w:rsid w:val="00A40F40"/>
    <w:rsid w:val="00A41272"/>
    <w:rsid w:val="00A43A0F"/>
    <w:rsid w:val="00A47DF6"/>
    <w:rsid w:val="00A5012D"/>
    <w:rsid w:val="00A50271"/>
    <w:rsid w:val="00A5085A"/>
    <w:rsid w:val="00A50F8A"/>
    <w:rsid w:val="00A54466"/>
    <w:rsid w:val="00A54ACF"/>
    <w:rsid w:val="00A55AA0"/>
    <w:rsid w:val="00A601F9"/>
    <w:rsid w:val="00A60A14"/>
    <w:rsid w:val="00A60BB8"/>
    <w:rsid w:val="00A61551"/>
    <w:rsid w:val="00A61DE1"/>
    <w:rsid w:val="00A62128"/>
    <w:rsid w:val="00A623E0"/>
    <w:rsid w:val="00A62991"/>
    <w:rsid w:val="00A62B93"/>
    <w:rsid w:val="00A6446F"/>
    <w:rsid w:val="00A64CED"/>
    <w:rsid w:val="00A650E2"/>
    <w:rsid w:val="00A658A3"/>
    <w:rsid w:val="00A66196"/>
    <w:rsid w:val="00A66651"/>
    <w:rsid w:val="00A673CC"/>
    <w:rsid w:val="00A67AF0"/>
    <w:rsid w:val="00A67F78"/>
    <w:rsid w:val="00A70976"/>
    <w:rsid w:val="00A71CD2"/>
    <w:rsid w:val="00A7235E"/>
    <w:rsid w:val="00A734E7"/>
    <w:rsid w:val="00A76FE3"/>
    <w:rsid w:val="00A77FE7"/>
    <w:rsid w:val="00A80FCF"/>
    <w:rsid w:val="00A813D3"/>
    <w:rsid w:val="00A82B69"/>
    <w:rsid w:val="00A82F6B"/>
    <w:rsid w:val="00A8723E"/>
    <w:rsid w:val="00A8797E"/>
    <w:rsid w:val="00A90970"/>
    <w:rsid w:val="00A928FF"/>
    <w:rsid w:val="00A9317A"/>
    <w:rsid w:val="00A94005"/>
    <w:rsid w:val="00A9433D"/>
    <w:rsid w:val="00A94EFE"/>
    <w:rsid w:val="00A9509B"/>
    <w:rsid w:val="00A95CB6"/>
    <w:rsid w:val="00A95D1D"/>
    <w:rsid w:val="00A966B1"/>
    <w:rsid w:val="00A96796"/>
    <w:rsid w:val="00A9789C"/>
    <w:rsid w:val="00AA038F"/>
    <w:rsid w:val="00AA1864"/>
    <w:rsid w:val="00AA21D3"/>
    <w:rsid w:val="00AA21F5"/>
    <w:rsid w:val="00AA2D82"/>
    <w:rsid w:val="00AA3374"/>
    <w:rsid w:val="00AA3982"/>
    <w:rsid w:val="00AA5008"/>
    <w:rsid w:val="00AA7C1B"/>
    <w:rsid w:val="00AB083F"/>
    <w:rsid w:val="00AB129C"/>
    <w:rsid w:val="00AB3613"/>
    <w:rsid w:val="00AB3A4C"/>
    <w:rsid w:val="00AB56DC"/>
    <w:rsid w:val="00AB7A63"/>
    <w:rsid w:val="00AC0CBB"/>
    <w:rsid w:val="00AC2A80"/>
    <w:rsid w:val="00AC34DA"/>
    <w:rsid w:val="00AC5231"/>
    <w:rsid w:val="00AC5E67"/>
    <w:rsid w:val="00AC64A0"/>
    <w:rsid w:val="00AD034A"/>
    <w:rsid w:val="00AD1243"/>
    <w:rsid w:val="00AD169C"/>
    <w:rsid w:val="00AD2450"/>
    <w:rsid w:val="00AD2E40"/>
    <w:rsid w:val="00AD65BE"/>
    <w:rsid w:val="00AD6A38"/>
    <w:rsid w:val="00AD72B4"/>
    <w:rsid w:val="00AD7AA1"/>
    <w:rsid w:val="00AE3104"/>
    <w:rsid w:val="00AE43AD"/>
    <w:rsid w:val="00AE43BB"/>
    <w:rsid w:val="00AE4815"/>
    <w:rsid w:val="00AE53A6"/>
    <w:rsid w:val="00AE6B64"/>
    <w:rsid w:val="00AE6BB5"/>
    <w:rsid w:val="00AE73DC"/>
    <w:rsid w:val="00AE7710"/>
    <w:rsid w:val="00AF2CE8"/>
    <w:rsid w:val="00AF704D"/>
    <w:rsid w:val="00AF70F9"/>
    <w:rsid w:val="00AF7CEE"/>
    <w:rsid w:val="00AF7F6F"/>
    <w:rsid w:val="00B00CC3"/>
    <w:rsid w:val="00B0265A"/>
    <w:rsid w:val="00B04A14"/>
    <w:rsid w:val="00B04B7B"/>
    <w:rsid w:val="00B05053"/>
    <w:rsid w:val="00B056CC"/>
    <w:rsid w:val="00B058B6"/>
    <w:rsid w:val="00B075D7"/>
    <w:rsid w:val="00B13AB1"/>
    <w:rsid w:val="00B14AB5"/>
    <w:rsid w:val="00B14D9C"/>
    <w:rsid w:val="00B155FE"/>
    <w:rsid w:val="00B15A4C"/>
    <w:rsid w:val="00B15CA6"/>
    <w:rsid w:val="00B15F8D"/>
    <w:rsid w:val="00B17819"/>
    <w:rsid w:val="00B206C1"/>
    <w:rsid w:val="00B2202B"/>
    <w:rsid w:val="00B221B5"/>
    <w:rsid w:val="00B22BD9"/>
    <w:rsid w:val="00B2454C"/>
    <w:rsid w:val="00B2544B"/>
    <w:rsid w:val="00B2734A"/>
    <w:rsid w:val="00B3244C"/>
    <w:rsid w:val="00B32682"/>
    <w:rsid w:val="00B33638"/>
    <w:rsid w:val="00B33C05"/>
    <w:rsid w:val="00B3469B"/>
    <w:rsid w:val="00B34A94"/>
    <w:rsid w:val="00B35B95"/>
    <w:rsid w:val="00B36150"/>
    <w:rsid w:val="00B36B99"/>
    <w:rsid w:val="00B37A83"/>
    <w:rsid w:val="00B40D0E"/>
    <w:rsid w:val="00B41B58"/>
    <w:rsid w:val="00B42F5D"/>
    <w:rsid w:val="00B43A9F"/>
    <w:rsid w:val="00B44127"/>
    <w:rsid w:val="00B46352"/>
    <w:rsid w:val="00B50B25"/>
    <w:rsid w:val="00B51261"/>
    <w:rsid w:val="00B54171"/>
    <w:rsid w:val="00B56CB1"/>
    <w:rsid w:val="00B60534"/>
    <w:rsid w:val="00B6124E"/>
    <w:rsid w:val="00B622E5"/>
    <w:rsid w:val="00B62D08"/>
    <w:rsid w:val="00B63DA3"/>
    <w:rsid w:val="00B63EBC"/>
    <w:rsid w:val="00B64063"/>
    <w:rsid w:val="00B6763B"/>
    <w:rsid w:val="00B705F2"/>
    <w:rsid w:val="00B70AB8"/>
    <w:rsid w:val="00B70FE4"/>
    <w:rsid w:val="00B72569"/>
    <w:rsid w:val="00B72FDD"/>
    <w:rsid w:val="00B7456C"/>
    <w:rsid w:val="00B7458D"/>
    <w:rsid w:val="00B745F4"/>
    <w:rsid w:val="00B75545"/>
    <w:rsid w:val="00B762E2"/>
    <w:rsid w:val="00B771CD"/>
    <w:rsid w:val="00B81C0A"/>
    <w:rsid w:val="00B8241D"/>
    <w:rsid w:val="00B83F74"/>
    <w:rsid w:val="00B843B9"/>
    <w:rsid w:val="00B8447F"/>
    <w:rsid w:val="00B84AD1"/>
    <w:rsid w:val="00B850B8"/>
    <w:rsid w:val="00B85AD1"/>
    <w:rsid w:val="00B90447"/>
    <w:rsid w:val="00B91104"/>
    <w:rsid w:val="00B91ABD"/>
    <w:rsid w:val="00B92DCF"/>
    <w:rsid w:val="00B94054"/>
    <w:rsid w:val="00B94CCA"/>
    <w:rsid w:val="00B95AD8"/>
    <w:rsid w:val="00B9640C"/>
    <w:rsid w:val="00B9670A"/>
    <w:rsid w:val="00B9709B"/>
    <w:rsid w:val="00B9738E"/>
    <w:rsid w:val="00B97A62"/>
    <w:rsid w:val="00BA016E"/>
    <w:rsid w:val="00BA04EA"/>
    <w:rsid w:val="00BA246F"/>
    <w:rsid w:val="00BA35CC"/>
    <w:rsid w:val="00BA38F7"/>
    <w:rsid w:val="00BA3B98"/>
    <w:rsid w:val="00BA415E"/>
    <w:rsid w:val="00BA5D1C"/>
    <w:rsid w:val="00BA60BB"/>
    <w:rsid w:val="00BA62C3"/>
    <w:rsid w:val="00BB0472"/>
    <w:rsid w:val="00BB10E1"/>
    <w:rsid w:val="00BB12FE"/>
    <w:rsid w:val="00BB1BA6"/>
    <w:rsid w:val="00BB259D"/>
    <w:rsid w:val="00BB2A34"/>
    <w:rsid w:val="00BB4D90"/>
    <w:rsid w:val="00BB5D94"/>
    <w:rsid w:val="00BB5DF6"/>
    <w:rsid w:val="00BB75BE"/>
    <w:rsid w:val="00BB79F6"/>
    <w:rsid w:val="00BC03B1"/>
    <w:rsid w:val="00BC19CC"/>
    <w:rsid w:val="00BC2001"/>
    <w:rsid w:val="00BC24BF"/>
    <w:rsid w:val="00BC4B9F"/>
    <w:rsid w:val="00BC6D2B"/>
    <w:rsid w:val="00BC74C4"/>
    <w:rsid w:val="00BD1758"/>
    <w:rsid w:val="00BD2A9C"/>
    <w:rsid w:val="00BD2D3C"/>
    <w:rsid w:val="00BD2E25"/>
    <w:rsid w:val="00BD37C8"/>
    <w:rsid w:val="00BD3CEA"/>
    <w:rsid w:val="00BD4776"/>
    <w:rsid w:val="00BD63FF"/>
    <w:rsid w:val="00BD6602"/>
    <w:rsid w:val="00BD6AF3"/>
    <w:rsid w:val="00BD7229"/>
    <w:rsid w:val="00BD7C49"/>
    <w:rsid w:val="00BD7F31"/>
    <w:rsid w:val="00BE00CC"/>
    <w:rsid w:val="00BE055D"/>
    <w:rsid w:val="00BE0A4E"/>
    <w:rsid w:val="00BE0DA4"/>
    <w:rsid w:val="00BE0F9D"/>
    <w:rsid w:val="00BE2602"/>
    <w:rsid w:val="00BE354F"/>
    <w:rsid w:val="00BE3FC6"/>
    <w:rsid w:val="00BE4BAC"/>
    <w:rsid w:val="00BE4E55"/>
    <w:rsid w:val="00BE530F"/>
    <w:rsid w:val="00BE5712"/>
    <w:rsid w:val="00BE7750"/>
    <w:rsid w:val="00BE7819"/>
    <w:rsid w:val="00BE7A65"/>
    <w:rsid w:val="00BF007B"/>
    <w:rsid w:val="00BF099A"/>
    <w:rsid w:val="00BF4035"/>
    <w:rsid w:val="00BF48C3"/>
    <w:rsid w:val="00BF5E09"/>
    <w:rsid w:val="00BF6999"/>
    <w:rsid w:val="00BF7707"/>
    <w:rsid w:val="00C00710"/>
    <w:rsid w:val="00C012D1"/>
    <w:rsid w:val="00C01545"/>
    <w:rsid w:val="00C0256F"/>
    <w:rsid w:val="00C02772"/>
    <w:rsid w:val="00C03376"/>
    <w:rsid w:val="00C03BE7"/>
    <w:rsid w:val="00C063C3"/>
    <w:rsid w:val="00C07E8E"/>
    <w:rsid w:val="00C10ED3"/>
    <w:rsid w:val="00C1143E"/>
    <w:rsid w:val="00C11612"/>
    <w:rsid w:val="00C11940"/>
    <w:rsid w:val="00C12BFF"/>
    <w:rsid w:val="00C13291"/>
    <w:rsid w:val="00C13FAE"/>
    <w:rsid w:val="00C1582A"/>
    <w:rsid w:val="00C16149"/>
    <w:rsid w:val="00C178E3"/>
    <w:rsid w:val="00C21016"/>
    <w:rsid w:val="00C21761"/>
    <w:rsid w:val="00C2238F"/>
    <w:rsid w:val="00C224F5"/>
    <w:rsid w:val="00C24948"/>
    <w:rsid w:val="00C261DC"/>
    <w:rsid w:val="00C268BB"/>
    <w:rsid w:val="00C268F4"/>
    <w:rsid w:val="00C27041"/>
    <w:rsid w:val="00C27BFB"/>
    <w:rsid w:val="00C27DF5"/>
    <w:rsid w:val="00C302BC"/>
    <w:rsid w:val="00C326EB"/>
    <w:rsid w:val="00C32924"/>
    <w:rsid w:val="00C32D53"/>
    <w:rsid w:val="00C35CE2"/>
    <w:rsid w:val="00C35E13"/>
    <w:rsid w:val="00C36894"/>
    <w:rsid w:val="00C36A62"/>
    <w:rsid w:val="00C45E7A"/>
    <w:rsid w:val="00C46CE8"/>
    <w:rsid w:val="00C46F63"/>
    <w:rsid w:val="00C4762E"/>
    <w:rsid w:val="00C50404"/>
    <w:rsid w:val="00C5054A"/>
    <w:rsid w:val="00C52FED"/>
    <w:rsid w:val="00C5351F"/>
    <w:rsid w:val="00C53734"/>
    <w:rsid w:val="00C539FB"/>
    <w:rsid w:val="00C53C2A"/>
    <w:rsid w:val="00C561BC"/>
    <w:rsid w:val="00C566FB"/>
    <w:rsid w:val="00C56FEF"/>
    <w:rsid w:val="00C56FF4"/>
    <w:rsid w:val="00C61227"/>
    <w:rsid w:val="00C6157D"/>
    <w:rsid w:val="00C61D07"/>
    <w:rsid w:val="00C62668"/>
    <w:rsid w:val="00C63C88"/>
    <w:rsid w:val="00C64C54"/>
    <w:rsid w:val="00C65238"/>
    <w:rsid w:val="00C70F04"/>
    <w:rsid w:val="00C72068"/>
    <w:rsid w:val="00C74E0F"/>
    <w:rsid w:val="00C75D5A"/>
    <w:rsid w:val="00C75E27"/>
    <w:rsid w:val="00C7666C"/>
    <w:rsid w:val="00C768D3"/>
    <w:rsid w:val="00C770F2"/>
    <w:rsid w:val="00C7762C"/>
    <w:rsid w:val="00C776A0"/>
    <w:rsid w:val="00C8266F"/>
    <w:rsid w:val="00C83548"/>
    <w:rsid w:val="00C86437"/>
    <w:rsid w:val="00C86618"/>
    <w:rsid w:val="00C86EA4"/>
    <w:rsid w:val="00C87225"/>
    <w:rsid w:val="00C872F4"/>
    <w:rsid w:val="00C87909"/>
    <w:rsid w:val="00C91648"/>
    <w:rsid w:val="00C933F7"/>
    <w:rsid w:val="00C9408B"/>
    <w:rsid w:val="00C948F5"/>
    <w:rsid w:val="00C94EDE"/>
    <w:rsid w:val="00C950DD"/>
    <w:rsid w:val="00C95900"/>
    <w:rsid w:val="00C97255"/>
    <w:rsid w:val="00C97321"/>
    <w:rsid w:val="00CA0692"/>
    <w:rsid w:val="00CA0CD3"/>
    <w:rsid w:val="00CA0CEB"/>
    <w:rsid w:val="00CA1438"/>
    <w:rsid w:val="00CA1C2C"/>
    <w:rsid w:val="00CA3468"/>
    <w:rsid w:val="00CA629D"/>
    <w:rsid w:val="00CA6D70"/>
    <w:rsid w:val="00CA7B88"/>
    <w:rsid w:val="00CB01DA"/>
    <w:rsid w:val="00CB07DE"/>
    <w:rsid w:val="00CB09E7"/>
    <w:rsid w:val="00CB1A82"/>
    <w:rsid w:val="00CB3696"/>
    <w:rsid w:val="00CB4082"/>
    <w:rsid w:val="00CB459B"/>
    <w:rsid w:val="00CB571B"/>
    <w:rsid w:val="00CB6C6E"/>
    <w:rsid w:val="00CB6F27"/>
    <w:rsid w:val="00CB7E48"/>
    <w:rsid w:val="00CB7FE1"/>
    <w:rsid w:val="00CC075B"/>
    <w:rsid w:val="00CC0866"/>
    <w:rsid w:val="00CC0CAD"/>
    <w:rsid w:val="00CC0F4E"/>
    <w:rsid w:val="00CC11BD"/>
    <w:rsid w:val="00CC18D6"/>
    <w:rsid w:val="00CC24D0"/>
    <w:rsid w:val="00CC4689"/>
    <w:rsid w:val="00CC5289"/>
    <w:rsid w:val="00CC54EB"/>
    <w:rsid w:val="00CC703F"/>
    <w:rsid w:val="00CC706B"/>
    <w:rsid w:val="00CC73DD"/>
    <w:rsid w:val="00CC7777"/>
    <w:rsid w:val="00CD0671"/>
    <w:rsid w:val="00CD06BE"/>
    <w:rsid w:val="00CD0F03"/>
    <w:rsid w:val="00CD1AC2"/>
    <w:rsid w:val="00CD1AD4"/>
    <w:rsid w:val="00CD1BD7"/>
    <w:rsid w:val="00CD1DE1"/>
    <w:rsid w:val="00CD2095"/>
    <w:rsid w:val="00CD426F"/>
    <w:rsid w:val="00CD45B0"/>
    <w:rsid w:val="00CE01FC"/>
    <w:rsid w:val="00CE0C34"/>
    <w:rsid w:val="00CE0CA4"/>
    <w:rsid w:val="00CE0F40"/>
    <w:rsid w:val="00CE12F5"/>
    <w:rsid w:val="00CE1608"/>
    <w:rsid w:val="00CE1DF7"/>
    <w:rsid w:val="00CE4893"/>
    <w:rsid w:val="00CE4C8C"/>
    <w:rsid w:val="00CE5744"/>
    <w:rsid w:val="00CE7F07"/>
    <w:rsid w:val="00CF0DB6"/>
    <w:rsid w:val="00CF15E7"/>
    <w:rsid w:val="00CF1732"/>
    <w:rsid w:val="00CF533D"/>
    <w:rsid w:val="00CF551C"/>
    <w:rsid w:val="00CF5F2A"/>
    <w:rsid w:val="00CF667E"/>
    <w:rsid w:val="00CF75FB"/>
    <w:rsid w:val="00CF7986"/>
    <w:rsid w:val="00D008E3"/>
    <w:rsid w:val="00D0533C"/>
    <w:rsid w:val="00D06976"/>
    <w:rsid w:val="00D07BD8"/>
    <w:rsid w:val="00D07EA5"/>
    <w:rsid w:val="00D10EA2"/>
    <w:rsid w:val="00D11009"/>
    <w:rsid w:val="00D119C2"/>
    <w:rsid w:val="00D12DA6"/>
    <w:rsid w:val="00D14441"/>
    <w:rsid w:val="00D14F38"/>
    <w:rsid w:val="00D1616F"/>
    <w:rsid w:val="00D16D89"/>
    <w:rsid w:val="00D21BAC"/>
    <w:rsid w:val="00D226F1"/>
    <w:rsid w:val="00D22ED2"/>
    <w:rsid w:val="00D23D8F"/>
    <w:rsid w:val="00D23FEB"/>
    <w:rsid w:val="00D23FED"/>
    <w:rsid w:val="00D258D9"/>
    <w:rsid w:val="00D25B6E"/>
    <w:rsid w:val="00D269BA"/>
    <w:rsid w:val="00D3076A"/>
    <w:rsid w:val="00D30DEE"/>
    <w:rsid w:val="00D31737"/>
    <w:rsid w:val="00D320A6"/>
    <w:rsid w:val="00D33705"/>
    <w:rsid w:val="00D33920"/>
    <w:rsid w:val="00D33A8A"/>
    <w:rsid w:val="00D33B8F"/>
    <w:rsid w:val="00D34CD7"/>
    <w:rsid w:val="00D35813"/>
    <w:rsid w:val="00D36123"/>
    <w:rsid w:val="00D3672D"/>
    <w:rsid w:val="00D371DA"/>
    <w:rsid w:val="00D4148C"/>
    <w:rsid w:val="00D41A00"/>
    <w:rsid w:val="00D436B8"/>
    <w:rsid w:val="00D4434A"/>
    <w:rsid w:val="00D44A68"/>
    <w:rsid w:val="00D45ADC"/>
    <w:rsid w:val="00D479D4"/>
    <w:rsid w:val="00D503EA"/>
    <w:rsid w:val="00D5055E"/>
    <w:rsid w:val="00D50A39"/>
    <w:rsid w:val="00D50A45"/>
    <w:rsid w:val="00D511E9"/>
    <w:rsid w:val="00D51456"/>
    <w:rsid w:val="00D515C5"/>
    <w:rsid w:val="00D545F7"/>
    <w:rsid w:val="00D557C7"/>
    <w:rsid w:val="00D5594E"/>
    <w:rsid w:val="00D55A78"/>
    <w:rsid w:val="00D5677F"/>
    <w:rsid w:val="00D569CA"/>
    <w:rsid w:val="00D57B63"/>
    <w:rsid w:val="00D6008D"/>
    <w:rsid w:val="00D615EC"/>
    <w:rsid w:val="00D6274C"/>
    <w:rsid w:val="00D63897"/>
    <w:rsid w:val="00D63A8A"/>
    <w:rsid w:val="00D6549E"/>
    <w:rsid w:val="00D65C55"/>
    <w:rsid w:val="00D661F0"/>
    <w:rsid w:val="00D6691A"/>
    <w:rsid w:val="00D67277"/>
    <w:rsid w:val="00D7202A"/>
    <w:rsid w:val="00D72777"/>
    <w:rsid w:val="00D7299C"/>
    <w:rsid w:val="00D73002"/>
    <w:rsid w:val="00D7302C"/>
    <w:rsid w:val="00D754E0"/>
    <w:rsid w:val="00D76BD4"/>
    <w:rsid w:val="00D77DDB"/>
    <w:rsid w:val="00D80FC9"/>
    <w:rsid w:val="00D81D3D"/>
    <w:rsid w:val="00D81D97"/>
    <w:rsid w:val="00D8222A"/>
    <w:rsid w:val="00D84181"/>
    <w:rsid w:val="00D843D9"/>
    <w:rsid w:val="00D84846"/>
    <w:rsid w:val="00D86367"/>
    <w:rsid w:val="00D86A94"/>
    <w:rsid w:val="00D870CF"/>
    <w:rsid w:val="00D87F61"/>
    <w:rsid w:val="00D90B5A"/>
    <w:rsid w:val="00D916FA"/>
    <w:rsid w:val="00D91A99"/>
    <w:rsid w:val="00D92214"/>
    <w:rsid w:val="00D92384"/>
    <w:rsid w:val="00D925F7"/>
    <w:rsid w:val="00D9267C"/>
    <w:rsid w:val="00D93D38"/>
    <w:rsid w:val="00D9414C"/>
    <w:rsid w:val="00D94BB0"/>
    <w:rsid w:val="00D96195"/>
    <w:rsid w:val="00D968BE"/>
    <w:rsid w:val="00DA143F"/>
    <w:rsid w:val="00DA15B5"/>
    <w:rsid w:val="00DA1682"/>
    <w:rsid w:val="00DA1C11"/>
    <w:rsid w:val="00DA30F4"/>
    <w:rsid w:val="00DA363F"/>
    <w:rsid w:val="00DA4434"/>
    <w:rsid w:val="00DA488F"/>
    <w:rsid w:val="00DA4FBC"/>
    <w:rsid w:val="00DA541C"/>
    <w:rsid w:val="00DA547D"/>
    <w:rsid w:val="00DA6CEE"/>
    <w:rsid w:val="00DA72D2"/>
    <w:rsid w:val="00DB02A9"/>
    <w:rsid w:val="00DB07FB"/>
    <w:rsid w:val="00DB12ED"/>
    <w:rsid w:val="00DB1326"/>
    <w:rsid w:val="00DB2547"/>
    <w:rsid w:val="00DB3DD8"/>
    <w:rsid w:val="00DB6953"/>
    <w:rsid w:val="00DB7DE0"/>
    <w:rsid w:val="00DC0B89"/>
    <w:rsid w:val="00DC15E6"/>
    <w:rsid w:val="00DC1F02"/>
    <w:rsid w:val="00DC22D9"/>
    <w:rsid w:val="00DC31DE"/>
    <w:rsid w:val="00DC46C9"/>
    <w:rsid w:val="00DC4E7F"/>
    <w:rsid w:val="00DC5639"/>
    <w:rsid w:val="00DD0EAE"/>
    <w:rsid w:val="00DD1BB1"/>
    <w:rsid w:val="00DD1EE7"/>
    <w:rsid w:val="00DD25C1"/>
    <w:rsid w:val="00DD30E6"/>
    <w:rsid w:val="00DD3916"/>
    <w:rsid w:val="00DD6B24"/>
    <w:rsid w:val="00DD7C34"/>
    <w:rsid w:val="00DD7FD1"/>
    <w:rsid w:val="00DE084E"/>
    <w:rsid w:val="00DE1B2C"/>
    <w:rsid w:val="00DE4C96"/>
    <w:rsid w:val="00DE5B2E"/>
    <w:rsid w:val="00DE76D5"/>
    <w:rsid w:val="00DE7A5C"/>
    <w:rsid w:val="00DE7C03"/>
    <w:rsid w:val="00DF0A34"/>
    <w:rsid w:val="00DF1268"/>
    <w:rsid w:val="00DF1E55"/>
    <w:rsid w:val="00DF5152"/>
    <w:rsid w:val="00DF5E25"/>
    <w:rsid w:val="00DF63FB"/>
    <w:rsid w:val="00DF745B"/>
    <w:rsid w:val="00DF7F4C"/>
    <w:rsid w:val="00E012DF"/>
    <w:rsid w:val="00E022A9"/>
    <w:rsid w:val="00E02497"/>
    <w:rsid w:val="00E02EEE"/>
    <w:rsid w:val="00E0335A"/>
    <w:rsid w:val="00E03905"/>
    <w:rsid w:val="00E039B7"/>
    <w:rsid w:val="00E03AA3"/>
    <w:rsid w:val="00E049D4"/>
    <w:rsid w:val="00E04BAA"/>
    <w:rsid w:val="00E055C2"/>
    <w:rsid w:val="00E07128"/>
    <w:rsid w:val="00E12802"/>
    <w:rsid w:val="00E12F87"/>
    <w:rsid w:val="00E13207"/>
    <w:rsid w:val="00E14619"/>
    <w:rsid w:val="00E1527D"/>
    <w:rsid w:val="00E16566"/>
    <w:rsid w:val="00E166FB"/>
    <w:rsid w:val="00E167FF"/>
    <w:rsid w:val="00E17A94"/>
    <w:rsid w:val="00E2147C"/>
    <w:rsid w:val="00E23C29"/>
    <w:rsid w:val="00E23EA4"/>
    <w:rsid w:val="00E23FFC"/>
    <w:rsid w:val="00E24F8A"/>
    <w:rsid w:val="00E26F1E"/>
    <w:rsid w:val="00E27C2A"/>
    <w:rsid w:val="00E27C42"/>
    <w:rsid w:val="00E301CF"/>
    <w:rsid w:val="00E3367D"/>
    <w:rsid w:val="00E36984"/>
    <w:rsid w:val="00E373AC"/>
    <w:rsid w:val="00E37BB5"/>
    <w:rsid w:val="00E37F8C"/>
    <w:rsid w:val="00E4062F"/>
    <w:rsid w:val="00E4131E"/>
    <w:rsid w:val="00E41BFB"/>
    <w:rsid w:val="00E42061"/>
    <w:rsid w:val="00E424F3"/>
    <w:rsid w:val="00E4406D"/>
    <w:rsid w:val="00E440AB"/>
    <w:rsid w:val="00E449FD"/>
    <w:rsid w:val="00E46055"/>
    <w:rsid w:val="00E46CB1"/>
    <w:rsid w:val="00E501C9"/>
    <w:rsid w:val="00E5484A"/>
    <w:rsid w:val="00E55CD7"/>
    <w:rsid w:val="00E561AD"/>
    <w:rsid w:val="00E56767"/>
    <w:rsid w:val="00E56F21"/>
    <w:rsid w:val="00E601EF"/>
    <w:rsid w:val="00E60670"/>
    <w:rsid w:val="00E60EB9"/>
    <w:rsid w:val="00E61389"/>
    <w:rsid w:val="00E632CB"/>
    <w:rsid w:val="00E63B72"/>
    <w:rsid w:val="00E63B79"/>
    <w:rsid w:val="00E63D69"/>
    <w:rsid w:val="00E66F43"/>
    <w:rsid w:val="00E67620"/>
    <w:rsid w:val="00E702C2"/>
    <w:rsid w:val="00E71F61"/>
    <w:rsid w:val="00E72811"/>
    <w:rsid w:val="00E72CB2"/>
    <w:rsid w:val="00E73AD4"/>
    <w:rsid w:val="00E81967"/>
    <w:rsid w:val="00E82306"/>
    <w:rsid w:val="00E823A7"/>
    <w:rsid w:val="00E83065"/>
    <w:rsid w:val="00E832D7"/>
    <w:rsid w:val="00E838BF"/>
    <w:rsid w:val="00E83D72"/>
    <w:rsid w:val="00E8589D"/>
    <w:rsid w:val="00E86C99"/>
    <w:rsid w:val="00E86D49"/>
    <w:rsid w:val="00E8721F"/>
    <w:rsid w:val="00E87537"/>
    <w:rsid w:val="00E92BE7"/>
    <w:rsid w:val="00E942CF"/>
    <w:rsid w:val="00E943EC"/>
    <w:rsid w:val="00E94D1D"/>
    <w:rsid w:val="00E97147"/>
    <w:rsid w:val="00E97430"/>
    <w:rsid w:val="00E978B6"/>
    <w:rsid w:val="00E97B76"/>
    <w:rsid w:val="00EA0D4A"/>
    <w:rsid w:val="00EA0EF7"/>
    <w:rsid w:val="00EA1037"/>
    <w:rsid w:val="00EA1F58"/>
    <w:rsid w:val="00EA29C4"/>
    <w:rsid w:val="00EA2D3A"/>
    <w:rsid w:val="00EA2DF8"/>
    <w:rsid w:val="00EA3422"/>
    <w:rsid w:val="00EA375F"/>
    <w:rsid w:val="00EA3ABD"/>
    <w:rsid w:val="00EA435E"/>
    <w:rsid w:val="00EA5289"/>
    <w:rsid w:val="00EA52A9"/>
    <w:rsid w:val="00EA5C30"/>
    <w:rsid w:val="00EA626E"/>
    <w:rsid w:val="00EA7832"/>
    <w:rsid w:val="00EB1850"/>
    <w:rsid w:val="00EB26A0"/>
    <w:rsid w:val="00EB382B"/>
    <w:rsid w:val="00EB5F9F"/>
    <w:rsid w:val="00EB7ACF"/>
    <w:rsid w:val="00EC00A2"/>
    <w:rsid w:val="00EC0376"/>
    <w:rsid w:val="00EC0C4A"/>
    <w:rsid w:val="00EC2203"/>
    <w:rsid w:val="00EC3394"/>
    <w:rsid w:val="00EC3951"/>
    <w:rsid w:val="00EC3CCC"/>
    <w:rsid w:val="00EC421A"/>
    <w:rsid w:val="00EC589B"/>
    <w:rsid w:val="00EC69BA"/>
    <w:rsid w:val="00ED0EA7"/>
    <w:rsid w:val="00ED1137"/>
    <w:rsid w:val="00ED17C4"/>
    <w:rsid w:val="00ED1AEF"/>
    <w:rsid w:val="00ED219E"/>
    <w:rsid w:val="00ED2D97"/>
    <w:rsid w:val="00ED40C7"/>
    <w:rsid w:val="00ED4A6F"/>
    <w:rsid w:val="00ED57BA"/>
    <w:rsid w:val="00ED6136"/>
    <w:rsid w:val="00ED700D"/>
    <w:rsid w:val="00ED79CF"/>
    <w:rsid w:val="00EE0057"/>
    <w:rsid w:val="00EE1DAE"/>
    <w:rsid w:val="00EE1E12"/>
    <w:rsid w:val="00EE2213"/>
    <w:rsid w:val="00EE34BB"/>
    <w:rsid w:val="00EE3EB9"/>
    <w:rsid w:val="00EE444B"/>
    <w:rsid w:val="00EE5EA4"/>
    <w:rsid w:val="00EF002E"/>
    <w:rsid w:val="00EF14BD"/>
    <w:rsid w:val="00EF1F5B"/>
    <w:rsid w:val="00EF22AA"/>
    <w:rsid w:val="00EF31E7"/>
    <w:rsid w:val="00EF4EF8"/>
    <w:rsid w:val="00EF5F48"/>
    <w:rsid w:val="00EF6820"/>
    <w:rsid w:val="00EF717B"/>
    <w:rsid w:val="00F01437"/>
    <w:rsid w:val="00F01A63"/>
    <w:rsid w:val="00F01C3C"/>
    <w:rsid w:val="00F030E1"/>
    <w:rsid w:val="00F03965"/>
    <w:rsid w:val="00F05220"/>
    <w:rsid w:val="00F05815"/>
    <w:rsid w:val="00F06549"/>
    <w:rsid w:val="00F07044"/>
    <w:rsid w:val="00F07986"/>
    <w:rsid w:val="00F101F8"/>
    <w:rsid w:val="00F1118B"/>
    <w:rsid w:val="00F11762"/>
    <w:rsid w:val="00F153EF"/>
    <w:rsid w:val="00F15899"/>
    <w:rsid w:val="00F22077"/>
    <w:rsid w:val="00F224A0"/>
    <w:rsid w:val="00F22614"/>
    <w:rsid w:val="00F249DA"/>
    <w:rsid w:val="00F26244"/>
    <w:rsid w:val="00F26645"/>
    <w:rsid w:val="00F27EFB"/>
    <w:rsid w:val="00F3017E"/>
    <w:rsid w:val="00F30362"/>
    <w:rsid w:val="00F314E1"/>
    <w:rsid w:val="00F33AE7"/>
    <w:rsid w:val="00F34521"/>
    <w:rsid w:val="00F3505B"/>
    <w:rsid w:val="00F35767"/>
    <w:rsid w:val="00F357B2"/>
    <w:rsid w:val="00F3632E"/>
    <w:rsid w:val="00F37865"/>
    <w:rsid w:val="00F37E95"/>
    <w:rsid w:val="00F40920"/>
    <w:rsid w:val="00F40BBC"/>
    <w:rsid w:val="00F410C0"/>
    <w:rsid w:val="00F41372"/>
    <w:rsid w:val="00F41577"/>
    <w:rsid w:val="00F4169D"/>
    <w:rsid w:val="00F43D33"/>
    <w:rsid w:val="00F45B6E"/>
    <w:rsid w:val="00F46F72"/>
    <w:rsid w:val="00F46F83"/>
    <w:rsid w:val="00F47184"/>
    <w:rsid w:val="00F50CFA"/>
    <w:rsid w:val="00F514AA"/>
    <w:rsid w:val="00F536DB"/>
    <w:rsid w:val="00F53DB5"/>
    <w:rsid w:val="00F5521A"/>
    <w:rsid w:val="00F56068"/>
    <w:rsid w:val="00F57CC6"/>
    <w:rsid w:val="00F6044E"/>
    <w:rsid w:val="00F6258B"/>
    <w:rsid w:val="00F62EC5"/>
    <w:rsid w:val="00F632DF"/>
    <w:rsid w:val="00F6478D"/>
    <w:rsid w:val="00F651DD"/>
    <w:rsid w:val="00F67501"/>
    <w:rsid w:val="00F71CAC"/>
    <w:rsid w:val="00F71FDE"/>
    <w:rsid w:val="00F72867"/>
    <w:rsid w:val="00F73CB9"/>
    <w:rsid w:val="00F7556A"/>
    <w:rsid w:val="00F75868"/>
    <w:rsid w:val="00F76EE9"/>
    <w:rsid w:val="00F801B6"/>
    <w:rsid w:val="00F805AE"/>
    <w:rsid w:val="00F8132B"/>
    <w:rsid w:val="00F840EB"/>
    <w:rsid w:val="00F857F7"/>
    <w:rsid w:val="00F86AAC"/>
    <w:rsid w:val="00F90893"/>
    <w:rsid w:val="00F91AA5"/>
    <w:rsid w:val="00F92C4C"/>
    <w:rsid w:val="00F93A93"/>
    <w:rsid w:val="00F9424C"/>
    <w:rsid w:val="00F946AB"/>
    <w:rsid w:val="00F95FB2"/>
    <w:rsid w:val="00F97910"/>
    <w:rsid w:val="00F97A64"/>
    <w:rsid w:val="00FA054E"/>
    <w:rsid w:val="00FA0C97"/>
    <w:rsid w:val="00FA31A9"/>
    <w:rsid w:val="00FA3BFF"/>
    <w:rsid w:val="00FA4634"/>
    <w:rsid w:val="00FA4EE4"/>
    <w:rsid w:val="00FA5AA9"/>
    <w:rsid w:val="00FA6A81"/>
    <w:rsid w:val="00FA7FDB"/>
    <w:rsid w:val="00FB114C"/>
    <w:rsid w:val="00FB1921"/>
    <w:rsid w:val="00FB23DF"/>
    <w:rsid w:val="00FB287A"/>
    <w:rsid w:val="00FB28BD"/>
    <w:rsid w:val="00FB35A4"/>
    <w:rsid w:val="00FB4A1D"/>
    <w:rsid w:val="00FB59DC"/>
    <w:rsid w:val="00FB7355"/>
    <w:rsid w:val="00FC0D58"/>
    <w:rsid w:val="00FC114E"/>
    <w:rsid w:val="00FC2081"/>
    <w:rsid w:val="00FC4076"/>
    <w:rsid w:val="00FC49F4"/>
    <w:rsid w:val="00FC4CD2"/>
    <w:rsid w:val="00FC4CF0"/>
    <w:rsid w:val="00FC4EDF"/>
    <w:rsid w:val="00FC4F7E"/>
    <w:rsid w:val="00FC6530"/>
    <w:rsid w:val="00FC73A6"/>
    <w:rsid w:val="00FC7D15"/>
    <w:rsid w:val="00FC7DF0"/>
    <w:rsid w:val="00FD0226"/>
    <w:rsid w:val="00FD1735"/>
    <w:rsid w:val="00FD3C21"/>
    <w:rsid w:val="00FD3F05"/>
    <w:rsid w:val="00FD46EE"/>
    <w:rsid w:val="00FD65B4"/>
    <w:rsid w:val="00FD7247"/>
    <w:rsid w:val="00FD77E6"/>
    <w:rsid w:val="00FE0ACB"/>
    <w:rsid w:val="00FE0CFB"/>
    <w:rsid w:val="00FE12D5"/>
    <w:rsid w:val="00FE2CD2"/>
    <w:rsid w:val="00FE30F2"/>
    <w:rsid w:val="00FE32C3"/>
    <w:rsid w:val="00FE3E03"/>
    <w:rsid w:val="00FE5F63"/>
    <w:rsid w:val="00FE6C0F"/>
    <w:rsid w:val="00FE7686"/>
    <w:rsid w:val="00FE78A4"/>
    <w:rsid w:val="00FE7FA2"/>
    <w:rsid w:val="00FF0720"/>
    <w:rsid w:val="00FF13AD"/>
    <w:rsid w:val="00FF17E5"/>
    <w:rsid w:val="00FF1D39"/>
    <w:rsid w:val="00FF30FF"/>
    <w:rsid w:val="00FF3A69"/>
    <w:rsid w:val="00FF50AB"/>
    <w:rsid w:val="00FF5AD9"/>
    <w:rsid w:val="00FF603C"/>
    <w:rsid w:val="00FF6CB2"/>
    <w:rsid w:val="00FF7D48"/>
    <w:rsid w:val="010C1112"/>
    <w:rsid w:val="029C2633"/>
    <w:rsid w:val="03532116"/>
    <w:rsid w:val="03E3A3E9"/>
    <w:rsid w:val="03F51677"/>
    <w:rsid w:val="03F69F1A"/>
    <w:rsid w:val="051ACFCD"/>
    <w:rsid w:val="05919A2D"/>
    <w:rsid w:val="05E9152B"/>
    <w:rsid w:val="06379433"/>
    <w:rsid w:val="063D6843"/>
    <w:rsid w:val="066432AC"/>
    <w:rsid w:val="069B7ADC"/>
    <w:rsid w:val="06BE6BE2"/>
    <w:rsid w:val="06FE8B66"/>
    <w:rsid w:val="0739E6C6"/>
    <w:rsid w:val="0763136A"/>
    <w:rsid w:val="07A6191C"/>
    <w:rsid w:val="07ABBEBB"/>
    <w:rsid w:val="07BA705A"/>
    <w:rsid w:val="0907052C"/>
    <w:rsid w:val="098051AA"/>
    <w:rsid w:val="0A24B9C4"/>
    <w:rsid w:val="0A613950"/>
    <w:rsid w:val="0A700B55"/>
    <w:rsid w:val="0B0022D9"/>
    <w:rsid w:val="0B48D58A"/>
    <w:rsid w:val="0C5E71B7"/>
    <w:rsid w:val="0C689E27"/>
    <w:rsid w:val="0C6C4946"/>
    <w:rsid w:val="0C85BE5D"/>
    <w:rsid w:val="0C9FAC85"/>
    <w:rsid w:val="0CB1253A"/>
    <w:rsid w:val="0DCFF88F"/>
    <w:rsid w:val="0DE04A9F"/>
    <w:rsid w:val="0E6BB81D"/>
    <w:rsid w:val="0E967858"/>
    <w:rsid w:val="0F03D9E1"/>
    <w:rsid w:val="0F3B75E8"/>
    <w:rsid w:val="0F95990C"/>
    <w:rsid w:val="0FD4C9D7"/>
    <w:rsid w:val="102F500D"/>
    <w:rsid w:val="10A4A11E"/>
    <w:rsid w:val="10FB2C97"/>
    <w:rsid w:val="1112F309"/>
    <w:rsid w:val="1114BA4E"/>
    <w:rsid w:val="112C6B7A"/>
    <w:rsid w:val="1198BEFD"/>
    <w:rsid w:val="11DD2B83"/>
    <w:rsid w:val="12008149"/>
    <w:rsid w:val="123EFD2F"/>
    <w:rsid w:val="12F4B78A"/>
    <w:rsid w:val="1323E382"/>
    <w:rsid w:val="13A3A09E"/>
    <w:rsid w:val="13A79940"/>
    <w:rsid w:val="13E847AC"/>
    <w:rsid w:val="13F426FA"/>
    <w:rsid w:val="142D8494"/>
    <w:rsid w:val="1486A01F"/>
    <w:rsid w:val="15270E72"/>
    <w:rsid w:val="154090C5"/>
    <w:rsid w:val="1561100D"/>
    <w:rsid w:val="15A58401"/>
    <w:rsid w:val="16287004"/>
    <w:rsid w:val="166F4922"/>
    <w:rsid w:val="17131A31"/>
    <w:rsid w:val="17C27382"/>
    <w:rsid w:val="17DC55AF"/>
    <w:rsid w:val="17FEF9E5"/>
    <w:rsid w:val="185526A6"/>
    <w:rsid w:val="18B57E3D"/>
    <w:rsid w:val="18CE3240"/>
    <w:rsid w:val="19667954"/>
    <w:rsid w:val="19DEEE96"/>
    <w:rsid w:val="19E6C14B"/>
    <w:rsid w:val="1A7FDCA6"/>
    <w:rsid w:val="1A9A6D24"/>
    <w:rsid w:val="1AC17C3A"/>
    <w:rsid w:val="1ADA31FC"/>
    <w:rsid w:val="1B284C5D"/>
    <w:rsid w:val="1B597A7E"/>
    <w:rsid w:val="1BB71A66"/>
    <w:rsid w:val="1BD611AD"/>
    <w:rsid w:val="1CAE500B"/>
    <w:rsid w:val="1CE469A7"/>
    <w:rsid w:val="1D481232"/>
    <w:rsid w:val="1DD9EF3C"/>
    <w:rsid w:val="1DF69EC9"/>
    <w:rsid w:val="1E25FE9E"/>
    <w:rsid w:val="1EBF714E"/>
    <w:rsid w:val="1EE22F19"/>
    <w:rsid w:val="1F152BF5"/>
    <w:rsid w:val="1F6DAFD8"/>
    <w:rsid w:val="1F84CC11"/>
    <w:rsid w:val="20BD1B28"/>
    <w:rsid w:val="218F7423"/>
    <w:rsid w:val="21A055E4"/>
    <w:rsid w:val="21CD325D"/>
    <w:rsid w:val="21F176C3"/>
    <w:rsid w:val="2252F5EA"/>
    <w:rsid w:val="22B2E273"/>
    <w:rsid w:val="235944A0"/>
    <w:rsid w:val="239528D4"/>
    <w:rsid w:val="242A3B97"/>
    <w:rsid w:val="244B8BA3"/>
    <w:rsid w:val="247593E9"/>
    <w:rsid w:val="2482AB30"/>
    <w:rsid w:val="24866881"/>
    <w:rsid w:val="248FB11B"/>
    <w:rsid w:val="24CA6B4B"/>
    <w:rsid w:val="25167A99"/>
    <w:rsid w:val="256E7D1F"/>
    <w:rsid w:val="263C3F53"/>
    <w:rsid w:val="266D0E36"/>
    <w:rsid w:val="2705F438"/>
    <w:rsid w:val="2803C688"/>
    <w:rsid w:val="286F61AF"/>
    <w:rsid w:val="29171280"/>
    <w:rsid w:val="291EB04C"/>
    <w:rsid w:val="29AF17E1"/>
    <w:rsid w:val="29E24B52"/>
    <w:rsid w:val="2AB2F450"/>
    <w:rsid w:val="2AB70C23"/>
    <w:rsid w:val="2AEB4A54"/>
    <w:rsid w:val="2B04FDB1"/>
    <w:rsid w:val="2B1AC7DC"/>
    <w:rsid w:val="2BEF2B23"/>
    <w:rsid w:val="2BF1899A"/>
    <w:rsid w:val="2C3D54C4"/>
    <w:rsid w:val="2CC507A0"/>
    <w:rsid w:val="2CE0FEC2"/>
    <w:rsid w:val="2CF1AE67"/>
    <w:rsid w:val="2D9251E6"/>
    <w:rsid w:val="2D99E544"/>
    <w:rsid w:val="2DEB2C8A"/>
    <w:rsid w:val="2E2AB90F"/>
    <w:rsid w:val="2E3CCF42"/>
    <w:rsid w:val="2E8E4643"/>
    <w:rsid w:val="2E8E7D31"/>
    <w:rsid w:val="2EE8C294"/>
    <w:rsid w:val="2F7661F3"/>
    <w:rsid w:val="2FA6F2C0"/>
    <w:rsid w:val="30B89212"/>
    <w:rsid w:val="30EDBFC2"/>
    <w:rsid w:val="30F97C62"/>
    <w:rsid w:val="30FC3356"/>
    <w:rsid w:val="3192DD79"/>
    <w:rsid w:val="3205A40E"/>
    <w:rsid w:val="320BC70F"/>
    <w:rsid w:val="32158470"/>
    <w:rsid w:val="3268830B"/>
    <w:rsid w:val="32C1C859"/>
    <w:rsid w:val="32F6F98A"/>
    <w:rsid w:val="33059570"/>
    <w:rsid w:val="33985B12"/>
    <w:rsid w:val="33E5B4FB"/>
    <w:rsid w:val="34DFCB06"/>
    <w:rsid w:val="34E998B1"/>
    <w:rsid w:val="34F06E92"/>
    <w:rsid w:val="3518770D"/>
    <w:rsid w:val="351F2960"/>
    <w:rsid w:val="3569ECBC"/>
    <w:rsid w:val="35821FBB"/>
    <w:rsid w:val="358BCD3F"/>
    <w:rsid w:val="35A59737"/>
    <w:rsid w:val="3630E3D9"/>
    <w:rsid w:val="36C1AD60"/>
    <w:rsid w:val="36E718BD"/>
    <w:rsid w:val="372DFBD6"/>
    <w:rsid w:val="375E6B6B"/>
    <w:rsid w:val="3782F5BA"/>
    <w:rsid w:val="381054FE"/>
    <w:rsid w:val="382BB0E4"/>
    <w:rsid w:val="38303276"/>
    <w:rsid w:val="38D94B9A"/>
    <w:rsid w:val="39728167"/>
    <w:rsid w:val="397FF86C"/>
    <w:rsid w:val="39F787EA"/>
    <w:rsid w:val="3A1863B5"/>
    <w:rsid w:val="3A252E23"/>
    <w:rsid w:val="3AC975C0"/>
    <w:rsid w:val="3AE1C658"/>
    <w:rsid w:val="3AE87F4D"/>
    <w:rsid w:val="3B3759A5"/>
    <w:rsid w:val="3B799BCC"/>
    <w:rsid w:val="3B983095"/>
    <w:rsid w:val="3BBDEFDF"/>
    <w:rsid w:val="3C09902F"/>
    <w:rsid w:val="3C205190"/>
    <w:rsid w:val="3C415B41"/>
    <w:rsid w:val="3C637521"/>
    <w:rsid w:val="3C87A00B"/>
    <w:rsid w:val="3D1B7E88"/>
    <w:rsid w:val="3D23032C"/>
    <w:rsid w:val="3DF4D5B1"/>
    <w:rsid w:val="3E0BD2A6"/>
    <w:rsid w:val="3E587F8E"/>
    <w:rsid w:val="3EEBE81C"/>
    <w:rsid w:val="3F8285E0"/>
    <w:rsid w:val="3FC738EB"/>
    <w:rsid w:val="3FF7CE88"/>
    <w:rsid w:val="404A42F7"/>
    <w:rsid w:val="405C61C0"/>
    <w:rsid w:val="40CDF8D1"/>
    <w:rsid w:val="4131F494"/>
    <w:rsid w:val="41531929"/>
    <w:rsid w:val="41B4A28C"/>
    <w:rsid w:val="4254DCC1"/>
    <w:rsid w:val="42EDEF6D"/>
    <w:rsid w:val="43768F17"/>
    <w:rsid w:val="451C38B0"/>
    <w:rsid w:val="457E80E2"/>
    <w:rsid w:val="45866D16"/>
    <w:rsid w:val="46186346"/>
    <w:rsid w:val="464F45A7"/>
    <w:rsid w:val="4660B91A"/>
    <w:rsid w:val="475F3A1A"/>
    <w:rsid w:val="47C26FF6"/>
    <w:rsid w:val="47CA3E1F"/>
    <w:rsid w:val="4816A654"/>
    <w:rsid w:val="481A0B18"/>
    <w:rsid w:val="48375772"/>
    <w:rsid w:val="487623C5"/>
    <w:rsid w:val="4909FF02"/>
    <w:rsid w:val="4936E5BF"/>
    <w:rsid w:val="4959E051"/>
    <w:rsid w:val="4A1DDAEB"/>
    <w:rsid w:val="4A4DD050"/>
    <w:rsid w:val="4AA1AE5E"/>
    <w:rsid w:val="4B71E956"/>
    <w:rsid w:val="4C05280B"/>
    <w:rsid w:val="4C2A1218"/>
    <w:rsid w:val="4C8918ED"/>
    <w:rsid w:val="4D05D725"/>
    <w:rsid w:val="4D0967CF"/>
    <w:rsid w:val="4D65BC3A"/>
    <w:rsid w:val="4D8EC441"/>
    <w:rsid w:val="4DBA415A"/>
    <w:rsid w:val="4DE0175B"/>
    <w:rsid w:val="4E12A658"/>
    <w:rsid w:val="4E2B0E51"/>
    <w:rsid w:val="4EDF1A41"/>
    <w:rsid w:val="4EF92727"/>
    <w:rsid w:val="4F9EA472"/>
    <w:rsid w:val="4FCC0AD1"/>
    <w:rsid w:val="5018C294"/>
    <w:rsid w:val="510D766F"/>
    <w:rsid w:val="51115786"/>
    <w:rsid w:val="5170D769"/>
    <w:rsid w:val="526362D6"/>
    <w:rsid w:val="527DC273"/>
    <w:rsid w:val="52CC3B59"/>
    <w:rsid w:val="5369F3F4"/>
    <w:rsid w:val="537A5530"/>
    <w:rsid w:val="537B7A8F"/>
    <w:rsid w:val="547A2D94"/>
    <w:rsid w:val="547CDDA0"/>
    <w:rsid w:val="54ACA371"/>
    <w:rsid w:val="550BC2F9"/>
    <w:rsid w:val="558BDF90"/>
    <w:rsid w:val="559D80A3"/>
    <w:rsid w:val="565C7792"/>
    <w:rsid w:val="56F1BA1B"/>
    <w:rsid w:val="57821025"/>
    <w:rsid w:val="57CD894D"/>
    <w:rsid w:val="58532BE8"/>
    <w:rsid w:val="587E035A"/>
    <w:rsid w:val="58A84EEA"/>
    <w:rsid w:val="58E96E3A"/>
    <w:rsid w:val="593AC637"/>
    <w:rsid w:val="593E5738"/>
    <w:rsid w:val="594C7A0B"/>
    <w:rsid w:val="59C112C8"/>
    <w:rsid w:val="5A4CF6CC"/>
    <w:rsid w:val="5AF03726"/>
    <w:rsid w:val="5B545F6C"/>
    <w:rsid w:val="5B67C7D7"/>
    <w:rsid w:val="5C24D288"/>
    <w:rsid w:val="5C6F8BC2"/>
    <w:rsid w:val="5CE41D62"/>
    <w:rsid w:val="5CEFEC53"/>
    <w:rsid w:val="5DC4A04A"/>
    <w:rsid w:val="5DD4D7CF"/>
    <w:rsid w:val="5E4023AB"/>
    <w:rsid w:val="5E7D70E4"/>
    <w:rsid w:val="5E97B0CB"/>
    <w:rsid w:val="5F62B1B6"/>
    <w:rsid w:val="5FAE97D8"/>
    <w:rsid w:val="5FD35E9D"/>
    <w:rsid w:val="600DB829"/>
    <w:rsid w:val="6079877E"/>
    <w:rsid w:val="61EE564A"/>
    <w:rsid w:val="62456E77"/>
    <w:rsid w:val="62BE2085"/>
    <w:rsid w:val="62C9B2EA"/>
    <w:rsid w:val="631FEBCA"/>
    <w:rsid w:val="639E9B9B"/>
    <w:rsid w:val="63BEA325"/>
    <w:rsid w:val="6462B5A6"/>
    <w:rsid w:val="649087DC"/>
    <w:rsid w:val="649395FB"/>
    <w:rsid w:val="64A4B944"/>
    <w:rsid w:val="64F692D4"/>
    <w:rsid w:val="656A1E2D"/>
    <w:rsid w:val="65772A6C"/>
    <w:rsid w:val="65A72BA2"/>
    <w:rsid w:val="6654291A"/>
    <w:rsid w:val="66BD4B63"/>
    <w:rsid w:val="671C4404"/>
    <w:rsid w:val="67205E4B"/>
    <w:rsid w:val="67630FE3"/>
    <w:rsid w:val="678818CA"/>
    <w:rsid w:val="67929FA3"/>
    <w:rsid w:val="67997BEE"/>
    <w:rsid w:val="67E5EF71"/>
    <w:rsid w:val="688EC8D6"/>
    <w:rsid w:val="68C2C5D5"/>
    <w:rsid w:val="68DB40FC"/>
    <w:rsid w:val="691A06BB"/>
    <w:rsid w:val="691A7037"/>
    <w:rsid w:val="6924D4D1"/>
    <w:rsid w:val="6987D822"/>
    <w:rsid w:val="6A0510BF"/>
    <w:rsid w:val="6A66705C"/>
    <w:rsid w:val="6AB03904"/>
    <w:rsid w:val="6ABC4D12"/>
    <w:rsid w:val="6AC31E23"/>
    <w:rsid w:val="6B3C2582"/>
    <w:rsid w:val="6B5B80CE"/>
    <w:rsid w:val="6BF9886D"/>
    <w:rsid w:val="6C7E551B"/>
    <w:rsid w:val="6D17EF1F"/>
    <w:rsid w:val="6D488CFE"/>
    <w:rsid w:val="6D5E2B53"/>
    <w:rsid w:val="6D92290A"/>
    <w:rsid w:val="6DC8581C"/>
    <w:rsid w:val="6DE954D4"/>
    <w:rsid w:val="6DEE8A84"/>
    <w:rsid w:val="6E235B12"/>
    <w:rsid w:val="6FEFD563"/>
    <w:rsid w:val="702EE3C2"/>
    <w:rsid w:val="70481CF2"/>
    <w:rsid w:val="70631177"/>
    <w:rsid w:val="70A625F7"/>
    <w:rsid w:val="70C006E6"/>
    <w:rsid w:val="713AB4F6"/>
    <w:rsid w:val="716D41F4"/>
    <w:rsid w:val="7193A06A"/>
    <w:rsid w:val="71C31FE3"/>
    <w:rsid w:val="71E6426E"/>
    <w:rsid w:val="71F51864"/>
    <w:rsid w:val="724E9FAD"/>
    <w:rsid w:val="727A167A"/>
    <w:rsid w:val="72AFD5C4"/>
    <w:rsid w:val="72D168A5"/>
    <w:rsid w:val="72F6ECCE"/>
    <w:rsid w:val="730FCCFB"/>
    <w:rsid w:val="73BF3F6F"/>
    <w:rsid w:val="73C5D9BC"/>
    <w:rsid w:val="73F401F8"/>
    <w:rsid w:val="74B9DF17"/>
    <w:rsid w:val="74CD2655"/>
    <w:rsid w:val="75207B8F"/>
    <w:rsid w:val="75809766"/>
    <w:rsid w:val="75BE7B32"/>
    <w:rsid w:val="75E7E8C2"/>
    <w:rsid w:val="7669ACD6"/>
    <w:rsid w:val="766E7AF6"/>
    <w:rsid w:val="76825172"/>
    <w:rsid w:val="76B67B90"/>
    <w:rsid w:val="77316144"/>
    <w:rsid w:val="77359BF2"/>
    <w:rsid w:val="77446A4A"/>
    <w:rsid w:val="777ECC86"/>
    <w:rsid w:val="77D2CA7A"/>
    <w:rsid w:val="78206F1E"/>
    <w:rsid w:val="784B72B7"/>
    <w:rsid w:val="785BA168"/>
    <w:rsid w:val="7929D98B"/>
    <w:rsid w:val="79B17F01"/>
    <w:rsid w:val="79BEC7F1"/>
    <w:rsid w:val="79CB34D5"/>
    <w:rsid w:val="7A6AF975"/>
    <w:rsid w:val="7A75D9C9"/>
    <w:rsid w:val="7A91341A"/>
    <w:rsid w:val="7B254AC1"/>
    <w:rsid w:val="7B51F349"/>
    <w:rsid w:val="7BAD7C19"/>
    <w:rsid w:val="7BEE4526"/>
    <w:rsid w:val="7BF38582"/>
    <w:rsid w:val="7C285CBA"/>
    <w:rsid w:val="7C297149"/>
    <w:rsid w:val="7C97CD75"/>
    <w:rsid w:val="7CA17E0A"/>
    <w:rsid w:val="7D073C85"/>
    <w:rsid w:val="7D0CF5E0"/>
    <w:rsid w:val="7DA9163B"/>
    <w:rsid w:val="7DEED1A8"/>
    <w:rsid w:val="7E030E9E"/>
    <w:rsid w:val="7E1955CF"/>
    <w:rsid w:val="7F17C408"/>
    <w:rsid w:val="7FA29CDC"/>
    <w:rsid w:val="7FD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89E2"/>
  <w15:docId w15:val="{38D6A328-5785-4CB2-BD85-E77B755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5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5FE"/>
  </w:style>
  <w:style w:type="paragraph" w:styleId="llb">
    <w:name w:val="footer"/>
    <w:basedOn w:val="Norml"/>
    <w:link w:val="llbChar"/>
    <w:uiPriority w:val="99"/>
    <w:unhideWhenUsed/>
    <w:rsid w:val="00B1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5F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5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5FE"/>
    <w:rPr>
      <w:sz w:val="20"/>
      <w:szCs w:val="20"/>
    </w:rPr>
  </w:style>
  <w:style w:type="character" w:styleId="Lbjegyzet-hivatkozs">
    <w:name w:val="footnote reference"/>
    <w:semiHidden/>
    <w:rsid w:val="00B155FE"/>
    <w:rPr>
      <w:vertAlign w:val="superscript"/>
    </w:rPr>
  </w:style>
  <w:style w:type="character" w:styleId="Oldalszm">
    <w:name w:val="page number"/>
    <w:basedOn w:val="Bekezdsalapbettpusa"/>
    <w:rsid w:val="00B155FE"/>
  </w:style>
  <w:style w:type="paragraph" w:styleId="Buborkszveg">
    <w:name w:val="Balloon Text"/>
    <w:basedOn w:val="Norml"/>
    <w:link w:val="BuborkszvegChar"/>
    <w:uiPriority w:val="99"/>
    <w:semiHidden/>
    <w:unhideWhenUsed/>
    <w:rsid w:val="0097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327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71CAC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table" w:styleId="Rcsostblzat">
    <w:name w:val="Table Grid"/>
    <w:basedOn w:val="Normltblzat"/>
    <w:uiPriority w:val="39"/>
    <w:rsid w:val="00D4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1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table" w:styleId="Tblzatrcsos1vilgos1jellszn">
    <w:name w:val="Grid Table 1 Light Accent 1"/>
    <w:basedOn w:val="Normltblzat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5D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5D5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62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3.emf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oter" Target="footer3.xm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DF1BD466E83E842902559549E0F08F2" ma:contentTypeVersion="5" ma:contentTypeDescription="Új dokumentum létrehozása." ma:contentTypeScope="" ma:versionID="4b44a68e156a5b79248640aeafc70798">
  <xsd:schema xmlns:xsd="http://www.w3.org/2001/XMLSchema" xmlns:xs="http://www.w3.org/2001/XMLSchema" xmlns:p="http://schemas.microsoft.com/office/2006/metadata/properties" xmlns:ns2="cb7eed14-1ed6-4f4f-9464-e9d73fc2f8e9" xmlns:ns3="9669010e-b829-4d86-87dd-cdce11b02043" targetNamespace="http://schemas.microsoft.com/office/2006/metadata/properties" ma:root="true" ma:fieldsID="bd0071a6f26b893e5271513f12c665f5" ns2:_="" ns3:_="">
    <xsd:import namespace="cb7eed14-1ed6-4f4f-9464-e9d73fc2f8e9"/>
    <xsd:import namespace="9669010e-b829-4d86-87dd-cdce11b02043"/>
    <xsd:element name="properties">
      <xsd:complexType>
        <xsd:sequence>
          <xsd:element name="documentManagement">
            <xsd:complexType>
              <xsd:all>
                <xsd:element ref="ns2:T_x00e9_ma" minOccurs="0"/>
                <xsd:element ref="ns2:_x00c9_v"/>
                <xsd:element ref="ns2:L_x00e1_that_x00f3_s_x00e1_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ed14-1ed6-4f4f-9464-e9d73fc2f8e9" elementFormDefault="qualified">
    <xsd:import namespace="http://schemas.microsoft.com/office/2006/documentManagement/types"/>
    <xsd:import namespace="http://schemas.microsoft.com/office/infopath/2007/PartnerControls"/>
    <xsd:element name="T_x00e9_ma" ma:index="2" nillable="true" ma:displayName="Téma" ma:format="Dropdown" ma:internalName="T_x00e9_ma">
      <xsd:simpleType>
        <xsd:restriction base="dms:Choice">
          <xsd:enumeration value="Tervezés"/>
          <xsd:enumeration value="Zárszámadás"/>
          <xsd:enumeration value="Törvénymódosítás"/>
          <xsd:enumeration value="ÁSZ ellenőrzés"/>
          <xsd:enumeration value="Gyorsjelentés"/>
          <xsd:enumeration value="Monitoring"/>
          <xsd:enumeration value="Tervezési tájékoztató"/>
          <xsd:enumeration value="Útmutató"/>
          <xsd:enumeration value="Munkaprogram"/>
          <xsd:enumeration value="Ütemterv"/>
          <xsd:enumeration value="Módosító"/>
          <xsd:enumeration value="Kormányülés"/>
          <xsd:enumeration value="Gazdasági kabinet"/>
          <xsd:enumeration value="Stratégiai kabinet"/>
          <xsd:enumeration value="IFMIS"/>
          <xsd:enumeration value="Fejezeten belüli átcsoportosítás"/>
          <xsd:enumeration value="Címlista"/>
          <xsd:enumeration value="BEÜ"/>
          <xsd:enumeration value="Koronavírus"/>
          <xsd:enumeration value="Tudásbázis"/>
          <xsd:enumeration value="Kiemelt fejlesztési igények"/>
          <xsd:enumeration value="Iktatás"/>
        </xsd:restriction>
      </xsd:simpleType>
    </xsd:element>
    <xsd:element name="_x00c9_v" ma:index="3" ma:displayName="Év" ma:default="2018" ma:format="Dropdown" ma:internalName="_x00c9_v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_x00e1_that_x00f3_s_x00e1_g" ma:index="4" nillable="true" ma:displayName="Láthatóság" ma:default="Publikus" ma:format="Dropdown" ma:internalName="L_x00e1_that_x00f3_s_x00e1_g">
      <xsd:simpleType>
        <xsd:restriction base="dms:Choice">
          <xsd:enumeration value="Publikus"/>
          <xsd:enumeration value="Csak admin látja (verziókat tartalmaz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010e-b829-4d86-87dd-cdce11b02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9_v xmlns="cb7eed14-1ed6-4f4f-9464-e9d73fc2f8e9">2025</_x00c9_v>
    <T_x00e9_ma xmlns="cb7eed14-1ed6-4f4f-9464-e9d73fc2f8e9">Monitoring</T_x00e9_ma>
    <L_x00e1_that_x00f3_s_x00e1_g xmlns="cb7eed14-1ed6-4f4f-9464-e9d73fc2f8e9">Publikus</L_x00e1_that_x00f3_s_x00e1_g>
  </documentManagement>
</p:properties>
</file>

<file path=customXml/itemProps1.xml><?xml version="1.0" encoding="utf-8"?>
<ds:datastoreItem xmlns:ds="http://schemas.openxmlformats.org/officeDocument/2006/customXml" ds:itemID="{BDD0F6AD-19C0-4D6B-ABDF-2564A2CC5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FD48C-7926-4BF1-87F7-A322FB81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eed14-1ed6-4f4f-9464-e9d73fc2f8e9"/>
    <ds:schemaRef ds:uri="9669010e-b829-4d86-87dd-cdce11b02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E50AF-6A38-4D56-A55D-D65BA869B7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C958D-48DC-4564-B24D-56E63215790F}">
  <ds:schemaRefs>
    <ds:schemaRef ds:uri="http://schemas.microsoft.com/office/2006/metadata/properties"/>
    <ds:schemaRef ds:uri="http://schemas.microsoft.com/office/infopath/2007/PartnerControls"/>
    <ds:schemaRef ds:uri="cb7eed14-1ed6-4f4f-9464-e9d73fc2f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5060</Words>
  <Characters>34920</Characters>
  <Application>Microsoft Office Word</Application>
  <DocSecurity>0</DocSecurity>
  <Lines>291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39901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2025-11-17T11:17:00Z</cp:lastPrinted>
  <dcterms:created xsi:type="dcterms:W3CDTF">2025-11-17T14:45:00Z</dcterms:created>
  <dcterms:modified xsi:type="dcterms:W3CDTF">2025-11-17T14:45:00Z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0x010100CDF1BD466E83E842902559549E0F08F2</vt:lpwstr>
  </property>
</Properties>
</file>