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A62CB5" w:rsidRDefault="00A62CB5" w:rsidP="00A62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E4567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</w:t>
      </w:r>
      <w:bookmarkStart w:id="0" w:name="_GoBack"/>
      <w:bookmarkEnd w:id="0"/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ülgazdasági és Külügyminisztérium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Személyügyi</w:t>
      </w: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</w:t>
      </w:r>
      <w:r w:rsidRPr="00C71A6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CXXV. tv. 83. § (1) bekezdése és 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 </w:t>
      </w:r>
      <w:proofErr w:type="spell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központról, a kiválasztási eljárásról és a közzétételi eljárásról szóló 70/2019. (IV. 4.) Korm. rendelet 6. § (1) bekezdés a) pontja alapján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spellStart"/>
      <w:proofErr w:type="gramStart"/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személyügyi</w:t>
      </w:r>
      <w:proofErr w:type="spellEnd"/>
      <w:proofErr w:type="gramEnd"/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A62CB5">
        <w:rPr>
          <w:rFonts w:ascii="Times New Roman" w:eastAsia="Times New Roman" w:hAnsi="Times New Roman"/>
          <w:b/>
          <w:sz w:val="24"/>
          <w:szCs w:val="24"/>
          <w:lang w:eastAsia="hu-HU"/>
        </w:rPr>
        <w:t>referens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</w:p>
    <w:p w:rsidR="00A62CB5" w:rsidRPr="00A71EAD" w:rsidRDefault="00A71EA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ügyintézői)</w:t>
      </w:r>
    </w:p>
    <w:p w:rsidR="00A71EAD" w:rsidRPr="00A62CB5" w:rsidRDefault="00A71EA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45674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C71A6A" w:rsidRDefault="00324772" w:rsidP="00E746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C71A6A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BF32C4">
        <w:rPr>
          <w:rFonts w:ascii="Times New Roman" w:eastAsia="Times New Roman" w:hAnsi="Times New Roman"/>
          <w:sz w:val="24"/>
          <w:szCs w:val="24"/>
          <w:lang w:eastAsia="hu-HU"/>
        </w:rPr>
        <w:t xml:space="preserve"> vagy határozott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C71A6A" w:rsidRDefault="00C71A6A" w:rsidP="00C71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Személyügyi Főosztálya belföldi (ún. központi) állományát érintő </w:t>
      </w:r>
      <w:proofErr w:type="spellStart"/>
      <w:r>
        <w:rPr>
          <w:rFonts w:ascii="Times New Roman" w:hAnsi="Times New Roman"/>
          <w:sz w:val="24"/>
          <w:szCs w:val="24"/>
        </w:rPr>
        <w:t>személyügyi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személyügyi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adminisztrációs</w:t>
      </w:r>
      <w:proofErr w:type="gramEnd"/>
      <w:r>
        <w:rPr>
          <w:rFonts w:ascii="Times New Roman" w:hAnsi="Times New Roman"/>
          <w:sz w:val="24"/>
          <w:szCs w:val="24"/>
        </w:rPr>
        <w:t>, valamint humánpolitikai feladatai ellátásában való közreműködés az alábbiak szerint</w:t>
      </w:r>
    </w:p>
    <w:p w:rsidR="00A71EAD" w:rsidRPr="00E45674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Felveszi a kapcsolatot az alkalmazásra kerülő munkatárssal, kiadja a belépő egységcsomagot;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Felhívja a figyelmet az alkalmazáshoz szükséges okiratok beszerzésére;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Átveszi a munkatárs által benyújtott igazolásokat, megvizsgálja azok eredetiségét, az esetleges hiánypótlásra felhívja a figyelmet;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C71A6A">
        <w:rPr>
          <w:rFonts w:ascii="Times New Roman" w:hAnsi="Times New Roman"/>
          <w:sz w:val="24"/>
          <w:szCs w:val="24"/>
        </w:rPr>
        <w:t>személyügyi</w:t>
      </w:r>
      <w:proofErr w:type="spellEnd"/>
      <w:r w:rsidRPr="00C71A6A">
        <w:rPr>
          <w:rFonts w:ascii="Times New Roman" w:hAnsi="Times New Roman"/>
          <w:sz w:val="24"/>
          <w:szCs w:val="24"/>
        </w:rPr>
        <w:t xml:space="preserve"> nyilvántartó programba az alkalmazásra kerülő munkatárs személyi adatait rögzíti;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az alkalmazásra kerülő munkatársak kinevezési és beosztási okiratát, illetve munkaszerződését;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 beosztási okirat módosításokat, illetve a munkaszerződés módosításokat (a külszolgálatról berendelt munkatársak belföldi állományba helyezés, belső áthelyezések);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C71A6A">
        <w:rPr>
          <w:rFonts w:ascii="Times New Roman" w:hAnsi="Times New Roman"/>
          <w:sz w:val="24"/>
          <w:szCs w:val="24"/>
        </w:rPr>
        <w:t>személyügyi</w:t>
      </w:r>
      <w:proofErr w:type="spellEnd"/>
      <w:r w:rsidRPr="00C71A6A">
        <w:rPr>
          <w:rFonts w:ascii="Times New Roman" w:hAnsi="Times New Roman"/>
          <w:sz w:val="24"/>
          <w:szCs w:val="24"/>
        </w:rPr>
        <w:t xml:space="preserve"> döntések előkészítéséhez háttéranyagot készít;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Ellátja a szakmai vezetői álláshelyek betöltéséhez szükséges Kormányengedélyek megkérésével kapcsolatos feladatokat és erről nyilvántartást vezet;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lastRenderedPageBreak/>
        <w:t>A kormányzati szolgálati jogviszony és munkaviszony megszüntetésével, megszűnésével kapcsolatos okiratot elkészíti, illetve az elszámolással kapcsolatos tájékoztatót átadja;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Az elkészült okiratok aláíratása, átadása, illetve postázása az érintettek részére (ügyfélkapu, Nyilvántartó);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 xml:space="preserve">Ellátja a kijelölt terület álláshelyeivel kapcsolatos </w:t>
      </w:r>
      <w:proofErr w:type="gramStart"/>
      <w:r w:rsidRPr="00C71A6A">
        <w:rPr>
          <w:rFonts w:ascii="Times New Roman" w:hAnsi="Times New Roman"/>
          <w:sz w:val="24"/>
          <w:szCs w:val="24"/>
        </w:rPr>
        <w:t>adminisztrációs</w:t>
      </w:r>
      <w:proofErr w:type="gramEnd"/>
      <w:r w:rsidRPr="00C71A6A">
        <w:rPr>
          <w:rFonts w:ascii="Times New Roman" w:hAnsi="Times New Roman"/>
          <w:sz w:val="24"/>
          <w:szCs w:val="24"/>
        </w:rPr>
        <w:t xml:space="preserve"> feladatokat;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 xml:space="preserve">Felvezeti a </w:t>
      </w:r>
      <w:proofErr w:type="spellStart"/>
      <w:r w:rsidRPr="00C71A6A">
        <w:rPr>
          <w:rFonts w:ascii="Times New Roman" w:hAnsi="Times New Roman"/>
          <w:sz w:val="24"/>
          <w:szCs w:val="24"/>
        </w:rPr>
        <w:t>személyügyi</w:t>
      </w:r>
      <w:proofErr w:type="spellEnd"/>
      <w:r w:rsidRPr="00C71A6A">
        <w:rPr>
          <w:rFonts w:ascii="Times New Roman" w:hAnsi="Times New Roman"/>
          <w:sz w:val="24"/>
          <w:szCs w:val="24"/>
        </w:rPr>
        <w:t xml:space="preserve"> nyilvántartó programba a felsőfokú iskolai végzettségeket, nyelvvizsgákat, egyéb szakképesítéseket;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 belföldi, illetve külföldi állományban lévő munkatársak nyugdíjazásával kapcsolatos okiratokat;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 xml:space="preserve">Döntésre előkészíti az öregségi nyugdíjkorhatár betöltését követő </w:t>
      </w:r>
      <w:proofErr w:type="spellStart"/>
      <w:r w:rsidRPr="00C71A6A">
        <w:rPr>
          <w:rFonts w:ascii="Times New Roman" w:hAnsi="Times New Roman"/>
          <w:sz w:val="24"/>
          <w:szCs w:val="24"/>
        </w:rPr>
        <w:t>továbbfoglalkoztatási</w:t>
      </w:r>
      <w:proofErr w:type="spellEnd"/>
      <w:r w:rsidRPr="00C71A6A">
        <w:rPr>
          <w:rFonts w:ascii="Times New Roman" w:hAnsi="Times New Roman"/>
          <w:sz w:val="24"/>
          <w:szCs w:val="24"/>
        </w:rPr>
        <w:t xml:space="preserve"> kérelmeket, javaslatokat, azokat jóváhagyást követően továbbítja a Miniszterelnökség részére;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Fizetés nélküli szabadság kérelmekkel kapcsolatosan megvizsgálja a kérelmek jogszerűségét, az esetleges igazolásokat bekéri a munkatársaktól, elkészíti az okiratokat, valamint nyilvántartás vezet a fizetés nélküli szabadságon lévő munkatársakról;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Jogviszonnyal k</w:t>
      </w:r>
      <w:r w:rsidR="003E7197">
        <w:rPr>
          <w:rFonts w:ascii="Times New Roman" w:hAnsi="Times New Roman"/>
          <w:sz w:val="24"/>
          <w:szCs w:val="24"/>
        </w:rPr>
        <w:t>apcsolatos igazolások készítése.</w:t>
      </w:r>
    </w:p>
    <w:p w:rsidR="00AE46E9" w:rsidRPr="00C71A6A" w:rsidRDefault="00AE46E9" w:rsidP="00E74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Default="003A1BCB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F93054" w:rsidRDefault="00DD59AF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felsőfokú </w:t>
      </w:r>
      <w:r w:rsidR="003E7197">
        <w:rPr>
          <w:rFonts w:ascii="Times New Roman" w:eastAsia="Times New Roman" w:hAnsi="Times New Roman"/>
          <w:sz w:val="24"/>
          <w:szCs w:val="24"/>
          <w:lang w:eastAsia="hu-HU"/>
        </w:rPr>
        <w:t>végzettség.</w:t>
      </w:r>
    </w:p>
    <w:p w:rsidR="003E7197" w:rsidRPr="003E7197" w:rsidRDefault="003E7197" w:rsidP="003E719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F9305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minisztériumnál, egyéb központi kormányzati igazgatási szervnél </w:t>
      </w:r>
      <w:proofErr w:type="spellStart"/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 xml:space="preserve">, humánpolitikai, esetleges képzési területen szerzett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tapasztalat</w:t>
      </w:r>
    </w:p>
    <w:p w:rsidR="00C668CC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(Kit.), valamint a kapcsolódó egyéb (közszolgálati) jogi szabályok ismerete, gyakorlati alkalmazási képessége</w:t>
      </w:r>
    </w:p>
    <w:p w:rsidR="00C668CC" w:rsidRPr="00F93054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érvényes és kockázatmentes nemzetbiztonsági ellenőrzés megléte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F93054" w:rsidRPr="00F93054" w:rsidRDefault="00DD59AF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DD59AF" w:rsidRDefault="00DD59AF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igényes és gyors munkavégzés,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:rsidR="00F93054" w:rsidRPr="00F93054" w:rsidRDefault="00F93054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 w:rsidR="00DD59A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F93054" w:rsidRPr="00F93054" w:rsidRDefault="00F93054" w:rsidP="00E45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Opcionálisan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1F6A8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2023. július 14.</w:t>
      </w:r>
    </w:p>
    <w:p w:rsidR="00C668CC" w:rsidRDefault="00C668C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93054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DD59A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belföldi</w:t>
      </w:r>
      <w:proofErr w:type="spellEnd"/>
      <w:r w:rsidR="00DD59A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="00DD59A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személyügyi</w:t>
      </w:r>
      <w:proofErr w:type="spell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Default="00A71EAD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 w:rsidR="001F6A83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1F6A83">
        <w:rPr>
          <w:rFonts w:ascii="Times New Roman" w:eastAsia="Times New Roman" w:hAnsi="Times New Roman"/>
          <w:sz w:val="24"/>
          <w:szCs w:val="24"/>
          <w:lang w:eastAsia="hu-HU"/>
        </w:rPr>
        <w:t>szeptember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pályázat tartalmi és formai megfelelőségéről, a pályázattal, illetve ellátandó feladatokkal kapcsolatos egyéb kérdésekről a </w:t>
      </w:r>
      <w:hyperlink r:id="rId6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567C3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67C31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567C31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567C31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hyperlink r:id="rId7" w:history="1">
        <w:r w:rsidR="00567C31" w:rsidRPr="00567C31">
          <w:rPr>
            <w:rStyle w:val="Hiperhivatkozs"/>
            <w:rFonts w:ascii="Times New Roman" w:hAnsi="Times New Roman"/>
            <w:sz w:val="24"/>
            <w:szCs w:val="24"/>
          </w:rPr>
          <w:t>https://kozszolgallas.ksz.gov.hu/</w:t>
        </w:r>
      </w:hyperlink>
      <w:r w:rsidR="00567C31" w:rsidRPr="00567C31">
        <w:rPr>
          <w:rFonts w:ascii="Times New Roman" w:hAnsi="Times New Roman"/>
          <w:sz w:val="24"/>
          <w:szCs w:val="24"/>
        </w:rPr>
        <w:t xml:space="preserve"> </w:t>
      </w:r>
      <w:r w:rsidRPr="00567C31">
        <w:rPr>
          <w:rFonts w:ascii="Times New Roman" w:eastAsia="Times New Roman" w:hAnsi="Times New Roman"/>
          <w:sz w:val="24"/>
          <w:szCs w:val="24"/>
          <w:lang w:eastAsia="hu-HU"/>
        </w:rPr>
        <w:t>weboldalon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is. Amennyiben a pályázati felhívások szövegében eltérés található, a Külgazdasági és Külügyminisztérium honlapján közzétett</w:t>
      </w:r>
      <w:r w:rsidR="00035F81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8" w:history="1">
        <w:r w:rsidR="00035F81" w:rsidRPr="003F141B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https://kormany.hu/dokumentumtar/allaspalyazatok-osztondijak-gyakornoki-palyazatok</w:t>
        </w:r>
      </w:hyperlink>
      <w:r w:rsidR="00035F81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pályázati kiírás szövegét kell irányadónak tekinteni.</w:t>
      </w:r>
    </w:p>
    <w:p w:rsidR="00C668CC" w:rsidRDefault="00C668CC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E45674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93054" w:rsidRDefault="00F93054" w:rsidP="00F9305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93054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before="324" w:after="0" w:line="213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F9305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93054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F9305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>Ujvári Blanka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>blanka.ujvari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@mfa.gov.hu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F9305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F9305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F93054" w:rsidRPr="00F93054" w:rsidRDefault="00F93054" w:rsidP="00F9305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F93054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F9305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honlap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: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2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CF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20"/>
  </w:num>
  <w:num w:numId="5">
    <w:abstractNumId w:val="0"/>
  </w:num>
  <w:num w:numId="6">
    <w:abstractNumId w:val="15"/>
  </w:num>
  <w:num w:numId="7">
    <w:abstractNumId w:val="21"/>
  </w:num>
  <w:num w:numId="8">
    <w:abstractNumId w:val="14"/>
  </w:num>
  <w:num w:numId="9">
    <w:abstractNumId w:val="2"/>
  </w:num>
  <w:num w:numId="10">
    <w:abstractNumId w:val="9"/>
  </w:num>
  <w:num w:numId="11">
    <w:abstractNumId w:val="16"/>
  </w:num>
  <w:num w:numId="12">
    <w:abstractNumId w:val="4"/>
  </w:num>
  <w:num w:numId="13">
    <w:abstractNumId w:val="17"/>
  </w:num>
  <w:num w:numId="14">
    <w:abstractNumId w:val="22"/>
  </w:num>
  <w:num w:numId="15">
    <w:abstractNumId w:val="10"/>
  </w:num>
  <w:num w:numId="16">
    <w:abstractNumId w:val="1"/>
  </w:num>
  <w:num w:numId="17">
    <w:abstractNumId w:val="7"/>
  </w:num>
  <w:num w:numId="18">
    <w:abstractNumId w:val="11"/>
  </w:num>
  <w:num w:numId="19">
    <w:abstractNumId w:val="3"/>
  </w:num>
  <w:num w:numId="20">
    <w:abstractNumId w:val="8"/>
  </w:num>
  <w:num w:numId="21">
    <w:abstractNumId w:val="18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35F81"/>
    <w:rsid w:val="00036991"/>
    <w:rsid w:val="00054D0C"/>
    <w:rsid w:val="00057C28"/>
    <w:rsid w:val="0008613C"/>
    <w:rsid w:val="000B24B2"/>
    <w:rsid w:val="00127D13"/>
    <w:rsid w:val="00132179"/>
    <w:rsid w:val="00135A53"/>
    <w:rsid w:val="00152F6E"/>
    <w:rsid w:val="0017373C"/>
    <w:rsid w:val="00182E1D"/>
    <w:rsid w:val="00190EF7"/>
    <w:rsid w:val="001C1B0E"/>
    <w:rsid w:val="001E6DD9"/>
    <w:rsid w:val="001F6A83"/>
    <w:rsid w:val="00204236"/>
    <w:rsid w:val="002323FE"/>
    <w:rsid w:val="002430A8"/>
    <w:rsid w:val="002A30C1"/>
    <w:rsid w:val="002C403C"/>
    <w:rsid w:val="002D0461"/>
    <w:rsid w:val="002E25BF"/>
    <w:rsid w:val="002F36EC"/>
    <w:rsid w:val="00321821"/>
    <w:rsid w:val="00324772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20DA8"/>
    <w:rsid w:val="00567C31"/>
    <w:rsid w:val="00567CD8"/>
    <w:rsid w:val="00584E3F"/>
    <w:rsid w:val="005A56EF"/>
    <w:rsid w:val="005A5807"/>
    <w:rsid w:val="005B3299"/>
    <w:rsid w:val="005F172B"/>
    <w:rsid w:val="0063305A"/>
    <w:rsid w:val="0066327A"/>
    <w:rsid w:val="006710D2"/>
    <w:rsid w:val="00683E8A"/>
    <w:rsid w:val="006A6CC1"/>
    <w:rsid w:val="006C6721"/>
    <w:rsid w:val="006D148F"/>
    <w:rsid w:val="00735418"/>
    <w:rsid w:val="007404C8"/>
    <w:rsid w:val="0074754C"/>
    <w:rsid w:val="007A7639"/>
    <w:rsid w:val="00803622"/>
    <w:rsid w:val="008166F1"/>
    <w:rsid w:val="008746A9"/>
    <w:rsid w:val="008F7DA4"/>
    <w:rsid w:val="00925256"/>
    <w:rsid w:val="00934EE5"/>
    <w:rsid w:val="00937667"/>
    <w:rsid w:val="009F4D89"/>
    <w:rsid w:val="00A6091D"/>
    <w:rsid w:val="00A62CB5"/>
    <w:rsid w:val="00A71EAD"/>
    <w:rsid w:val="00A80122"/>
    <w:rsid w:val="00A8419C"/>
    <w:rsid w:val="00A9730F"/>
    <w:rsid w:val="00AC3C1B"/>
    <w:rsid w:val="00AE46E9"/>
    <w:rsid w:val="00AE60A5"/>
    <w:rsid w:val="00AF0E33"/>
    <w:rsid w:val="00B24082"/>
    <w:rsid w:val="00B54D01"/>
    <w:rsid w:val="00B9257E"/>
    <w:rsid w:val="00BB3C58"/>
    <w:rsid w:val="00BC318C"/>
    <w:rsid w:val="00BC7BD2"/>
    <w:rsid w:val="00BE48EF"/>
    <w:rsid w:val="00BF061C"/>
    <w:rsid w:val="00BF32C4"/>
    <w:rsid w:val="00BF4B03"/>
    <w:rsid w:val="00C16858"/>
    <w:rsid w:val="00C20940"/>
    <w:rsid w:val="00C668CC"/>
    <w:rsid w:val="00C71A6A"/>
    <w:rsid w:val="00C942E8"/>
    <w:rsid w:val="00CA3458"/>
    <w:rsid w:val="00CA74F6"/>
    <w:rsid w:val="00CC08F1"/>
    <w:rsid w:val="00CF0058"/>
    <w:rsid w:val="00CF21F5"/>
    <w:rsid w:val="00D24AA0"/>
    <w:rsid w:val="00D3527F"/>
    <w:rsid w:val="00DD59AF"/>
    <w:rsid w:val="00DF577A"/>
    <w:rsid w:val="00DF7992"/>
    <w:rsid w:val="00E15DE6"/>
    <w:rsid w:val="00E30E7D"/>
    <w:rsid w:val="00E45674"/>
    <w:rsid w:val="00E50503"/>
    <w:rsid w:val="00E52919"/>
    <w:rsid w:val="00E74672"/>
    <w:rsid w:val="00E920D9"/>
    <w:rsid w:val="00EC1FFC"/>
    <w:rsid w:val="00EC3066"/>
    <w:rsid w:val="00ED218C"/>
    <w:rsid w:val="00EF0F8E"/>
    <w:rsid w:val="00EF6235"/>
    <w:rsid w:val="00F10EB5"/>
    <w:rsid w:val="00F175EC"/>
    <w:rsid w:val="00F45B6F"/>
    <w:rsid w:val="00F45E02"/>
    <w:rsid w:val="00F54F7E"/>
    <w:rsid w:val="00F7073A"/>
    <w:rsid w:val="00F93054"/>
    <w:rsid w:val="00FA14F3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zszolgallas.ksz.gov.hu/" TargetMode="External"/><Relationship Id="rId12" Type="http://schemas.openxmlformats.org/officeDocument/2006/relationships/hyperlink" Target="http://birosag.hu/ugyfelkapcsolatiportal/birosag-kere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www.naih.hu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mailto:ugyfelszolgalat@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zkapcsolat@mfa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3033</Words>
  <Characters>20935</Characters>
  <Application>Microsoft Office Word</Application>
  <DocSecurity>0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23921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8</cp:revision>
  <cp:lastPrinted>2021-12-22T13:01:00Z</cp:lastPrinted>
  <dcterms:created xsi:type="dcterms:W3CDTF">2022-09-06T05:58:00Z</dcterms:created>
  <dcterms:modified xsi:type="dcterms:W3CDTF">2023-06-20T09:28:00Z</dcterms:modified>
</cp:coreProperties>
</file>