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77FA" w14:textId="77777777" w:rsidR="00A94EFE" w:rsidRPr="00377D59" w:rsidRDefault="5E04AD7D" w:rsidP="5E04AD7D">
      <w:pPr>
        <w:tabs>
          <w:tab w:val="center" w:pos="4536"/>
        </w:tabs>
        <w:bidi/>
        <w:spacing w:after="120" w:line="240" w:lineRule="auto"/>
        <w:ind w:left="-142" w:right="-1" w:firstLine="142"/>
        <w:rPr>
          <w:rFonts w:ascii="Times New Roman" w:eastAsia="Times New Roman" w:hAnsi="Times New Roman" w:cs="Times New Roman"/>
          <w:b/>
          <w:bCs/>
          <w:smallCaps/>
          <w:sz w:val="32"/>
          <w:szCs w:val="32"/>
          <w:lang w:eastAsia="hu-HU"/>
        </w:rPr>
      </w:pPr>
      <w:r w:rsidRPr="5E04AD7D">
        <w:rPr>
          <w:rFonts w:ascii="Times New Roman" w:eastAsia="Times New Roman" w:hAnsi="Times New Roman" w:cs="Times New Roman"/>
          <w:b/>
          <w:bCs/>
          <w:smallCaps/>
          <w:sz w:val="32"/>
          <w:szCs w:val="32"/>
          <w:lang w:eastAsia="hu-HU"/>
        </w:rPr>
        <w:t>Nemzetgazdasági Minisztérium</w:t>
      </w:r>
    </w:p>
    <w:p w14:paraId="36F33C9C" w14:textId="77777777" w:rsidR="001E689B" w:rsidRPr="00377D59" w:rsidRDefault="001E689B"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5"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6"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7"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8"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9"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26"/>
          <w:szCs w:val="26"/>
          <w:lang w:eastAsia="hu-HU"/>
        </w:rPr>
      </w:pPr>
    </w:p>
    <w:p w14:paraId="7B7689EB" w14:textId="74BA5630" w:rsidR="00B155FE" w:rsidRDefault="00B155FE"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4EE6826E" w14:textId="77777777" w:rsidR="000A4839" w:rsidRPr="00377D59" w:rsidRDefault="000A4839"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7B7689EC"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D"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E"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F" w14:textId="77777777" w:rsidR="00B155FE" w:rsidRPr="00377D59" w:rsidRDefault="00B155FE" w:rsidP="5E04AD7D">
      <w:pPr>
        <w:keepNext/>
        <w:widowControl w:val="0"/>
        <w:spacing w:after="120" w:line="240" w:lineRule="auto"/>
        <w:jc w:val="center"/>
        <w:rPr>
          <w:rFonts w:ascii="Times New Roman" w:eastAsia="Times New Roman" w:hAnsi="Times New Roman" w:cs="Times New Roman"/>
          <w:b/>
          <w:bCs/>
          <w:caps/>
          <w:sz w:val="32"/>
          <w:szCs w:val="32"/>
          <w:lang w:eastAsia="hu-HU"/>
        </w:rPr>
      </w:pPr>
      <w:r w:rsidRPr="00377D59">
        <w:rPr>
          <w:rFonts w:ascii="Times New Roman" w:eastAsia="Times New Roman" w:hAnsi="Times New Roman" w:cs="Times New Roman"/>
          <w:b/>
          <w:bCs/>
          <w:caps/>
          <w:spacing w:val="60"/>
          <w:sz w:val="32"/>
          <w:szCs w:val="32"/>
          <w:lang w:eastAsia="hu-HU"/>
        </w:rPr>
        <w:t>Tájékoztató</w:t>
      </w:r>
    </w:p>
    <w:p w14:paraId="5AE02B14" w14:textId="445739BD" w:rsidR="00B94CCA" w:rsidRPr="00377D59" w:rsidRDefault="5E04AD7D" w:rsidP="5E04AD7D">
      <w:pPr>
        <w:keepNext/>
        <w:tabs>
          <w:tab w:val="left" w:pos="2694"/>
        </w:tabs>
        <w:spacing w:after="120" w:line="240" w:lineRule="auto"/>
        <w:ind w:right="-1"/>
        <w:jc w:val="center"/>
        <w:outlineLvl w:val="1"/>
        <w:rPr>
          <w:rFonts w:ascii="Times New Roman" w:eastAsia="Times New Roman" w:hAnsi="Times New Roman" w:cs="Times New Roman"/>
          <w:b/>
          <w:bCs/>
          <w:i/>
          <w:iCs/>
          <w:sz w:val="26"/>
          <w:szCs w:val="26"/>
          <w:lang w:eastAsia="hu-HU"/>
        </w:rPr>
      </w:pPr>
      <w:r w:rsidRPr="5E04AD7D">
        <w:rPr>
          <w:rFonts w:ascii="Times New Roman" w:eastAsia="Times New Roman" w:hAnsi="Times New Roman" w:cs="Times New Roman"/>
          <w:b/>
          <w:bCs/>
          <w:i/>
          <w:iCs/>
          <w:sz w:val="26"/>
          <w:szCs w:val="26"/>
          <w:lang w:eastAsia="hu-HU"/>
        </w:rPr>
        <w:t>az államháztartás központi alrendszerének</w:t>
      </w:r>
      <w:r w:rsidR="1FABBDF6">
        <w:br/>
      </w:r>
      <w:r w:rsidRPr="5E04AD7D">
        <w:rPr>
          <w:rFonts w:ascii="Times New Roman" w:eastAsia="Times New Roman" w:hAnsi="Times New Roman" w:cs="Times New Roman"/>
          <w:b/>
          <w:bCs/>
          <w:i/>
          <w:iCs/>
          <w:sz w:val="26"/>
          <w:szCs w:val="26"/>
          <w:lang w:eastAsia="hu-HU"/>
        </w:rPr>
        <w:t>2026. március végi helyzetéről</w:t>
      </w:r>
    </w:p>
    <w:p w14:paraId="7B7689F2" w14:textId="2D4563EC" w:rsidR="00B155FE" w:rsidRPr="00377D59" w:rsidRDefault="00B155FE"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4A2F8C9F"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D327E5D"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35267E04"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20BD3D31"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6E13D32"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59F56A13"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7B7689F4"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6"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7"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8" w14:textId="7C3BEFF0" w:rsidR="00B155FE" w:rsidRPr="00377D59" w:rsidRDefault="00B155FE" w:rsidP="00EA1F58">
      <w:pPr>
        <w:tabs>
          <w:tab w:val="left" w:pos="5685"/>
        </w:tabs>
        <w:spacing w:after="120" w:line="240" w:lineRule="auto"/>
        <w:jc w:val="both"/>
        <w:rPr>
          <w:rFonts w:ascii="Times New Roman" w:eastAsia="Times New Roman" w:hAnsi="Times New Roman" w:cs="Times New Roman"/>
          <w:sz w:val="26"/>
          <w:szCs w:val="20"/>
          <w:lang w:eastAsia="hu-HU"/>
        </w:rPr>
      </w:pPr>
    </w:p>
    <w:p w14:paraId="7B7689F9"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A"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B"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1CF999E6" w14:textId="47BF0C4A" w:rsidR="00E97147" w:rsidRPr="00377D59" w:rsidRDefault="00B155FE" w:rsidP="5E04AD7D">
      <w:pPr>
        <w:tabs>
          <w:tab w:val="left" w:pos="2694"/>
        </w:tabs>
        <w:spacing w:after="120" w:line="240" w:lineRule="auto"/>
        <w:jc w:val="center"/>
        <w:rPr>
          <w:rFonts w:ascii="Times New Roman" w:eastAsia="Times New Roman" w:hAnsi="Times New Roman" w:cs="Times New Roman"/>
          <w:b/>
          <w:bCs/>
          <w:lang w:eastAsia="hu-HU"/>
        </w:rPr>
        <w:sectPr w:rsidR="00E97147" w:rsidRPr="00377D59" w:rsidSect="007449BF">
          <w:headerReference w:type="default" r:id="rId11"/>
          <w:footerReference w:type="default" r:id="rId12"/>
          <w:footerReference w:type="first" r:id="rId13"/>
          <w:footnotePr>
            <w:numRestart w:val="eachPage"/>
          </w:footnotePr>
          <w:pgSz w:w="11907" w:h="16840" w:code="9"/>
          <w:pgMar w:top="1134" w:right="1134" w:bottom="1418" w:left="1418" w:header="709" w:footer="709" w:gutter="0"/>
          <w:pgNumType w:fmt="numberInDash" w:start="0"/>
          <w:cols w:space="708"/>
          <w:docGrid w:linePitch="354"/>
        </w:sectPr>
      </w:pPr>
      <w:r w:rsidRPr="00377D59">
        <w:rPr>
          <w:rFonts w:ascii="Times New Roman" w:eastAsia="Times New Roman" w:hAnsi="Times New Roman" w:cs="Times New Roman"/>
          <w:b/>
          <w:bCs/>
          <w:noProof/>
          <w:lang w:eastAsia="hu-HU"/>
        </w:rPr>
        <mc:AlternateContent>
          <mc:Choice Requires="wps">
            <w:drawing>
              <wp:anchor distT="0" distB="0" distL="114300" distR="114300" simplePos="0" relativeHeight="251658240" behindDoc="0" locked="0" layoutInCell="1" allowOverlap="1" wp14:anchorId="7B768C6C" wp14:editId="7B768C6D">
                <wp:simplePos x="0" y="0"/>
                <wp:positionH relativeFrom="column">
                  <wp:posOffset>2336732</wp:posOffset>
                </wp:positionH>
                <wp:positionV relativeFrom="paragraph">
                  <wp:posOffset>980217</wp:posOffset>
                </wp:positionV>
                <wp:extent cx="971550" cy="393065"/>
                <wp:effectExtent l="0" t="0" r="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D87395B">
              <v:rect id="Rectangle 2" style="position:absolute;margin-left:184pt;margin-top:77.2pt;width:76.5pt;height: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986F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zDewIAAPo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I0V6KNEHSBpRa8lRHtIzGFeD15N5tCFAZx40/eyQ0ncdePEba/XQccKAVBb8k7MDwXBwFK2Gt5oB&#10;Otl4HTO1a20fACEHaBcL8nwsCN95RGGxmmVlCWWjsHVZXabTMt5A6sNhY51/zXWPwqTBFqhHcLJ9&#10;cD6QIfXBJZLXUrClkDIadr26kxZtCWhjGb89ujt1kyo4Kx2OjYjjCnCEO8JeYBtr/a3K8iK9zavJ&#10;cjqfTYplUU6qWTqfpFl1W03Toirul98DwayoO8EYVw9C8YPusuLv6rrvgFExUXlogFyVeRljP2Pv&#10;ToNM4/enIHvhoQ2l6Bs8PzqROtT1lWIQNqk9EXKcJ+f0Y5YhB4d/zEpUQSj8KKCVZs8gAquhSFBP&#10;eDBg0mn7FaMBmq/B7suGWI6RfKNASFVWFKFbo1GUsxwMe7qzOt0higJUgz1G4/TOjx2+MVasO7gp&#10;i4lR+gbE14oojCDMkdVestBgMYL9YxA6+NSOXj+frMUPAAAA//8DAFBLAwQUAAYACAAAACEA64AB&#10;ZN8AAAALAQAADwAAAGRycy9kb3ducmV2LnhtbEyPzU7DMBCE70i8g7VI3KidP6ukcSqE1BNwoEXi&#10;uo3dJGpsh9hpw9uznOC4M6PZb6rtYgd2MVPovVOQrAQw4xqve9cq+DjsHtbAQkSncfDOKPg2Abb1&#10;7U2FpfZX924u+9gyKnGhRAVdjGPJeWg6YzGs/GgceSc/WYx0Ti3XE16p3A48FUJyi72jDx2O5rkz&#10;zXk/WwUoc/31dspeDy+zxMd2EbviUyh1f7c8bYBFs8S/MPziEzrUxHT0s9OBDQoyuaYtkYwiz4FR&#10;okgTUo4K0kRmwOuK/99Q/wAAAP//AwBQSwECLQAUAAYACAAAACEAtoM4kv4AAADhAQAAEwAAAAAA&#10;AAAAAAAAAAAAAAAAW0NvbnRlbnRfVHlwZXNdLnhtbFBLAQItABQABgAIAAAAIQA4/SH/1gAAAJQB&#10;AAALAAAAAAAAAAAAAAAAAC8BAABfcmVscy8ucmVsc1BLAQItABQABgAIAAAAIQCDHuzDewIAAPoE&#10;AAAOAAAAAAAAAAAAAAAAAC4CAABkcnMvZTJvRG9jLnhtbFBLAQItABQABgAIAAAAIQDrgAFk3wAA&#10;AAsBAAAPAAAAAAAAAAAAAAAAANUEAABkcnMvZG93bnJldi54bWxQSwUGAAAAAAQABADzAAAA4QUA&#10;AAAA&#10;"/>
            </w:pict>
          </mc:Fallback>
        </mc:AlternateContent>
      </w:r>
      <w:r w:rsidRPr="00377D59">
        <w:rPr>
          <w:rFonts w:ascii="Times New Roman" w:eastAsia="Times New Roman" w:hAnsi="Times New Roman" w:cs="Times New Roman"/>
          <w:b/>
          <w:bCs/>
          <w:lang w:eastAsia="hu-HU"/>
        </w:rPr>
        <w:t>202</w:t>
      </w:r>
      <w:r w:rsidR="00300C27">
        <w:rPr>
          <w:rFonts w:ascii="Times New Roman" w:eastAsia="Times New Roman" w:hAnsi="Times New Roman" w:cs="Times New Roman"/>
          <w:b/>
          <w:bCs/>
          <w:lang w:eastAsia="hu-HU"/>
        </w:rPr>
        <w:t>6</w:t>
      </w:r>
      <w:r w:rsidRPr="00377D59">
        <w:rPr>
          <w:rFonts w:ascii="Times New Roman" w:eastAsia="Times New Roman" w:hAnsi="Times New Roman" w:cs="Times New Roman"/>
          <w:b/>
          <w:bCs/>
          <w:lang w:eastAsia="hu-HU"/>
        </w:rPr>
        <w:t xml:space="preserve">. </w:t>
      </w:r>
      <w:r w:rsidR="006244D6">
        <w:rPr>
          <w:rFonts w:ascii="Times New Roman" w:eastAsia="Times New Roman" w:hAnsi="Times New Roman" w:cs="Times New Roman"/>
          <w:b/>
          <w:bCs/>
          <w:lang w:eastAsia="hu-HU"/>
        </w:rPr>
        <w:t>április</w:t>
      </w:r>
    </w:p>
    <w:p w14:paraId="4DDEC5C1" w14:textId="77777777" w:rsidR="00B624F6" w:rsidRDefault="00B624F6" w:rsidP="5E04AD7D">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p>
    <w:p w14:paraId="7B7689FF" w14:textId="62220320" w:rsidR="00B155FE" w:rsidRPr="00377D59" w:rsidRDefault="5E04AD7D" w:rsidP="5E04AD7D">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r w:rsidRPr="5E04AD7D">
        <w:rPr>
          <w:rFonts w:ascii="Times New Roman" w:eastAsia="Times New Roman" w:hAnsi="Times New Roman" w:cs="Times New Roman"/>
          <w:b/>
          <w:bCs/>
          <w:caps/>
          <w:color w:val="000000" w:themeColor="text1"/>
          <w:sz w:val="26"/>
          <w:szCs w:val="26"/>
          <w:lang w:eastAsia="hu-HU"/>
        </w:rPr>
        <w:t>Összefoglalás</w:t>
      </w:r>
    </w:p>
    <w:p w14:paraId="44BEABC0" w14:textId="77777777" w:rsidR="00B624F6" w:rsidRDefault="00B624F6" w:rsidP="00B03727">
      <w:pPr>
        <w:jc w:val="both"/>
        <w:rPr>
          <w:rFonts w:ascii="Times New Roman" w:eastAsia="Times New Roman" w:hAnsi="Times New Roman" w:cs="Times New Roman"/>
          <w:color w:val="000000" w:themeColor="text1"/>
          <w:sz w:val="25"/>
          <w:szCs w:val="25"/>
          <w:lang w:eastAsia="hu-HU"/>
        </w:rPr>
      </w:pPr>
    </w:p>
    <w:p w14:paraId="675E58F9" w14:textId="4B1C7A47" w:rsidR="00B03727" w:rsidRPr="00B0372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Március végéig az államháztartás központi alrendszere 3420,4 milliárd forintos hiánnyal zárt</w:t>
      </w:r>
      <w:r w:rsidR="00733246">
        <w:rPr>
          <w:rFonts w:ascii="Times New Roman" w:eastAsia="Times New Roman" w:hAnsi="Times New Roman" w:cs="Times New Roman"/>
          <w:color w:val="000000" w:themeColor="text1"/>
          <w:sz w:val="25"/>
          <w:szCs w:val="25"/>
          <w:lang w:eastAsia="hu-HU"/>
        </w:rPr>
        <w:t>, ez az éves hiánycél 62,8%-a</w:t>
      </w:r>
      <w:r w:rsidRPr="00B03727">
        <w:rPr>
          <w:rFonts w:ascii="Times New Roman" w:eastAsia="Times New Roman" w:hAnsi="Times New Roman" w:cs="Times New Roman"/>
          <w:color w:val="000000" w:themeColor="text1"/>
          <w:sz w:val="25"/>
          <w:szCs w:val="25"/>
          <w:lang w:eastAsia="hu-HU"/>
        </w:rPr>
        <w:t>. A központi alrendszeren belül a központi költségvetés 3242,6 milliárd forintos hiányt, az elkülönített állami pénzalapok 12,5 milliárd forintos többletet, a társadalombiztosítás pénzügyi alapjai pedig 190,3 milliárd forintos hiányt mutattak.</w:t>
      </w:r>
    </w:p>
    <w:p w14:paraId="2988412B" w14:textId="77777777" w:rsidR="00B03727" w:rsidRPr="00B0372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A központi alrendszer adó- és járulékbevételei az előző év azonos időszakához viszonyítva 8,1%-kal magasabban alakultak.</w:t>
      </w:r>
    </w:p>
    <w:p w14:paraId="6B38D9FF" w14:textId="77777777" w:rsidR="00B03727" w:rsidRPr="00B0372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Meghaladták a tavalyi összeget a nyugellátásokra és gyógyító-megelőző ellátásokra fordított kiadások is. Március végéig – a 13. és részbeni 14. havi nyugdíjjal és ellátással együtt – nyugellátásokra és nyugdíjszerű ellátásokra összesen 2506,1 milliárd forint, míg gyógyító-megelőző ellátásokra 798,3 milliárd forint kifizetése történt meg.</w:t>
      </w:r>
    </w:p>
    <w:p w14:paraId="7F10017F" w14:textId="77777777" w:rsidR="00B03727" w:rsidRPr="00B0372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Márciusban (egy hónap alatt) a központi alrendszer 1313,6 milliárd forint hiánnyal zárt, szemben az előző évi azonos havi 831,2 milliárd forintos deficittel. Az eltérésben jelentős szerepet játszanak a kormány otthonteremtési, valamint közútépítési intézkedései.</w:t>
      </w:r>
    </w:p>
    <w:p w14:paraId="24165AB4" w14:textId="2D6D47FA" w:rsidR="00B03727" w:rsidRPr="00B0372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A kiadási oldalon, az előző év azonos időszakához képest többletkiadásként jelentek meg a Vidéki Otthonfelújítási Program</w:t>
      </w:r>
      <w:r w:rsidR="00733246">
        <w:rPr>
          <w:rFonts w:ascii="Times New Roman" w:eastAsia="Times New Roman" w:hAnsi="Times New Roman" w:cs="Times New Roman"/>
          <w:color w:val="000000" w:themeColor="text1"/>
          <w:sz w:val="25"/>
          <w:szCs w:val="25"/>
          <w:lang w:eastAsia="hu-HU"/>
        </w:rPr>
        <w:t xml:space="preserve"> kifizetései, valamint </w:t>
      </w:r>
      <w:r w:rsidRPr="00B03727">
        <w:rPr>
          <w:rFonts w:ascii="Times New Roman" w:eastAsia="Times New Roman" w:hAnsi="Times New Roman" w:cs="Times New Roman"/>
          <w:color w:val="000000" w:themeColor="text1"/>
          <w:sz w:val="25"/>
          <w:szCs w:val="25"/>
          <w:lang w:eastAsia="hu-HU"/>
        </w:rPr>
        <w:t>2026 márciusában jelent meg először költségvetési kiadásként az Otthon Start Program keretében igénybe vett kölcsönök állami kamattámogatásának kifizetése.</w:t>
      </w:r>
    </w:p>
    <w:p w14:paraId="02CBEE7C" w14:textId="08A25EB8" w:rsidR="00A521C7" w:rsidRPr="00A521C7" w:rsidRDefault="00B03727" w:rsidP="00B03727">
      <w:pPr>
        <w:jc w:val="both"/>
        <w:rPr>
          <w:rFonts w:ascii="Times New Roman" w:eastAsia="Times New Roman" w:hAnsi="Times New Roman" w:cs="Times New Roman"/>
          <w:color w:val="000000" w:themeColor="text1"/>
          <w:sz w:val="25"/>
          <w:szCs w:val="25"/>
          <w:lang w:eastAsia="hu-HU"/>
        </w:rPr>
      </w:pPr>
      <w:r w:rsidRPr="00B03727">
        <w:rPr>
          <w:rFonts w:ascii="Times New Roman" w:eastAsia="Times New Roman" w:hAnsi="Times New Roman" w:cs="Times New Roman"/>
          <w:color w:val="000000" w:themeColor="text1"/>
          <w:sz w:val="25"/>
          <w:szCs w:val="25"/>
          <w:lang w:eastAsia="hu-HU"/>
        </w:rPr>
        <w:t>Jelentősen magasabb összegben teljesültek az állami beruházási fejezetek kiadásai is, elsősorban a közútfejlesztési beruházások előrehaladása okán. Ezen felül, március hónapban nagyobb összegben kerültek kiutalásra az uniós kiadások is, melynek túlnyomó részét, mintegy 150 milliárd forintot a gazdáknak nyújtott agrártámogatások tették ki</w:t>
      </w:r>
      <w:r w:rsidR="5E04AD7D" w:rsidRPr="5E04AD7D">
        <w:rPr>
          <w:rFonts w:ascii="Times New Roman" w:eastAsia="Times New Roman" w:hAnsi="Times New Roman" w:cs="Times New Roman"/>
          <w:color w:val="000000" w:themeColor="text1"/>
          <w:sz w:val="25"/>
          <w:szCs w:val="25"/>
          <w:lang w:eastAsia="hu-HU"/>
        </w:rPr>
        <w:t>.</w:t>
      </w:r>
    </w:p>
    <w:p w14:paraId="7B768A0B" w14:textId="774F0001" w:rsidR="005171E0" w:rsidRDefault="00920F4D" w:rsidP="5E04AD7D">
      <w:pPr>
        <w:widowControl w:val="0"/>
        <w:spacing w:after="120" w:line="254" w:lineRule="auto"/>
        <w:jc w:val="both"/>
        <w:rPr>
          <w:rFonts w:ascii="Times New Roman" w:eastAsia="Times New Roman" w:hAnsi="Times New Roman" w:cs="Times New Roman"/>
          <w:sz w:val="26"/>
          <w:szCs w:val="26"/>
          <w:lang w:eastAsia="hu-HU"/>
        </w:rPr>
      </w:pPr>
      <w:r>
        <w:rPr>
          <w:rFonts w:ascii="Times New Roman" w:eastAsia="Times New Roman" w:hAnsi="Times New Roman" w:cs="Times New Roman"/>
          <w:sz w:val="26"/>
          <w:szCs w:val="26"/>
          <w:lang w:eastAsia="hu-HU"/>
        </w:rPr>
        <w:br w:type="column"/>
      </w:r>
      <w:r w:rsidR="639E9B9B" w:rsidRPr="639E9B9B">
        <w:rPr>
          <w:rFonts w:ascii="Times New Roman" w:eastAsia="Times New Roman" w:hAnsi="Times New Roman" w:cs="Times New Roman"/>
          <w:sz w:val="26"/>
          <w:szCs w:val="26"/>
          <w:lang w:eastAsia="hu-HU"/>
        </w:rPr>
        <w:lastRenderedPageBreak/>
        <w:t xml:space="preserve">Az államháztartás központi </w:t>
      </w:r>
      <w:r w:rsidR="639E9B9B" w:rsidRPr="00456EAE">
        <w:rPr>
          <w:rFonts w:ascii="Times New Roman" w:eastAsia="Times New Roman" w:hAnsi="Times New Roman" w:cs="Times New Roman"/>
          <w:sz w:val="26"/>
          <w:szCs w:val="26"/>
          <w:lang w:eastAsia="hu-HU"/>
        </w:rPr>
        <w:t>alrendszerének 202</w:t>
      </w:r>
      <w:r w:rsidR="00EB62E4">
        <w:rPr>
          <w:rFonts w:ascii="Times New Roman" w:eastAsia="Times New Roman" w:hAnsi="Times New Roman" w:cs="Times New Roman"/>
          <w:sz w:val="26"/>
          <w:szCs w:val="26"/>
          <w:lang w:eastAsia="hu-HU"/>
        </w:rPr>
        <w:t>6</w:t>
      </w:r>
      <w:r w:rsidR="639E9B9B" w:rsidRPr="00456EAE">
        <w:rPr>
          <w:rFonts w:ascii="Times New Roman" w:eastAsia="Times New Roman" w:hAnsi="Times New Roman" w:cs="Times New Roman"/>
          <w:sz w:val="26"/>
          <w:szCs w:val="26"/>
          <w:lang w:eastAsia="hu-HU"/>
        </w:rPr>
        <w:t>.</w:t>
      </w:r>
      <w:r w:rsidR="00A673CC" w:rsidRPr="00456EAE">
        <w:rPr>
          <w:rFonts w:ascii="Times New Roman" w:eastAsia="Times New Roman" w:hAnsi="Times New Roman" w:cs="Times New Roman"/>
          <w:sz w:val="26"/>
          <w:szCs w:val="26"/>
          <w:lang w:eastAsia="hu-HU"/>
        </w:rPr>
        <w:t> </w:t>
      </w:r>
      <w:r w:rsidR="00215359">
        <w:rPr>
          <w:rFonts w:ascii="Times New Roman" w:eastAsia="Times New Roman" w:hAnsi="Times New Roman" w:cs="Times New Roman"/>
          <w:sz w:val="26"/>
          <w:szCs w:val="26"/>
          <w:lang w:eastAsia="hu-HU"/>
        </w:rPr>
        <w:t>március</w:t>
      </w:r>
      <w:r w:rsidR="00A673CC" w:rsidRPr="00456EAE">
        <w:rPr>
          <w:rFonts w:ascii="Times New Roman" w:eastAsia="Times New Roman" w:hAnsi="Times New Roman" w:cs="Times New Roman"/>
          <w:sz w:val="26"/>
          <w:szCs w:val="26"/>
          <w:lang w:eastAsia="hu-HU"/>
        </w:rPr>
        <w:t> </w:t>
      </w:r>
      <w:r w:rsidR="639E9B9B" w:rsidRPr="00456EAE">
        <w:rPr>
          <w:rFonts w:ascii="Times New Roman" w:eastAsia="Times New Roman" w:hAnsi="Times New Roman" w:cs="Times New Roman"/>
          <w:sz w:val="26"/>
          <w:szCs w:val="26"/>
          <w:lang w:eastAsia="hu-HU"/>
        </w:rPr>
        <w:t>végi főbb</w:t>
      </w:r>
      <w:r w:rsidR="639E9B9B" w:rsidRPr="639E9B9B">
        <w:rPr>
          <w:rFonts w:ascii="Times New Roman" w:eastAsia="Times New Roman" w:hAnsi="Times New Roman" w:cs="Times New Roman"/>
          <w:sz w:val="26"/>
          <w:szCs w:val="26"/>
          <w:lang w:eastAsia="hu-HU"/>
        </w:rPr>
        <w:t xml:space="preserve"> pé</w:t>
      </w:r>
      <w:r w:rsidR="006D5492">
        <w:rPr>
          <w:rFonts w:ascii="Times New Roman" w:eastAsia="Times New Roman" w:hAnsi="Times New Roman" w:cs="Times New Roman"/>
          <w:sz w:val="26"/>
          <w:szCs w:val="26"/>
          <w:lang w:eastAsia="hu-HU"/>
        </w:rPr>
        <w:t>nzforgalmi adatai a következők:</w:t>
      </w:r>
    </w:p>
    <w:tbl>
      <w:tblPr>
        <w:tblW w:w="10064" w:type="dxa"/>
        <w:jc w:val="center"/>
        <w:tblLayout w:type="fixed"/>
        <w:tblCellMar>
          <w:left w:w="70" w:type="dxa"/>
          <w:right w:w="70" w:type="dxa"/>
        </w:tblCellMar>
        <w:tblLook w:val="04A0" w:firstRow="1" w:lastRow="0" w:firstColumn="1" w:lastColumn="0" w:noHBand="0" w:noVBand="1"/>
      </w:tblPr>
      <w:tblGrid>
        <w:gridCol w:w="2047"/>
        <w:gridCol w:w="1067"/>
        <w:gridCol w:w="1134"/>
        <w:gridCol w:w="1217"/>
        <w:gridCol w:w="1103"/>
        <w:gridCol w:w="1224"/>
        <w:gridCol w:w="1275"/>
        <w:gridCol w:w="997"/>
      </w:tblGrid>
      <w:tr w:rsidR="00EB62E4" w:rsidRPr="003D514A" w14:paraId="44D583B1" w14:textId="77777777" w:rsidTr="28F9800E">
        <w:trPr>
          <w:trHeight w:val="1440"/>
          <w:jc w:val="center"/>
        </w:trPr>
        <w:tc>
          <w:tcPr>
            <w:tcW w:w="204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9E8F169" w14:textId="77777777" w:rsidR="00EB62E4" w:rsidRPr="00602E3C" w:rsidRDefault="28F9800E" w:rsidP="28F9800E">
            <w:pPr>
              <w:keepNext/>
              <w:keepLines/>
              <w:rPr>
                <w:rFonts w:ascii="Times New Roman" w:hAnsi="Times New Roman" w:cs="Times New Roman"/>
                <w:sz w:val="20"/>
                <w:szCs w:val="20"/>
              </w:rPr>
            </w:pPr>
            <w:r w:rsidRPr="28F9800E">
              <w:rPr>
                <w:rFonts w:ascii="Times New Roman" w:hAnsi="Times New Roman" w:cs="Times New Roman"/>
                <w:sz w:val="20"/>
                <w:szCs w:val="20"/>
              </w:rPr>
              <w:t> </w:t>
            </w:r>
          </w:p>
        </w:tc>
        <w:tc>
          <w:tcPr>
            <w:tcW w:w="106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8824DB1" w14:textId="22C0875A" w:rsidR="00EB62E4"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b/>
                <w:bCs/>
                <w:sz w:val="20"/>
                <w:szCs w:val="20"/>
              </w:rPr>
              <w:t xml:space="preserve">2025. évi </w:t>
            </w:r>
            <w:r w:rsidR="1FABBDF6">
              <w:br/>
            </w:r>
            <w:r w:rsidRPr="5E04AD7D">
              <w:rPr>
                <w:rFonts w:ascii="Times New Roman" w:hAnsi="Times New Roman" w:cs="Times New Roman"/>
                <w:b/>
                <w:bCs/>
                <w:sz w:val="20"/>
                <w:szCs w:val="20"/>
              </w:rPr>
              <w:t>előzetes tény</w:t>
            </w:r>
            <w:r w:rsidR="1FABBDF6">
              <w:br/>
            </w:r>
            <w:r w:rsidRPr="5E04AD7D">
              <w:rPr>
                <w:rFonts w:ascii="Times New Roman" w:hAnsi="Times New Roman" w:cs="Times New Roman"/>
                <w:sz w:val="20"/>
                <w:szCs w:val="20"/>
              </w:rPr>
              <w:t>milliárd forintban</w:t>
            </w:r>
          </w:p>
          <w:p w14:paraId="16A4B65C"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(1)</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7F4A7DC" w14:textId="777E5259"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b/>
                <w:bCs/>
                <w:sz w:val="20"/>
                <w:szCs w:val="20"/>
              </w:rPr>
              <w:t>2025. I-I</w:t>
            </w:r>
            <w:r w:rsidR="00215359">
              <w:rPr>
                <w:rFonts w:ascii="Times New Roman" w:hAnsi="Times New Roman" w:cs="Times New Roman"/>
                <w:b/>
                <w:bCs/>
                <w:sz w:val="20"/>
                <w:szCs w:val="20"/>
              </w:rPr>
              <w:t>I</w:t>
            </w:r>
            <w:r w:rsidRPr="5E04AD7D">
              <w:rPr>
                <w:rFonts w:ascii="Times New Roman" w:hAnsi="Times New Roman" w:cs="Times New Roman"/>
                <w:b/>
                <w:bCs/>
                <w:sz w:val="20"/>
                <w:szCs w:val="20"/>
              </w:rPr>
              <w:t>I. hó tény</w:t>
            </w:r>
            <w:r w:rsidR="1FABBDF6">
              <w:br/>
            </w:r>
            <w:r w:rsidRPr="5E04AD7D">
              <w:rPr>
                <w:rFonts w:ascii="Times New Roman" w:hAnsi="Times New Roman" w:cs="Times New Roman"/>
                <w:sz w:val="20"/>
                <w:szCs w:val="20"/>
              </w:rPr>
              <w:t>milliárd forintban</w:t>
            </w:r>
          </w:p>
          <w:p w14:paraId="0FD884DB" w14:textId="77777777" w:rsidR="00EB62E4" w:rsidRPr="00602E3C" w:rsidRDefault="00EB62E4" w:rsidP="0041684E">
            <w:pPr>
              <w:keepNext/>
              <w:keepLines/>
              <w:spacing w:after="0"/>
              <w:jc w:val="center"/>
              <w:rPr>
                <w:rFonts w:ascii="Times New Roman" w:hAnsi="Times New Roman" w:cs="Times New Roman"/>
                <w:sz w:val="20"/>
                <w:szCs w:val="20"/>
              </w:rPr>
            </w:pPr>
          </w:p>
          <w:p w14:paraId="006D888C"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(2)</w:t>
            </w:r>
          </w:p>
        </w:tc>
        <w:tc>
          <w:tcPr>
            <w:tcW w:w="12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51C252D"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éves tény=100%</w:t>
            </w:r>
            <w:r w:rsidR="1FABBDF6">
              <w:br/>
            </w:r>
            <w:r w:rsidRPr="5E04AD7D">
              <w:rPr>
                <w:rFonts w:ascii="Times New Roman" w:hAnsi="Times New Roman" w:cs="Times New Roman"/>
                <w:sz w:val="20"/>
                <w:szCs w:val="20"/>
              </w:rPr>
              <w:t>Index (%)</w:t>
            </w:r>
          </w:p>
          <w:p w14:paraId="23CAD950" w14:textId="77777777" w:rsidR="00EB62E4" w:rsidRDefault="00EB62E4" w:rsidP="0041684E">
            <w:pPr>
              <w:keepNext/>
              <w:keepLines/>
              <w:spacing w:after="0"/>
              <w:jc w:val="center"/>
              <w:rPr>
                <w:rFonts w:ascii="Times New Roman" w:hAnsi="Times New Roman" w:cs="Times New Roman"/>
                <w:sz w:val="20"/>
                <w:szCs w:val="20"/>
              </w:rPr>
            </w:pPr>
          </w:p>
          <w:p w14:paraId="37FF863F" w14:textId="77777777" w:rsidR="00EB62E4" w:rsidRPr="00602E3C" w:rsidRDefault="00EB62E4" w:rsidP="0041684E">
            <w:pPr>
              <w:keepNext/>
              <w:keepLines/>
              <w:spacing w:after="0"/>
              <w:jc w:val="center"/>
              <w:rPr>
                <w:rFonts w:ascii="Times New Roman" w:hAnsi="Times New Roman" w:cs="Times New Roman"/>
                <w:sz w:val="20"/>
                <w:szCs w:val="20"/>
              </w:rPr>
            </w:pPr>
          </w:p>
          <w:p w14:paraId="60CDF192"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(2/1)</w:t>
            </w:r>
          </w:p>
        </w:tc>
        <w:tc>
          <w:tcPr>
            <w:tcW w:w="11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7B9458E" w14:textId="2812FA50"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b/>
                <w:bCs/>
                <w:sz w:val="20"/>
                <w:szCs w:val="20"/>
              </w:rPr>
              <w:t>2026. évi előirányzat</w:t>
            </w:r>
            <w:r w:rsidR="1FABBDF6">
              <w:br/>
            </w:r>
            <w:r w:rsidRPr="5E04AD7D">
              <w:rPr>
                <w:rFonts w:ascii="Times New Roman" w:hAnsi="Times New Roman" w:cs="Times New Roman"/>
                <w:sz w:val="20"/>
                <w:szCs w:val="20"/>
              </w:rPr>
              <w:t>milliárd forintban</w:t>
            </w:r>
          </w:p>
          <w:p w14:paraId="79AE386B" w14:textId="77777777" w:rsidR="00EB62E4" w:rsidRPr="00602E3C" w:rsidRDefault="00EB62E4" w:rsidP="0041684E">
            <w:pPr>
              <w:keepNext/>
              <w:keepLines/>
              <w:spacing w:after="0"/>
              <w:jc w:val="center"/>
              <w:rPr>
                <w:rFonts w:ascii="Times New Roman" w:hAnsi="Times New Roman" w:cs="Times New Roman"/>
                <w:sz w:val="20"/>
                <w:szCs w:val="20"/>
              </w:rPr>
            </w:pPr>
          </w:p>
          <w:p w14:paraId="2BB746ED"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(3)</w:t>
            </w:r>
          </w:p>
        </w:tc>
        <w:tc>
          <w:tcPr>
            <w:tcW w:w="122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128B4DC" w14:textId="442A0735"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b/>
                <w:bCs/>
                <w:sz w:val="20"/>
                <w:szCs w:val="20"/>
              </w:rPr>
              <w:t>2026. I-I</w:t>
            </w:r>
            <w:r w:rsidR="00215359">
              <w:rPr>
                <w:rFonts w:ascii="Times New Roman" w:hAnsi="Times New Roman" w:cs="Times New Roman"/>
                <w:b/>
                <w:bCs/>
                <w:sz w:val="20"/>
                <w:szCs w:val="20"/>
              </w:rPr>
              <w:t>I</w:t>
            </w:r>
            <w:r w:rsidRPr="5E04AD7D">
              <w:rPr>
                <w:rFonts w:ascii="Times New Roman" w:hAnsi="Times New Roman" w:cs="Times New Roman"/>
                <w:b/>
                <w:bCs/>
                <w:sz w:val="20"/>
                <w:szCs w:val="20"/>
              </w:rPr>
              <w:t>I. hó tény</w:t>
            </w:r>
            <w:r w:rsidR="1FABBDF6">
              <w:br/>
            </w:r>
            <w:r w:rsidRPr="5E04AD7D">
              <w:rPr>
                <w:rFonts w:ascii="Times New Roman" w:hAnsi="Times New Roman" w:cs="Times New Roman"/>
                <w:sz w:val="20"/>
                <w:szCs w:val="20"/>
              </w:rPr>
              <w:t>milliárd forintban</w:t>
            </w:r>
          </w:p>
          <w:p w14:paraId="01AF2FB2" w14:textId="77777777" w:rsidR="00EB62E4" w:rsidRPr="00602E3C" w:rsidRDefault="00EB62E4" w:rsidP="0041684E">
            <w:pPr>
              <w:keepNext/>
              <w:keepLines/>
              <w:spacing w:after="0"/>
              <w:jc w:val="center"/>
              <w:rPr>
                <w:rFonts w:ascii="Times New Roman" w:hAnsi="Times New Roman" w:cs="Times New Roman"/>
                <w:sz w:val="20"/>
                <w:szCs w:val="20"/>
              </w:rPr>
            </w:pPr>
          </w:p>
          <w:p w14:paraId="38C575FD"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(4)</w:t>
            </w:r>
          </w:p>
        </w:tc>
        <w:tc>
          <w:tcPr>
            <w:tcW w:w="127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A4C38D7"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előirányzat=</w:t>
            </w:r>
            <w:r w:rsidR="1FABBDF6">
              <w:br/>
            </w:r>
            <w:r w:rsidRPr="5E04AD7D">
              <w:rPr>
                <w:rFonts w:ascii="Times New Roman" w:hAnsi="Times New Roman" w:cs="Times New Roman"/>
                <w:sz w:val="20"/>
                <w:szCs w:val="20"/>
              </w:rPr>
              <w:t>100%</w:t>
            </w:r>
            <w:r w:rsidR="1FABBDF6">
              <w:br/>
            </w:r>
            <w:r w:rsidRPr="5E04AD7D">
              <w:rPr>
                <w:rFonts w:ascii="Times New Roman" w:hAnsi="Times New Roman" w:cs="Times New Roman"/>
                <w:sz w:val="20"/>
                <w:szCs w:val="20"/>
              </w:rPr>
              <w:t>Index (%)</w:t>
            </w:r>
          </w:p>
          <w:p w14:paraId="292D56FD" w14:textId="77777777" w:rsidR="00EB62E4" w:rsidRDefault="00EB62E4" w:rsidP="0041684E">
            <w:pPr>
              <w:keepNext/>
              <w:keepLines/>
              <w:spacing w:after="0"/>
              <w:jc w:val="center"/>
              <w:rPr>
                <w:rFonts w:ascii="Times New Roman" w:hAnsi="Times New Roman" w:cs="Times New Roman"/>
                <w:sz w:val="20"/>
                <w:szCs w:val="20"/>
              </w:rPr>
            </w:pPr>
          </w:p>
          <w:p w14:paraId="4B6EFB4E" w14:textId="77777777" w:rsidR="00EB62E4" w:rsidRPr="00602E3C" w:rsidRDefault="00EB62E4" w:rsidP="0041684E">
            <w:pPr>
              <w:keepNext/>
              <w:keepLines/>
              <w:spacing w:after="0"/>
              <w:jc w:val="center"/>
              <w:rPr>
                <w:rFonts w:ascii="Times New Roman" w:hAnsi="Times New Roman" w:cs="Times New Roman"/>
                <w:sz w:val="20"/>
                <w:szCs w:val="20"/>
              </w:rPr>
            </w:pPr>
          </w:p>
          <w:p w14:paraId="7BABBF8A"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(4/3)</w:t>
            </w:r>
          </w:p>
        </w:tc>
        <w:tc>
          <w:tcPr>
            <w:tcW w:w="99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6E01A08" w14:textId="77777777" w:rsidR="00EB62E4" w:rsidRPr="00602E3C" w:rsidRDefault="5E04AD7D" w:rsidP="5E04AD7D">
            <w:pPr>
              <w:keepNext/>
              <w:keepLines/>
              <w:spacing w:after="0"/>
              <w:jc w:val="center"/>
              <w:rPr>
                <w:rFonts w:ascii="Times New Roman" w:hAnsi="Times New Roman" w:cs="Times New Roman"/>
                <w:sz w:val="20"/>
                <w:szCs w:val="20"/>
              </w:rPr>
            </w:pPr>
            <w:r w:rsidRPr="5E04AD7D">
              <w:rPr>
                <w:rFonts w:ascii="Times New Roman" w:hAnsi="Times New Roman" w:cs="Times New Roman"/>
                <w:sz w:val="20"/>
                <w:szCs w:val="20"/>
              </w:rPr>
              <w:t>előző év=</w:t>
            </w:r>
            <w:r w:rsidR="1FABBDF6">
              <w:br/>
            </w:r>
            <w:r w:rsidRPr="5E04AD7D">
              <w:rPr>
                <w:rFonts w:ascii="Times New Roman" w:hAnsi="Times New Roman" w:cs="Times New Roman"/>
                <w:sz w:val="20"/>
                <w:szCs w:val="20"/>
              </w:rPr>
              <w:t>100%</w:t>
            </w:r>
            <w:r w:rsidR="1FABBDF6">
              <w:br/>
            </w:r>
            <w:r w:rsidRPr="5E04AD7D">
              <w:rPr>
                <w:rFonts w:ascii="Times New Roman" w:hAnsi="Times New Roman" w:cs="Times New Roman"/>
                <w:sz w:val="20"/>
                <w:szCs w:val="20"/>
              </w:rPr>
              <w:t>Index (%)</w:t>
            </w:r>
          </w:p>
          <w:p w14:paraId="5E5352FC" w14:textId="77777777" w:rsidR="00EB62E4" w:rsidRPr="00602E3C" w:rsidRDefault="00EB62E4" w:rsidP="0041684E">
            <w:pPr>
              <w:keepNext/>
              <w:keepLines/>
              <w:spacing w:after="0"/>
              <w:jc w:val="center"/>
              <w:rPr>
                <w:rFonts w:ascii="Times New Roman" w:hAnsi="Times New Roman" w:cs="Times New Roman"/>
                <w:sz w:val="20"/>
                <w:szCs w:val="20"/>
              </w:rPr>
            </w:pPr>
          </w:p>
          <w:p w14:paraId="3DA38296" w14:textId="77777777" w:rsidR="00EB62E4" w:rsidRPr="00602E3C" w:rsidRDefault="00EB62E4" w:rsidP="5E04AD7D">
            <w:pPr>
              <w:keepNext/>
              <w:keepLines/>
              <w:spacing w:after="0"/>
              <w:jc w:val="center"/>
              <w:rPr>
                <w:rFonts w:ascii="Times New Roman" w:hAnsi="Times New Roman" w:cs="Times New Roman"/>
                <w:sz w:val="20"/>
                <w:szCs w:val="20"/>
              </w:rPr>
            </w:pPr>
            <w:r>
              <w:br/>
            </w:r>
            <w:r w:rsidR="5E04AD7D" w:rsidRPr="5E04AD7D">
              <w:rPr>
                <w:rFonts w:ascii="Times New Roman" w:hAnsi="Times New Roman" w:cs="Times New Roman"/>
                <w:sz w:val="20"/>
                <w:szCs w:val="20"/>
              </w:rPr>
              <w:t>(4/2)</w:t>
            </w:r>
          </w:p>
        </w:tc>
      </w:tr>
      <w:tr w:rsidR="00215359" w:rsidRPr="003D514A" w14:paraId="07500852"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E29F6EA" w14:textId="77777777" w:rsidR="00215359" w:rsidRPr="00602E3C" w:rsidRDefault="00215359" w:rsidP="00215359">
            <w:pPr>
              <w:keepNext/>
              <w:keepLines/>
              <w:spacing w:before="120" w:after="120"/>
              <w:rPr>
                <w:rFonts w:ascii="Times New Roman" w:hAnsi="Times New Roman" w:cs="Times New Roman"/>
                <w:b/>
                <w:bCs/>
                <w:sz w:val="20"/>
                <w:szCs w:val="20"/>
              </w:rPr>
            </w:pPr>
            <w:r w:rsidRPr="5E04AD7D">
              <w:rPr>
                <w:rFonts w:ascii="Times New Roman" w:hAnsi="Times New Roman" w:cs="Times New Roman"/>
                <w:b/>
                <w:bCs/>
                <w:sz w:val="20"/>
                <w:szCs w:val="20"/>
              </w:rPr>
              <w:t>Központi költségvetés egyenlege</w:t>
            </w:r>
          </w:p>
        </w:tc>
        <w:tc>
          <w:tcPr>
            <w:tcW w:w="1067" w:type="dxa"/>
            <w:tcBorders>
              <w:top w:val="single" w:sz="4" w:space="0" w:color="auto"/>
              <w:left w:val="single" w:sz="4" w:space="0" w:color="auto"/>
              <w:bottom w:val="single" w:sz="4" w:space="0" w:color="auto"/>
              <w:right w:val="single" w:sz="4" w:space="0" w:color="auto"/>
            </w:tcBorders>
            <w:noWrap/>
            <w:vAlign w:val="center"/>
          </w:tcPr>
          <w:p w14:paraId="3AF25223" w14:textId="0BFBD540"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-5 500,1</w:t>
            </w:r>
          </w:p>
        </w:tc>
        <w:tc>
          <w:tcPr>
            <w:tcW w:w="1134" w:type="dxa"/>
            <w:tcBorders>
              <w:top w:val="single" w:sz="4" w:space="0" w:color="auto"/>
              <w:left w:val="nil"/>
              <w:bottom w:val="single" w:sz="4" w:space="0" w:color="auto"/>
              <w:right w:val="single" w:sz="4" w:space="0" w:color="auto"/>
            </w:tcBorders>
            <w:noWrap/>
            <w:vAlign w:val="center"/>
          </w:tcPr>
          <w:p w14:paraId="7D45EE77" w14:textId="7FCEA089"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-2 458,4</w:t>
            </w:r>
          </w:p>
        </w:tc>
        <w:tc>
          <w:tcPr>
            <w:tcW w:w="1217" w:type="dxa"/>
            <w:tcBorders>
              <w:top w:val="single" w:sz="4" w:space="0" w:color="auto"/>
              <w:left w:val="nil"/>
              <w:bottom w:val="single" w:sz="4" w:space="0" w:color="auto"/>
              <w:right w:val="single" w:sz="4" w:space="0" w:color="auto"/>
            </w:tcBorders>
            <w:noWrap/>
            <w:vAlign w:val="center"/>
          </w:tcPr>
          <w:p w14:paraId="7EDA3EB1" w14:textId="33086CC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44,7</w:t>
            </w:r>
          </w:p>
        </w:tc>
        <w:tc>
          <w:tcPr>
            <w:tcW w:w="1103" w:type="dxa"/>
            <w:tcBorders>
              <w:top w:val="single" w:sz="4" w:space="0" w:color="auto"/>
              <w:left w:val="nil"/>
              <w:bottom w:val="single" w:sz="4" w:space="0" w:color="auto"/>
              <w:right w:val="single" w:sz="4" w:space="0" w:color="auto"/>
            </w:tcBorders>
            <w:noWrap/>
            <w:vAlign w:val="center"/>
          </w:tcPr>
          <w:p w14:paraId="15A4090F" w14:textId="11E503E2"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-4 294,0</w:t>
            </w:r>
          </w:p>
        </w:tc>
        <w:tc>
          <w:tcPr>
            <w:tcW w:w="1224" w:type="dxa"/>
            <w:tcBorders>
              <w:top w:val="single" w:sz="4" w:space="0" w:color="auto"/>
              <w:left w:val="nil"/>
              <w:bottom w:val="single" w:sz="4" w:space="0" w:color="auto"/>
              <w:right w:val="single" w:sz="4" w:space="0" w:color="auto"/>
            </w:tcBorders>
            <w:noWrap/>
            <w:vAlign w:val="center"/>
          </w:tcPr>
          <w:p w14:paraId="50FC488F" w14:textId="41D664B9"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-3 242,6</w:t>
            </w:r>
          </w:p>
        </w:tc>
        <w:tc>
          <w:tcPr>
            <w:tcW w:w="1275" w:type="dxa"/>
            <w:tcBorders>
              <w:top w:val="single" w:sz="4" w:space="0" w:color="auto"/>
              <w:left w:val="nil"/>
              <w:bottom w:val="single" w:sz="4" w:space="0" w:color="auto"/>
              <w:right w:val="single" w:sz="4" w:space="0" w:color="auto"/>
            </w:tcBorders>
            <w:noWrap/>
            <w:vAlign w:val="center"/>
          </w:tcPr>
          <w:p w14:paraId="7978740E" w14:textId="123CBAC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75,5</w:t>
            </w:r>
          </w:p>
        </w:tc>
        <w:tc>
          <w:tcPr>
            <w:tcW w:w="997" w:type="dxa"/>
            <w:tcBorders>
              <w:top w:val="single" w:sz="4" w:space="0" w:color="auto"/>
              <w:left w:val="nil"/>
              <w:bottom w:val="single" w:sz="4" w:space="0" w:color="auto"/>
              <w:right w:val="single" w:sz="4" w:space="0" w:color="auto"/>
            </w:tcBorders>
            <w:noWrap/>
            <w:vAlign w:val="center"/>
          </w:tcPr>
          <w:p w14:paraId="1D0942AF" w14:textId="122A330F"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131,9</w:t>
            </w:r>
          </w:p>
        </w:tc>
      </w:tr>
      <w:tr w:rsidR="00215359" w:rsidRPr="003D514A" w14:paraId="7ED7811A"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45BF5FA"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76F83688" w14:textId="2086DCEF"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27 058,6</w:t>
            </w:r>
          </w:p>
        </w:tc>
        <w:tc>
          <w:tcPr>
            <w:tcW w:w="1134" w:type="dxa"/>
            <w:tcBorders>
              <w:top w:val="nil"/>
              <w:left w:val="nil"/>
              <w:bottom w:val="single" w:sz="4" w:space="0" w:color="auto"/>
              <w:right w:val="single" w:sz="4" w:space="0" w:color="auto"/>
            </w:tcBorders>
            <w:noWrap/>
            <w:vAlign w:val="center"/>
          </w:tcPr>
          <w:p w14:paraId="2B5100E2" w14:textId="70792ACB"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5 865,7</w:t>
            </w:r>
          </w:p>
        </w:tc>
        <w:tc>
          <w:tcPr>
            <w:tcW w:w="1217" w:type="dxa"/>
            <w:tcBorders>
              <w:top w:val="nil"/>
              <w:left w:val="nil"/>
              <w:bottom w:val="single" w:sz="4" w:space="0" w:color="auto"/>
              <w:right w:val="single" w:sz="4" w:space="0" w:color="auto"/>
            </w:tcBorders>
            <w:noWrap/>
            <w:vAlign w:val="center"/>
          </w:tcPr>
          <w:p w14:paraId="5D9BB325" w14:textId="034828B0"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21,7</w:t>
            </w:r>
          </w:p>
        </w:tc>
        <w:tc>
          <w:tcPr>
            <w:tcW w:w="1103" w:type="dxa"/>
            <w:tcBorders>
              <w:top w:val="nil"/>
              <w:left w:val="nil"/>
              <w:bottom w:val="single" w:sz="4" w:space="0" w:color="auto"/>
              <w:right w:val="single" w:sz="4" w:space="0" w:color="auto"/>
            </w:tcBorders>
            <w:noWrap/>
            <w:vAlign w:val="center"/>
          </w:tcPr>
          <w:p w14:paraId="39347280" w14:textId="73702449"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26 702,8</w:t>
            </w:r>
          </w:p>
        </w:tc>
        <w:tc>
          <w:tcPr>
            <w:tcW w:w="1224" w:type="dxa"/>
            <w:tcBorders>
              <w:top w:val="nil"/>
              <w:left w:val="nil"/>
              <w:bottom w:val="single" w:sz="4" w:space="0" w:color="auto"/>
              <w:right w:val="single" w:sz="4" w:space="0" w:color="auto"/>
            </w:tcBorders>
            <w:noWrap/>
            <w:vAlign w:val="center"/>
          </w:tcPr>
          <w:p w14:paraId="2C196D18" w14:textId="4A9C2B34"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6 855,7</w:t>
            </w:r>
          </w:p>
        </w:tc>
        <w:tc>
          <w:tcPr>
            <w:tcW w:w="1275" w:type="dxa"/>
            <w:tcBorders>
              <w:top w:val="nil"/>
              <w:left w:val="nil"/>
              <w:bottom w:val="single" w:sz="4" w:space="0" w:color="auto"/>
              <w:right w:val="single" w:sz="4" w:space="0" w:color="auto"/>
            </w:tcBorders>
            <w:noWrap/>
            <w:vAlign w:val="center"/>
          </w:tcPr>
          <w:p w14:paraId="667B0E54" w14:textId="774ECF40"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25,7</w:t>
            </w:r>
          </w:p>
        </w:tc>
        <w:tc>
          <w:tcPr>
            <w:tcW w:w="997" w:type="dxa"/>
            <w:tcBorders>
              <w:top w:val="nil"/>
              <w:left w:val="nil"/>
              <w:bottom w:val="single" w:sz="4" w:space="0" w:color="auto"/>
              <w:right w:val="single" w:sz="4" w:space="0" w:color="auto"/>
            </w:tcBorders>
            <w:noWrap/>
            <w:vAlign w:val="center"/>
          </w:tcPr>
          <w:p w14:paraId="19E199D7" w14:textId="16B6153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116,9</w:t>
            </w:r>
          </w:p>
        </w:tc>
      </w:tr>
      <w:tr w:rsidR="00215359" w:rsidRPr="003D514A" w14:paraId="7AE9D9AD"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C80C4E6"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630E682B" w14:textId="23BCAE98"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32 558,7</w:t>
            </w:r>
          </w:p>
        </w:tc>
        <w:tc>
          <w:tcPr>
            <w:tcW w:w="1134" w:type="dxa"/>
            <w:tcBorders>
              <w:top w:val="nil"/>
              <w:left w:val="nil"/>
              <w:bottom w:val="single" w:sz="4" w:space="0" w:color="auto"/>
              <w:right w:val="single" w:sz="4" w:space="0" w:color="auto"/>
            </w:tcBorders>
            <w:noWrap/>
            <w:vAlign w:val="center"/>
          </w:tcPr>
          <w:p w14:paraId="3ABF37CD" w14:textId="6E28102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8 324,2</w:t>
            </w:r>
          </w:p>
        </w:tc>
        <w:tc>
          <w:tcPr>
            <w:tcW w:w="1217" w:type="dxa"/>
            <w:tcBorders>
              <w:top w:val="nil"/>
              <w:left w:val="nil"/>
              <w:bottom w:val="single" w:sz="4" w:space="0" w:color="auto"/>
              <w:right w:val="single" w:sz="4" w:space="0" w:color="auto"/>
            </w:tcBorders>
            <w:noWrap/>
            <w:vAlign w:val="center"/>
          </w:tcPr>
          <w:p w14:paraId="54CC88D1" w14:textId="17DE70C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25,6</w:t>
            </w:r>
          </w:p>
        </w:tc>
        <w:tc>
          <w:tcPr>
            <w:tcW w:w="1103" w:type="dxa"/>
            <w:tcBorders>
              <w:top w:val="nil"/>
              <w:left w:val="nil"/>
              <w:bottom w:val="single" w:sz="4" w:space="0" w:color="auto"/>
              <w:right w:val="single" w:sz="4" w:space="0" w:color="auto"/>
            </w:tcBorders>
            <w:noWrap/>
            <w:vAlign w:val="center"/>
          </w:tcPr>
          <w:p w14:paraId="45A98F7E" w14:textId="37C8CB9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30 996,9</w:t>
            </w:r>
          </w:p>
        </w:tc>
        <w:tc>
          <w:tcPr>
            <w:tcW w:w="1224" w:type="dxa"/>
            <w:tcBorders>
              <w:top w:val="nil"/>
              <w:left w:val="nil"/>
              <w:bottom w:val="single" w:sz="4" w:space="0" w:color="auto"/>
              <w:right w:val="single" w:sz="4" w:space="0" w:color="auto"/>
            </w:tcBorders>
            <w:noWrap/>
            <w:vAlign w:val="center"/>
          </w:tcPr>
          <w:p w14:paraId="14F2BF40" w14:textId="21E530C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10 098,3</w:t>
            </w:r>
          </w:p>
        </w:tc>
        <w:tc>
          <w:tcPr>
            <w:tcW w:w="1275" w:type="dxa"/>
            <w:tcBorders>
              <w:top w:val="nil"/>
              <w:left w:val="nil"/>
              <w:bottom w:val="single" w:sz="4" w:space="0" w:color="auto"/>
              <w:right w:val="single" w:sz="4" w:space="0" w:color="auto"/>
            </w:tcBorders>
            <w:noWrap/>
            <w:vAlign w:val="center"/>
          </w:tcPr>
          <w:p w14:paraId="3F9FB1FF" w14:textId="5422FC92"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32,6</w:t>
            </w:r>
          </w:p>
        </w:tc>
        <w:tc>
          <w:tcPr>
            <w:tcW w:w="997" w:type="dxa"/>
            <w:tcBorders>
              <w:top w:val="nil"/>
              <w:left w:val="nil"/>
              <w:bottom w:val="single" w:sz="4" w:space="0" w:color="auto"/>
              <w:right w:val="single" w:sz="4" w:space="0" w:color="auto"/>
            </w:tcBorders>
            <w:noWrap/>
            <w:vAlign w:val="center"/>
          </w:tcPr>
          <w:p w14:paraId="6C7C62DE" w14:textId="073F2827"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121,3</w:t>
            </w:r>
          </w:p>
        </w:tc>
      </w:tr>
      <w:tr w:rsidR="00215359" w:rsidRPr="003D514A" w14:paraId="1F6C0145"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850CBF0" w14:textId="77777777" w:rsidR="00215359" w:rsidRPr="00602E3C" w:rsidRDefault="00215359" w:rsidP="00215359">
            <w:pPr>
              <w:keepNext/>
              <w:keepLines/>
              <w:spacing w:before="120" w:after="120"/>
              <w:rPr>
                <w:rFonts w:ascii="Times New Roman" w:hAnsi="Times New Roman" w:cs="Times New Roman"/>
                <w:b/>
                <w:bCs/>
                <w:sz w:val="20"/>
                <w:szCs w:val="20"/>
              </w:rPr>
            </w:pPr>
            <w:r w:rsidRPr="5E04AD7D">
              <w:rPr>
                <w:rFonts w:ascii="Times New Roman" w:hAnsi="Times New Roman" w:cs="Times New Roman"/>
                <w:b/>
                <w:bCs/>
                <w:sz w:val="20"/>
                <w:szCs w:val="20"/>
              </w:rPr>
              <w:t>Elkülönített állami pénzalapok egyenlege</w:t>
            </w:r>
          </w:p>
        </w:tc>
        <w:tc>
          <w:tcPr>
            <w:tcW w:w="1067" w:type="dxa"/>
            <w:tcBorders>
              <w:top w:val="nil"/>
              <w:left w:val="single" w:sz="4" w:space="0" w:color="auto"/>
              <w:bottom w:val="single" w:sz="4" w:space="0" w:color="auto"/>
              <w:right w:val="single" w:sz="4" w:space="0" w:color="auto"/>
            </w:tcBorders>
            <w:noWrap/>
            <w:vAlign w:val="center"/>
          </w:tcPr>
          <w:p w14:paraId="4EACAD66" w14:textId="5C6E5DEB"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7,3</w:t>
            </w:r>
          </w:p>
        </w:tc>
        <w:tc>
          <w:tcPr>
            <w:tcW w:w="1134" w:type="dxa"/>
            <w:tcBorders>
              <w:top w:val="nil"/>
              <w:left w:val="nil"/>
              <w:bottom w:val="single" w:sz="4" w:space="0" w:color="auto"/>
              <w:right w:val="single" w:sz="4" w:space="0" w:color="auto"/>
            </w:tcBorders>
            <w:noWrap/>
            <w:vAlign w:val="center"/>
          </w:tcPr>
          <w:p w14:paraId="5184FB98" w14:textId="12FBA645"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19,</w:t>
            </w:r>
            <w:r>
              <w:rPr>
                <w:rFonts w:ascii="Garamond" w:hAnsi="Garamond"/>
                <w:b/>
                <w:bCs/>
                <w:sz w:val="20"/>
                <w:szCs w:val="20"/>
              </w:rPr>
              <w:t>3</w:t>
            </w:r>
          </w:p>
        </w:tc>
        <w:tc>
          <w:tcPr>
            <w:tcW w:w="1217" w:type="dxa"/>
            <w:tcBorders>
              <w:top w:val="nil"/>
              <w:left w:val="nil"/>
              <w:bottom w:val="single" w:sz="4" w:space="0" w:color="auto"/>
              <w:right w:val="single" w:sz="4" w:space="0" w:color="auto"/>
            </w:tcBorders>
            <w:noWrap/>
            <w:vAlign w:val="center"/>
          </w:tcPr>
          <w:p w14:paraId="75B4D261" w14:textId="68CF21C9"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26</w:t>
            </w:r>
            <w:r>
              <w:rPr>
                <w:rFonts w:ascii="Garamond" w:hAnsi="Garamond"/>
                <w:sz w:val="20"/>
                <w:szCs w:val="20"/>
              </w:rPr>
              <w:t>4,4</w:t>
            </w:r>
          </w:p>
        </w:tc>
        <w:tc>
          <w:tcPr>
            <w:tcW w:w="1103" w:type="dxa"/>
            <w:tcBorders>
              <w:top w:val="nil"/>
              <w:left w:val="nil"/>
              <w:bottom w:val="single" w:sz="4" w:space="0" w:color="auto"/>
              <w:right w:val="single" w:sz="4" w:space="0" w:color="auto"/>
            </w:tcBorders>
            <w:noWrap/>
            <w:vAlign w:val="center"/>
          </w:tcPr>
          <w:p w14:paraId="34F7BD1D" w14:textId="3551C8A3"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75,5</w:t>
            </w:r>
          </w:p>
        </w:tc>
        <w:tc>
          <w:tcPr>
            <w:tcW w:w="1224" w:type="dxa"/>
            <w:tcBorders>
              <w:top w:val="nil"/>
              <w:left w:val="nil"/>
              <w:bottom w:val="single" w:sz="4" w:space="0" w:color="auto"/>
              <w:right w:val="single" w:sz="4" w:space="0" w:color="auto"/>
            </w:tcBorders>
            <w:noWrap/>
            <w:vAlign w:val="center"/>
          </w:tcPr>
          <w:p w14:paraId="1F1ECE57" w14:textId="772CB04E"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12,5</w:t>
            </w:r>
          </w:p>
        </w:tc>
        <w:tc>
          <w:tcPr>
            <w:tcW w:w="1275" w:type="dxa"/>
            <w:tcBorders>
              <w:top w:val="nil"/>
              <w:left w:val="nil"/>
              <w:bottom w:val="single" w:sz="4" w:space="0" w:color="auto"/>
              <w:right w:val="single" w:sz="4" w:space="0" w:color="auto"/>
            </w:tcBorders>
            <w:noWrap/>
            <w:vAlign w:val="center"/>
          </w:tcPr>
          <w:p w14:paraId="7BDE9A0C" w14:textId="7C316C08"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16,6</w:t>
            </w:r>
          </w:p>
        </w:tc>
        <w:tc>
          <w:tcPr>
            <w:tcW w:w="997" w:type="dxa"/>
            <w:tcBorders>
              <w:top w:val="nil"/>
              <w:left w:val="nil"/>
              <w:bottom w:val="single" w:sz="4" w:space="0" w:color="auto"/>
              <w:right w:val="single" w:sz="4" w:space="0" w:color="auto"/>
            </w:tcBorders>
            <w:noWrap/>
            <w:vAlign w:val="center"/>
          </w:tcPr>
          <w:p w14:paraId="25C8B246" w14:textId="1FDF252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64,</w:t>
            </w:r>
            <w:r>
              <w:rPr>
                <w:rFonts w:ascii="Garamond" w:hAnsi="Garamond"/>
                <w:sz w:val="20"/>
                <w:szCs w:val="20"/>
              </w:rPr>
              <w:t>8</w:t>
            </w:r>
          </w:p>
        </w:tc>
      </w:tr>
      <w:tr w:rsidR="00215359" w:rsidRPr="003D514A" w14:paraId="0BEB8BDA"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D7985BE"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0A0C7D0E" w14:textId="701A32EC"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838,2</w:t>
            </w:r>
          </w:p>
        </w:tc>
        <w:tc>
          <w:tcPr>
            <w:tcW w:w="1134" w:type="dxa"/>
            <w:tcBorders>
              <w:top w:val="nil"/>
              <w:left w:val="nil"/>
              <w:bottom w:val="single" w:sz="4" w:space="0" w:color="auto"/>
              <w:right w:val="single" w:sz="4" w:space="0" w:color="auto"/>
            </w:tcBorders>
            <w:noWrap/>
            <w:vAlign w:val="center"/>
          </w:tcPr>
          <w:p w14:paraId="1C2629F3" w14:textId="535F301C"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190,9</w:t>
            </w:r>
          </w:p>
        </w:tc>
        <w:tc>
          <w:tcPr>
            <w:tcW w:w="1217" w:type="dxa"/>
            <w:tcBorders>
              <w:top w:val="nil"/>
              <w:left w:val="nil"/>
              <w:bottom w:val="single" w:sz="4" w:space="0" w:color="auto"/>
              <w:right w:val="single" w:sz="4" w:space="0" w:color="auto"/>
            </w:tcBorders>
            <w:noWrap/>
            <w:vAlign w:val="center"/>
          </w:tcPr>
          <w:p w14:paraId="7F241B07" w14:textId="0378792C"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22,8</w:t>
            </w:r>
          </w:p>
        </w:tc>
        <w:tc>
          <w:tcPr>
            <w:tcW w:w="1103" w:type="dxa"/>
            <w:tcBorders>
              <w:top w:val="nil"/>
              <w:left w:val="nil"/>
              <w:bottom w:val="single" w:sz="4" w:space="0" w:color="auto"/>
              <w:right w:val="single" w:sz="4" w:space="0" w:color="auto"/>
            </w:tcBorders>
            <w:noWrap/>
            <w:vAlign w:val="center"/>
          </w:tcPr>
          <w:p w14:paraId="272DCDE3" w14:textId="4003A27B"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918,3</w:t>
            </w:r>
          </w:p>
        </w:tc>
        <w:tc>
          <w:tcPr>
            <w:tcW w:w="1224" w:type="dxa"/>
            <w:tcBorders>
              <w:top w:val="nil"/>
              <w:left w:val="nil"/>
              <w:bottom w:val="single" w:sz="4" w:space="0" w:color="auto"/>
              <w:right w:val="single" w:sz="4" w:space="0" w:color="auto"/>
            </w:tcBorders>
            <w:noWrap/>
            <w:vAlign w:val="center"/>
          </w:tcPr>
          <w:p w14:paraId="23403823" w14:textId="6754FADC"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231,2</w:t>
            </w:r>
          </w:p>
        </w:tc>
        <w:tc>
          <w:tcPr>
            <w:tcW w:w="1275" w:type="dxa"/>
            <w:tcBorders>
              <w:top w:val="nil"/>
              <w:left w:val="nil"/>
              <w:bottom w:val="single" w:sz="4" w:space="0" w:color="auto"/>
              <w:right w:val="single" w:sz="4" w:space="0" w:color="auto"/>
            </w:tcBorders>
            <w:noWrap/>
            <w:vAlign w:val="center"/>
          </w:tcPr>
          <w:p w14:paraId="71B652CE" w14:textId="31ED5EA7"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25,2</w:t>
            </w:r>
          </w:p>
        </w:tc>
        <w:tc>
          <w:tcPr>
            <w:tcW w:w="997" w:type="dxa"/>
            <w:tcBorders>
              <w:top w:val="nil"/>
              <w:left w:val="nil"/>
              <w:bottom w:val="single" w:sz="4" w:space="0" w:color="auto"/>
              <w:right w:val="single" w:sz="4" w:space="0" w:color="auto"/>
            </w:tcBorders>
            <w:noWrap/>
            <w:vAlign w:val="center"/>
          </w:tcPr>
          <w:p w14:paraId="7A939C99" w14:textId="27BFBF3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121,1</w:t>
            </w:r>
          </w:p>
        </w:tc>
      </w:tr>
      <w:tr w:rsidR="00215359" w:rsidRPr="00190176" w14:paraId="21851932"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660DDD2"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D2AA0E6" w14:textId="7D50C307"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830,9</w:t>
            </w:r>
          </w:p>
        </w:tc>
        <w:tc>
          <w:tcPr>
            <w:tcW w:w="1134" w:type="dxa"/>
            <w:tcBorders>
              <w:top w:val="nil"/>
              <w:left w:val="nil"/>
              <w:bottom w:val="single" w:sz="4" w:space="0" w:color="auto"/>
              <w:right w:val="single" w:sz="4" w:space="0" w:color="auto"/>
            </w:tcBorders>
            <w:noWrap/>
            <w:vAlign w:val="center"/>
          </w:tcPr>
          <w:p w14:paraId="576B68B3" w14:textId="084369DB"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171,6</w:t>
            </w:r>
          </w:p>
        </w:tc>
        <w:tc>
          <w:tcPr>
            <w:tcW w:w="1217" w:type="dxa"/>
            <w:tcBorders>
              <w:top w:val="nil"/>
              <w:left w:val="nil"/>
              <w:bottom w:val="single" w:sz="4" w:space="0" w:color="auto"/>
              <w:right w:val="single" w:sz="4" w:space="0" w:color="auto"/>
            </w:tcBorders>
            <w:noWrap/>
            <w:vAlign w:val="center"/>
          </w:tcPr>
          <w:p w14:paraId="4E9C905D" w14:textId="558E4404"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20,7</w:t>
            </w:r>
          </w:p>
        </w:tc>
        <w:tc>
          <w:tcPr>
            <w:tcW w:w="1103" w:type="dxa"/>
            <w:tcBorders>
              <w:top w:val="nil"/>
              <w:left w:val="nil"/>
              <w:bottom w:val="single" w:sz="4" w:space="0" w:color="auto"/>
              <w:right w:val="single" w:sz="4" w:space="0" w:color="auto"/>
            </w:tcBorders>
            <w:noWrap/>
            <w:vAlign w:val="center"/>
          </w:tcPr>
          <w:p w14:paraId="675B2ADB" w14:textId="624433C4"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842,8</w:t>
            </w:r>
          </w:p>
        </w:tc>
        <w:tc>
          <w:tcPr>
            <w:tcW w:w="1224" w:type="dxa"/>
            <w:tcBorders>
              <w:top w:val="nil"/>
              <w:left w:val="nil"/>
              <w:bottom w:val="single" w:sz="4" w:space="0" w:color="auto"/>
              <w:right w:val="single" w:sz="4" w:space="0" w:color="auto"/>
            </w:tcBorders>
            <w:noWrap/>
            <w:vAlign w:val="center"/>
          </w:tcPr>
          <w:p w14:paraId="2F88030E" w14:textId="4DC603E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218,7</w:t>
            </w:r>
          </w:p>
        </w:tc>
        <w:tc>
          <w:tcPr>
            <w:tcW w:w="1275" w:type="dxa"/>
            <w:tcBorders>
              <w:top w:val="nil"/>
              <w:left w:val="nil"/>
              <w:bottom w:val="single" w:sz="4" w:space="0" w:color="auto"/>
              <w:right w:val="single" w:sz="4" w:space="0" w:color="auto"/>
            </w:tcBorders>
            <w:noWrap/>
            <w:vAlign w:val="center"/>
          </w:tcPr>
          <w:p w14:paraId="0FE9EE5B" w14:textId="657362B5"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25,9</w:t>
            </w:r>
          </w:p>
        </w:tc>
        <w:tc>
          <w:tcPr>
            <w:tcW w:w="997" w:type="dxa"/>
            <w:tcBorders>
              <w:top w:val="nil"/>
              <w:left w:val="nil"/>
              <w:bottom w:val="single" w:sz="4" w:space="0" w:color="auto"/>
              <w:right w:val="single" w:sz="4" w:space="0" w:color="auto"/>
            </w:tcBorders>
            <w:noWrap/>
            <w:vAlign w:val="center"/>
          </w:tcPr>
          <w:p w14:paraId="1C69CA5D" w14:textId="5F54201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127,4</w:t>
            </w:r>
          </w:p>
        </w:tc>
      </w:tr>
      <w:tr w:rsidR="00215359" w:rsidRPr="003D514A" w14:paraId="60B524D9"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A244A9D" w14:textId="77777777" w:rsidR="00215359" w:rsidRPr="00602E3C" w:rsidRDefault="00215359" w:rsidP="00215359">
            <w:pPr>
              <w:keepNext/>
              <w:keepLines/>
              <w:spacing w:before="120" w:after="120"/>
              <w:rPr>
                <w:rFonts w:ascii="Times New Roman" w:hAnsi="Times New Roman" w:cs="Times New Roman"/>
                <w:b/>
                <w:bCs/>
                <w:sz w:val="20"/>
                <w:szCs w:val="20"/>
              </w:rPr>
            </w:pPr>
            <w:r w:rsidRPr="5E04AD7D">
              <w:rPr>
                <w:rFonts w:ascii="Times New Roman" w:hAnsi="Times New Roman" w:cs="Times New Roman"/>
                <w:b/>
                <w:bCs/>
                <w:sz w:val="20"/>
                <w:szCs w:val="20"/>
              </w:rPr>
              <w:t>Társadalombiztosítás pénzügyi alapjainak egyenlege</w:t>
            </w:r>
          </w:p>
        </w:tc>
        <w:tc>
          <w:tcPr>
            <w:tcW w:w="1067" w:type="dxa"/>
            <w:tcBorders>
              <w:top w:val="nil"/>
              <w:left w:val="single" w:sz="4" w:space="0" w:color="auto"/>
              <w:bottom w:val="single" w:sz="4" w:space="0" w:color="auto"/>
              <w:right w:val="single" w:sz="4" w:space="0" w:color="auto"/>
            </w:tcBorders>
            <w:noWrap/>
            <w:vAlign w:val="center"/>
          </w:tcPr>
          <w:p w14:paraId="2D4F2C66" w14:textId="1C31EF74"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-245,9</w:t>
            </w:r>
          </w:p>
        </w:tc>
        <w:tc>
          <w:tcPr>
            <w:tcW w:w="1134" w:type="dxa"/>
            <w:tcBorders>
              <w:top w:val="nil"/>
              <w:left w:val="nil"/>
              <w:bottom w:val="single" w:sz="4" w:space="0" w:color="auto"/>
              <w:right w:val="single" w:sz="4" w:space="0" w:color="auto"/>
            </w:tcBorders>
            <w:noWrap/>
            <w:vAlign w:val="center"/>
          </w:tcPr>
          <w:p w14:paraId="516703D8" w14:textId="3E2283B5"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-115,0</w:t>
            </w:r>
          </w:p>
        </w:tc>
        <w:tc>
          <w:tcPr>
            <w:tcW w:w="1217" w:type="dxa"/>
            <w:tcBorders>
              <w:top w:val="nil"/>
              <w:left w:val="nil"/>
              <w:bottom w:val="single" w:sz="4" w:space="0" w:color="auto"/>
              <w:right w:val="single" w:sz="4" w:space="0" w:color="auto"/>
            </w:tcBorders>
            <w:noWrap/>
            <w:vAlign w:val="center"/>
          </w:tcPr>
          <w:p w14:paraId="780B578C" w14:textId="698E5BF5"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46,8</w:t>
            </w:r>
          </w:p>
        </w:tc>
        <w:tc>
          <w:tcPr>
            <w:tcW w:w="1103" w:type="dxa"/>
            <w:tcBorders>
              <w:top w:val="nil"/>
              <w:left w:val="nil"/>
              <w:bottom w:val="single" w:sz="4" w:space="0" w:color="auto"/>
              <w:right w:val="single" w:sz="4" w:space="0" w:color="auto"/>
            </w:tcBorders>
            <w:noWrap/>
            <w:vAlign w:val="center"/>
          </w:tcPr>
          <w:p w14:paraId="662A8D25" w14:textId="37ED22D9"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0,0</w:t>
            </w:r>
          </w:p>
        </w:tc>
        <w:tc>
          <w:tcPr>
            <w:tcW w:w="1224" w:type="dxa"/>
            <w:tcBorders>
              <w:top w:val="nil"/>
              <w:left w:val="nil"/>
              <w:bottom w:val="single" w:sz="4" w:space="0" w:color="auto"/>
              <w:right w:val="single" w:sz="4" w:space="0" w:color="auto"/>
            </w:tcBorders>
            <w:noWrap/>
            <w:vAlign w:val="center"/>
          </w:tcPr>
          <w:p w14:paraId="0975A4E1" w14:textId="0CBA945F"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-190,3</w:t>
            </w:r>
          </w:p>
        </w:tc>
        <w:tc>
          <w:tcPr>
            <w:tcW w:w="1275" w:type="dxa"/>
            <w:tcBorders>
              <w:top w:val="nil"/>
              <w:left w:val="nil"/>
              <w:bottom w:val="single" w:sz="4" w:space="0" w:color="auto"/>
              <w:right w:val="single" w:sz="4" w:space="0" w:color="auto"/>
            </w:tcBorders>
            <w:noWrap/>
            <w:vAlign w:val="center"/>
          </w:tcPr>
          <w:p w14:paraId="0142F674" w14:textId="77777777" w:rsidR="00215359" w:rsidRPr="007007A3" w:rsidRDefault="00215359" w:rsidP="00215359">
            <w:pPr>
              <w:spacing w:before="120" w:after="120"/>
              <w:jc w:val="right"/>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noWrap/>
            <w:vAlign w:val="center"/>
          </w:tcPr>
          <w:p w14:paraId="00F561CA" w14:textId="1D997E30"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165,5</w:t>
            </w:r>
          </w:p>
        </w:tc>
      </w:tr>
      <w:tr w:rsidR="00215359" w:rsidRPr="003D514A" w14:paraId="6196F208"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0539374"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414C829C" w14:textId="78BA0E6F"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11 294,9</w:t>
            </w:r>
          </w:p>
        </w:tc>
        <w:tc>
          <w:tcPr>
            <w:tcW w:w="1134" w:type="dxa"/>
            <w:tcBorders>
              <w:top w:val="nil"/>
              <w:left w:val="nil"/>
              <w:bottom w:val="single" w:sz="4" w:space="0" w:color="auto"/>
              <w:right w:val="single" w:sz="4" w:space="0" w:color="auto"/>
            </w:tcBorders>
            <w:noWrap/>
            <w:vAlign w:val="center"/>
          </w:tcPr>
          <w:p w14:paraId="2F3B80BA" w14:textId="708D451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3 141,1</w:t>
            </w:r>
          </w:p>
        </w:tc>
        <w:tc>
          <w:tcPr>
            <w:tcW w:w="1217" w:type="dxa"/>
            <w:tcBorders>
              <w:top w:val="nil"/>
              <w:left w:val="nil"/>
              <w:bottom w:val="single" w:sz="4" w:space="0" w:color="auto"/>
              <w:right w:val="single" w:sz="4" w:space="0" w:color="auto"/>
            </w:tcBorders>
            <w:noWrap/>
            <w:vAlign w:val="center"/>
          </w:tcPr>
          <w:p w14:paraId="18C6222F" w14:textId="2F476570"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27,8</w:t>
            </w:r>
          </w:p>
        </w:tc>
        <w:tc>
          <w:tcPr>
            <w:tcW w:w="1103" w:type="dxa"/>
            <w:tcBorders>
              <w:top w:val="nil"/>
              <w:left w:val="nil"/>
              <w:bottom w:val="single" w:sz="4" w:space="0" w:color="auto"/>
              <w:right w:val="single" w:sz="4" w:space="0" w:color="auto"/>
            </w:tcBorders>
            <w:noWrap/>
            <w:vAlign w:val="center"/>
          </w:tcPr>
          <w:p w14:paraId="041A2AE9" w14:textId="083A4E9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7AECEB35" w14:textId="12EB2B1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3 456,3</w:t>
            </w:r>
          </w:p>
        </w:tc>
        <w:tc>
          <w:tcPr>
            <w:tcW w:w="1275" w:type="dxa"/>
            <w:tcBorders>
              <w:top w:val="nil"/>
              <w:left w:val="nil"/>
              <w:bottom w:val="single" w:sz="4" w:space="0" w:color="auto"/>
              <w:right w:val="single" w:sz="4" w:space="0" w:color="auto"/>
            </w:tcBorders>
            <w:noWrap/>
            <w:vAlign w:val="center"/>
          </w:tcPr>
          <w:p w14:paraId="6E0843CA" w14:textId="3FDB1072"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28,9</w:t>
            </w:r>
          </w:p>
        </w:tc>
        <w:tc>
          <w:tcPr>
            <w:tcW w:w="997" w:type="dxa"/>
            <w:tcBorders>
              <w:top w:val="nil"/>
              <w:left w:val="nil"/>
              <w:bottom w:val="single" w:sz="4" w:space="0" w:color="auto"/>
              <w:right w:val="single" w:sz="4" w:space="0" w:color="auto"/>
            </w:tcBorders>
            <w:noWrap/>
            <w:vAlign w:val="center"/>
          </w:tcPr>
          <w:p w14:paraId="4E1DA02E" w14:textId="3468307A"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110,0</w:t>
            </w:r>
          </w:p>
        </w:tc>
      </w:tr>
      <w:tr w:rsidR="00215359" w:rsidRPr="003D514A" w14:paraId="2E0C2349"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6CFF744"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34DEE28" w14:textId="72B522B5"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11 540,8</w:t>
            </w:r>
          </w:p>
        </w:tc>
        <w:tc>
          <w:tcPr>
            <w:tcW w:w="1134" w:type="dxa"/>
            <w:tcBorders>
              <w:top w:val="nil"/>
              <w:left w:val="nil"/>
              <w:bottom w:val="single" w:sz="4" w:space="0" w:color="auto"/>
              <w:right w:val="single" w:sz="4" w:space="0" w:color="auto"/>
            </w:tcBorders>
            <w:noWrap/>
            <w:vAlign w:val="center"/>
          </w:tcPr>
          <w:p w14:paraId="7FB63125" w14:textId="11F068F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3 256,1</w:t>
            </w:r>
          </w:p>
        </w:tc>
        <w:tc>
          <w:tcPr>
            <w:tcW w:w="1217" w:type="dxa"/>
            <w:tcBorders>
              <w:top w:val="nil"/>
              <w:left w:val="nil"/>
              <w:bottom w:val="single" w:sz="4" w:space="0" w:color="auto"/>
              <w:right w:val="single" w:sz="4" w:space="0" w:color="auto"/>
            </w:tcBorders>
            <w:noWrap/>
            <w:vAlign w:val="center"/>
          </w:tcPr>
          <w:p w14:paraId="0B8856A0" w14:textId="7120CB8D"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28,2</w:t>
            </w:r>
          </w:p>
        </w:tc>
        <w:tc>
          <w:tcPr>
            <w:tcW w:w="1103" w:type="dxa"/>
            <w:tcBorders>
              <w:top w:val="nil"/>
              <w:left w:val="nil"/>
              <w:bottom w:val="single" w:sz="4" w:space="0" w:color="auto"/>
              <w:right w:val="single" w:sz="4" w:space="0" w:color="auto"/>
            </w:tcBorders>
            <w:noWrap/>
            <w:vAlign w:val="center"/>
          </w:tcPr>
          <w:p w14:paraId="086FE71C" w14:textId="01055598"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4801CC60" w14:textId="615FC11F"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3 646,6</w:t>
            </w:r>
          </w:p>
        </w:tc>
        <w:tc>
          <w:tcPr>
            <w:tcW w:w="1275" w:type="dxa"/>
            <w:tcBorders>
              <w:top w:val="nil"/>
              <w:left w:val="nil"/>
              <w:bottom w:val="single" w:sz="4" w:space="0" w:color="auto"/>
              <w:right w:val="single" w:sz="4" w:space="0" w:color="auto"/>
            </w:tcBorders>
            <w:noWrap/>
            <w:vAlign w:val="center"/>
          </w:tcPr>
          <w:p w14:paraId="080A695A" w14:textId="3218F345"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30,5</w:t>
            </w:r>
          </w:p>
        </w:tc>
        <w:tc>
          <w:tcPr>
            <w:tcW w:w="997" w:type="dxa"/>
            <w:tcBorders>
              <w:top w:val="nil"/>
              <w:left w:val="nil"/>
              <w:bottom w:val="single" w:sz="4" w:space="0" w:color="auto"/>
              <w:right w:val="single" w:sz="4" w:space="0" w:color="auto"/>
            </w:tcBorders>
            <w:noWrap/>
            <w:vAlign w:val="center"/>
          </w:tcPr>
          <w:p w14:paraId="12785972" w14:textId="6D5E832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112,0</w:t>
            </w:r>
          </w:p>
        </w:tc>
      </w:tr>
      <w:tr w:rsidR="00215359" w:rsidRPr="003D514A" w14:paraId="4C937A62"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2B27C31" w14:textId="77777777" w:rsidR="00215359" w:rsidRPr="00602E3C" w:rsidRDefault="00215359" w:rsidP="00215359">
            <w:pPr>
              <w:keepNext/>
              <w:keepLines/>
              <w:spacing w:before="120" w:after="120"/>
              <w:rPr>
                <w:rFonts w:ascii="Times New Roman" w:hAnsi="Times New Roman" w:cs="Times New Roman"/>
                <w:b/>
                <w:bCs/>
                <w:sz w:val="20"/>
                <w:szCs w:val="20"/>
              </w:rPr>
            </w:pPr>
            <w:r w:rsidRPr="5E04AD7D">
              <w:rPr>
                <w:rFonts w:ascii="Times New Roman" w:hAnsi="Times New Roman" w:cs="Times New Roman"/>
                <w:b/>
                <w:bCs/>
                <w:sz w:val="20"/>
                <w:szCs w:val="20"/>
              </w:rPr>
              <w:t>Egyenleg összesen</w:t>
            </w:r>
          </w:p>
        </w:tc>
        <w:tc>
          <w:tcPr>
            <w:tcW w:w="1067" w:type="dxa"/>
            <w:tcBorders>
              <w:top w:val="nil"/>
              <w:left w:val="single" w:sz="4" w:space="0" w:color="auto"/>
              <w:bottom w:val="single" w:sz="4" w:space="0" w:color="auto"/>
              <w:right w:val="single" w:sz="4" w:space="0" w:color="auto"/>
            </w:tcBorders>
            <w:noWrap/>
            <w:vAlign w:val="center"/>
          </w:tcPr>
          <w:p w14:paraId="34532105" w14:textId="7B885B75"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-5 738,7</w:t>
            </w:r>
          </w:p>
        </w:tc>
        <w:tc>
          <w:tcPr>
            <w:tcW w:w="1134" w:type="dxa"/>
            <w:tcBorders>
              <w:top w:val="nil"/>
              <w:left w:val="nil"/>
              <w:bottom w:val="single" w:sz="4" w:space="0" w:color="auto"/>
              <w:right w:val="single" w:sz="4" w:space="0" w:color="auto"/>
            </w:tcBorders>
            <w:noWrap/>
            <w:vAlign w:val="center"/>
          </w:tcPr>
          <w:p w14:paraId="74267FA6" w14:textId="0BC1EBAD"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-2 554,1</w:t>
            </w:r>
          </w:p>
        </w:tc>
        <w:tc>
          <w:tcPr>
            <w:tcW w:w="1217" w:type="dxa"/>
            <w:tcBorders>
              <w:top w:val="nil"/>
              <w:left w:val="nil"/>
              <w:bottom w:val="single" w:sz="4" w:space="0" w:color="auto"/>
              <w:right w:val="single" w:sz="4" w:space="0" w:color="auto"/>
            </w:tcBorders>
            <w:noWrap/>
            <w:vAlign w:val="center"/>
          </w:tcPr>
          <w:p w14:paraId="03FC0469" w14:textId="6C549F55"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44,5</w:t>
            </w:r>
          </w:p>
        </w:tc>
        <w:tc>
          <w:tcPr>
            <w:tcW w:w="1103" w:type="dxa"/>
            <w:tcBorders>
              <w:top w:val="nil"/>
              <w:left w:val="nil"/>
              <w:bottom w:val="single" w:sz="4" w:space="0" w:color="auto"/>
              <w:right w:val="single" w:sz="4" w:space="0" w:color="auto"/>
            </w:tcBorders>
            <w:noWrap/>
            <w:vAlign w:val="center"/>
          </w:tcPr>
          <w:p w14:paraId="7641E26B" w14:textId="6E59D6A7"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-4 218,5</w:t>
            </w:r>
          </w:p>
        </w:tc>
        <w:tc>
          <w:tcPr>
            <w:tcW w:w="1224" w:type="dxa"/>
            <w:tcBorders>
              <w:top w:val="nil"/>
              <w:left w:val="nil"/>
              <w:bottom w:val="single" w:sz="4" w:space="0" w:color="auto"/>
              <w:right w:val="single" w:sz="4" w:space="0" w:color="auto"/>
            </w:tcBorders>
            <w:noWrap/>
            <w:vAlign w:val="center"/>
          </w:tcPr>
          <w:p w14:paraId="58981E80" w14:textId="3B41B52D" w:rsidR="00215359" w:rsidRPr="007007A3" w:rsidRDefault="00215359" w:rsidP="00215359">
            <w:pPr>
              <w:spacing w:before="120" w:after="120"/>
              <w:jc w:val="right"/>
              <w:rPr>
                <w:rFonts w:ascii="Times New Roman" w:hAnsi="Times New Roman" w:cs="Times New Roman"/>
                <w:b/>
                <w:bCs/>
                <w:sz w:val="20"/>
                <w:szCs w:val="20"/>
              </w:rPr>
            </w:pPr>
            <w:r w:rsidRPr="00755B3B">
              <w:rPr>
                <w:rFonts w:ascii="Garamond" w:hAnsi="Garamond"/>
                <w:b/>
                <w:bCs/>
                <w:sz w:val="20"/>
                <w:szCs w:val="20"/>
              </w:rPr>
              <w:t>-3 420,4</w:t>
            </w:r>
          </w:p>
        </w:tc>
        <w:tc>
          <w:tcPr>
            <w:tcW w:w="1275" w:type="dxa"/>
            <w:tcBorders>
              <w:top w:val="nil"/>
              <w:left w:val="nil"/>
              <w:bottom w:val="single" w:sz="4" w:space="0" w:color="auto"/>
              <w:right w:val="single" w:sz="4" w:space="0" w:color="auto"/>
            </w:tcBorders>
            <w:noWrap/>
            <w:vAlign w:val="center"/>
          </w:tcPr>
          <w:p w14:paraId="5ED7099D" w14:textId="6B5116C2"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81,1</w:t>
            </w:r>
          </w:p>
        </w:tc>
        <w:tc>
          <w:tcPr>
            <w:tcW w:w="997" w:type="dxa"/>
            <w:tcBorders>
              <w:top w:val="nil"/>
              <w:left w:val="nil"/>
              <w:bottom w:val="single" w:sz="4" w:space="0" w:color="auto"/>
              <w:right w:val="single" w:sz="4" w:space="0" w:color="auto"/>
            </w:tcBorders>
            <w:noWrap/>
            <w:vAlign w:val="center"/>
          </w:tcPr>
          <w:p w14:paraId="7A98A233" w14:textId="3ED6397B"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133,9</w:t>
            </w:r>
          </w:p>
        </w:tc>
      </w:tr>
      <w:tr w:rsidR="00215359" w:rsidRPr="003D514A" w14:paraId="4C7D7EF2"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50CAE52E"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12C6FEEA" w14:textId="21B1D59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39 191,6</w:t>
            </w:r>
          </w:p>
        </w:tc>
        <w:tc>
          <w:tcPr>
            <w:tcW w:w="1134" w:type="dxa"/>
            <w:tcBorders>
              <w:top w:val="nil"/>
              <w:left w:val="nil"/>
              <w:bottom w:val="single" w:sz="4" w:space="0" w:color="auto"/>
              <w:right w:val="single" w:sz="4" w:space="0" w:color="auto"/>
            </w:tcBorders>
            <w:noWrap/>
            <w:vAlign w:val="center"/>
          </w:tcPr>
          <w:p w14:paraId="772E0B61" w14:textId="0B0A3792"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9 197,8</w:t>
            </w:r>
          </w:p>
        </w:tc>
        <w:tc>
          <w:tcPr>
            <w:tcW w:w="1217" w:type="dxa"/>
            <w:tcBorders>
              <w:top w:val="nil"/>
              <w:left w:val="nil"/>
              <w:bottom w:val="single" w:sz="4" w:space="0" w:color="auto"/>
              <w:right w:val="single" w:sz="4" w:space="0" w:color="auto"/>
            </w:tcBorders>
            <w:noWrap/>
            <w:vAlign w:val="center"/>
          </w:tcPr>
          <w:p w14:paraId="3C77872B" w14:textId="59621471"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23,5</w:t>
            </w:r>
          </w:p>
        </w:tc>
        <w:tc>
          <w:tcPr>
            <w:tcW w:w="1103" w:type="dxa"/>
            <w:tcBorders>
              <w:top w:val="nil"/>
              <w:left w:val="nil"/>
              <w:bottom w:val="single" w:sz="4" w:space="0" w:color="auto"/>
              <w:right w:val="single" w:sz="4" w:space="0" w:color="auto"/>
            </w:tcBorders>
            <w:noWrap/>
            <w:vAlign w:val="center"/>
          </w:tcPr>
          <w:p w14:paraId="50894B12" w14:textId="62E3BF18"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39 562,8</w:t>
            </w:r>
          </w:p>
        </w:tc>
        <w:tc>
          <w:tcPr>
            <w:tcW w:w="1224" w:type="dxa"/>
            <w:tcBorders>
              <w:top w:val="nil"/>
              <w:left w:val="nil"/>
              <w:bottom w:val="single" w:sz="4" w:space="0" w:color="auto"/>
              <w:right w:val="single" w:sz="4" w:space="0" w:color="auto"/>
            </w:tcBorders>
            <w:noWrap/>
            <w:vAlign w:val="center"/>
          </w:tcPr>
          <w:p w14:paraId="3E11D232" w14:textId="2D8AA1B7"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10 543,2</w:t>
            </w:r>
          </w:p>
        </w:tc>
        <w:tc>
          <w:tcPr>
            <w:tcW w:w="1275" w:type="dxa"/>
            <w:tcBorders>
              <w:top w:val="nil"/>
              <w:left w:val="nil"/>
              <w:bottom w:val="single" w:sz="4" w:space="0" w:color="auto"/>
              <w:right w:val="single" w:sz="4" w:space="0" w:color="auto"/>
            </w:tcBorders>
            <w:noWrap/>
            <w:vAlign w:val="center"/>
          </w:tcPr>
          <w:p w14:paraId="4CB9AE24" w14:textId="28E2FFDB"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26,6</w:t>
            </w:r>
          </w:p>
        </w:tc>
        <w:tc>
          <w:tcPr>
            <w:tcW w:w="997" w:type="dxa"/>
            <w:tcBorders>
              <w:top w:val="nil"/>
              <w:left w:val="nil"/>
              <w:bottom w:val="single" w:sz="4" w:space="0" w:color="auto"/>
              <w:right w:val="single" w:sz="4" w:space="0" w:color="auto"/>
            </w:tcBorders>
            <w:noWrap/>
            <w:vAlign w:val="center"/>
          </w:tcPr>
          <w:p w14:paraId="0A5A7D17" w14:textId="31CF2508"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114,6</w:t>
            </w:r>
          </w:p>
        </w:tc>
      </w:tr>
      <w:tr w:rsidR="00215359" w:rsidRPr="0096527E" w14:paraId="121D35E5" w14:textId="77777777" w:rsidTr="28F9800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57BEE79" w14:textId="77777777" w:rsidR="00215359" w:rsidRPr="00602E3C" w:rsidRDefault="00215359" w:rsidP="00215359">
            <w:pPr>
              <w:keepNext/>
              <w:keepLines/>
              <w:spacing w:before="120" w:after="120"/>
              <w:jc w:val="right"/>
              <w:rPr>
                <w:rFonts w:ascii="Times New Roman" w:hAnsi="Times New Roman" w:cs="Times New Roman"/>
                <w:sz w:val="20"/>
                <w:szCs w:val="20"/>
              </w:rPr>
            </w:pPr>
            <w:r w:rsidRPr="5E04AD7D">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7E78424A" w14:textId="292943C2"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44 930,4</w:t>
            </w:r>
          </w:p>
        </w:tc>
        <w:tc>
          <w:tcPr>
            <w:tcW w:w="1134" w:type="dxa"/>
            <w:tcBorders>
              <w:top w:val="nil"/>
              <w:left w:val="nil"/>
              <w:bottom w:val="single" w:sz="4" w:space="0" w:color="auto"/>
              <w:right w:val="single" w:sz="4" w:space="0" w:color="auto"/>
            </w:tcBorders>
            <w:noWrap/>
            <w:vAlign w:val="center"/>
          </w:tcPr>
          <w:p w14:paraId="669402C6" w14:textId="777D48F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11 751,9</w:t>
            </w:r>
          </w:p>
        </w:tc>
        <w:tc>
          <w:tcPr>
            <w:tcW w:w="1217" w:type="dxa"/>
            <w:tcBorders>
              <w:top w:val="nil"/>
              <w:left w:val="nil"/>
              <w:bottom w:val="single" w:sz="4" w:space="0" w:color="auto"/>
              <w:right w:val="single" w:sz="4" w:space="0" w:color="auto"/>
            </w:tcBorders>
            <w:noWrap/>
            <w:vAlign w:val="center"/>
          </w:tcPr>
          <w:p w14:paraId="573B435D" w14:textId="152D5920"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26,2</w:t>
            </w:r>
          </w:p>
        </w:tc>
        <w:tc>
          <w:tcPr>
            <w:tcW w:w="1103" w:type="dxa"/>
            <w:tcBorders>
              <w:top w:val="nil"/>
              <w:left w:val="nil"/>
              <w:bottom w:val="single" w:sz="4" w:space="0" w:color="auto"/>
              <w:right w:val="single" w:sz="4" w:space="0" w:color="auto"/>
            </w:tcBorders>
            <w:noWrap/>
            <w:vAlign w:val="center"/>
          </w:tcPr>
          <w:p w14:paraId="17943409" w14:textId="0F1972A4"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43 781,3</w:t>
            </w:r>
          </w:p>
        </w:tc>
        <w:tc>
          <w:tcPr>
            <w:tcW w:w="1224" w:type="dxa"/>
            <w:tcBorders>
              <w:top w:val="nil"/>
              <w:left w:val="nil"/>
              <w:bottom w:val="single" w:sz="4" w:space="0" w:color="auto"/>
              <w:right w:val="single" w:sz="4" w:space="0" w:color="auto"/>
            </w:tcBorders>
            <w:noWrap/>
            <w:vAlign w:val="center"/>
          </w:tcPr>
          <w:p w14:paraId="2B9CEA4E" w14:textId="3461BF93"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13 963,6</w:t>
            </w:r>
          </w:p>
        </w:tc>
        <w:tc>
          <w:tcPr>
            <w:tcW w:w="1275" w:type="dxa"/>
            <w:tcBorders>
              <w:top w:val="nil"/>
              <w:left w:val="nil"/>
              <w:bottom w:val="single" w:sz="4" w:space="0" w:color="auto"/>
              <w:right w:val="single" w:sz="4" w:space="0" w:color="auto"/>
            </w:tcBorders>
            <w:noWrap/>
            <w:vAlign w:val="center"/>
          </w:tcPr>
          <w:p w14:paraId="3DD56C2E" w14:textId="6F5736CA"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31,9</w:t>
            </w:r>
          </w:p>
        </w:tc>
        <w:tc>
          <w:tcPr>
            <w:tcW w:w="997" w:type="dxa"/>
            <w:tcBorders>
              <w:top w:val="nil"/>
              <w:left w:val="nil"/>
              <w:bottom w:val="single" w:sz="4" w:space="0" w:color="auto"/>
              <w:right w:val="single" w:sz="4" w:space="0" w:color="auto"/>
            </w:tcBorders>
            <w:noWrap/>
            <w:vAlign w:val="center"/>
          </w:tcPr>
          <w:p w14:paraId="3FA4033E" w14:textId="7B60069E" w:rsidR="00215359" w:rsidRPr="007007A3" w:rsidRDefault="00215359" w:rsidP="00215359">
            <w:pPr>
              <w:spacing w:before="120" w:after="120"/>
              <w:jc w:val="right"/>
              <w:rPr>
                <w:rFonts w:ascii="Times New Roman" w:hAnsi="Times New Roman" w:cs="Times New Roman"/>
                <w:sz w:val="20"/>
                <w:szCs w:val="20"/>
              </w:rPr>
            </w:pPr>
            <w:r w:rsidRPr="00755B3B">
              <w:rPr>
                <w:rFonts w:ascii="Garamond" w:hAnsi="Garamond"/>
                <w:sz w:val="20"/>
                <w:szCs w:val="20"/>
              </w:rPr>
              <w:t>118,8</w:t>
            </w:r>
          </w:p>
        </w:tc>
      </w:tr>
    </w:tbl>
    <w:p w14:paraId="7ECF9175" w14:textId="77777777" w:rsidR="00EB62E4" w:rsidRDefault="00EB62E4" w:rsidP="1D3ABBAA">
      <w:pPr>
        <w:widowControl w:val="0"/>
        <w:spacing w:after="120" w:line="254" w:lineRule="auto"/>
        <w:jc w:val="both"/>
        <w:rPr>
          <w:rFonts w:ascii="Times New Roman" w:eastAsia="Times New Roman" w:hAnsi="Times New Roman" w:cs="Times New Roman"/>
          <w:sz w:val="26"/>
          <w:szCs w:val="26"/>
          <w:lang w:eastAsia="hu-HU"/>
        </w:rPr>
      </w:pPr>
    </w:p>
    <w:p w14:paraId="01371788" w14:textId="00FE3B9C" w:rsidR="00EB62E4" w:rsidRDefault="00EB62E4">
      <w:pPr>
        <w:rPr>
          <w:rFonts w:ascii="Times New Roman" w:eastAsia="Times New Roman" w:hAnsi="Times New Roman" w:cs="Times New Roman"/>
          <w:b/>
          <w:bCs/>
          <w:sz w:val="26"/>
          <w:szCs w:val="26"/>
          <w:lang w:eastAsia="hu-HU"/>
        </w:rPr>
      </w:pPr>
      <w:r>
        <w:rPr>
          <w:rFonts w:ascii="Times New Roman" w:eastAsia="Times New Roman" w:hAnsi="Times New Roman" w:cs="Times New Roman"/>
          <w:b/>
          <w:bCs/>
          <w:sz w:val="26"/>
          <w:szCs w:val="26"/>
          <w:lang w:eastAsia="hu-HU"/>
        </w:rPr>
        <w:br w:type="page"/>
      </w:r>
    </w:p>
    <w:p w14:paraId="7B768A93" w14:textId="335AD81F" w:rsidR="00B155FE" w:rsidRPr="00377D59" w:rsidRDefault="5E04AD7D" w:rsidP="5E04AD7D">
      <w:pPr>
        <w:spacing w:after="120" w:line="240" w:lineRule="auto"/>
        <w:jc w:val="center"/>
        <w:rPr>
          <w:rFonts w:ascii="Times New Roman" w:eastAsia="Times New Roman" w:hAnsi="Times New Roman" w:cs="Times New Roman"/>
          <w:b/>
          <w:bCs/>
          <w:sz w:val="26"/>
          <w:szCs w:val="26"/>
          <w:lang w:eastAsia="hu-HU"/>
        </w:rPr>
      </w:pPr>
      <w:r w:rsidRPr="5E04AD7D">
        <w:rPr>
          <w:rFonts w:ascii="Times New Roman" w:eastAsia="Times New Roman" w:hAnsi="Times New Roman" w:cs="Times New Roman"/>
          <w:b/>
          <w:bCs/>
          <w:sz w:val="26"/>
          <w:szCs w:val="26"/>
          <w:lang w:eastAsia="hu-HU"/>
        </w:rPr>
        <w:lastRenderedPageBreak/>
        <w:t>I.</w:t>
      </w:r>
    </w:p>
    <w:p w14:paraId="7B768A94" w14:textId="77777777" w:rsidR="00B155FE" w:rsidRPr="00377D59" w:rsidRDefault="5E04AD7D" w:rsidP="5E04AD7D">
      <w:pPr>
        <w:keepNext/>
        <w:spacing w:after="120" w:line="240" w:lineRule="auto"/>
        <w:jc w:val="center"/>
        <w:outlineLvl w:val="1"/>
        <w:rPr>
          <w:rFonts w:ascii="Times New Roman" w:eastAsia="Times New Roman" w:hAnsi="Times New Roman" w:cs="Times New Roman"/>
          <w:b/>
          <w:bCs/>
          <w:caps/>
          <w:sz w:val="26"/>
          <w:szCs w:val="26"/>
          <w:lang w:eastAsia="hu-HU"/>
        </w:rPr>
      </w:pPr>
      <w:r w:rsidRPr="5E04AD7D">
        <w:rPr>
          <w:rFonts w:ascii="Times New Roman" w:eastAsia="Times New Roman" w:hAnsi="Times New Roman" w:cs="Times New Roman"/>
          <w:b/>
          <w:bCs/>
          <w:caps/>
          <w:sz w:val="26"/>
          <w:szCs w:val="26"/>
          <w:lang w:eastAsia="hu-HU"/>
        </w:rPr>
        <w:t xml:space="preserve">A központi alrendszer pénzügyi folyamatainak </w:t>
      </w:r>
      <w:r w:rsidR="1FABBDF6">
        <w:br/>
      </w:r>
      <w:r w:rsidRPr="5E04AD7D">
        <w:rPr>
          <w:rFonts w:ascii="Times New Roman" w:eastAsia="Times New Roman" w:hAnsi="Times New Roman" w:cs="Times New Roman"/>
          <w:b/>
          <w:bCs/>
          <w:caps/>
          <w:sz w:val="26"/>
          <w:szCs w:val="26"/>
          <w:lang w:eastAsia="hu-HU"/>
        </w:rPr>
        <w:t>alakulása</w:t>
      </w:r>
    </w:p>
    <w:p w14:paraId="6D461365" w14:textId="08DC9FC2" w:rsidR="0004032B" w:rsidRPr="00377D59" w:rsidRDefault="5E04AD7D" w:rsidP="5E04AD7D">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5E04AD7D">
        <w:rPr>
          <w:rFonts w:ascii="Times New Roman" w:eastAsia="Times New Roman" w:hAnsi="Times New Roman" w:cs="Times New Roman"/>
          <w:b/>
          <w:bCs/>
          <w:smallCaps/>
          <w:sz w:val="28"/>
          <w:szCs w:val="28"/>
          <w:lang w:eastAsia="hu-HU"/>
        </w:rPr>
        <w:t>A főbb bevételek</w:t>
      </w:r>
    </w:p>
    <w:p w14:paraId="1C04A740" w14:textId="223EEB0A" w:rsidR="008E34AF" w:rsidRDefault="5E04AD7D" w:rsidP="5E04AD7D">
      <w:pPr>
        <w:jc w:val="both"/>
        <w:rPr>
          <w:rFonts w:ascii="Times New Roman" w:eastAsia="Times New Roman" w:hAnsi="Times New Roman" w:cs="Times New Roman"/>
          <w:b/>
          <w:bCs/>
          <w:sz w:val="26"/>
          <w:szCs w:val="26"/>
        </w:rPr>
      </w:pPr>
      <w:r w:rsidRPr="5E04AD7D">
        <w:rPr>
          <w:rFonts w:ascii="Times New Roman" w:eastAsia="Times New Roman" w:hAnsi="Times New Roman" w:cs="Times New Roman"/>
          <w:b/>
          <w:bCs/>
          <w:sz w:val="26"/>
          <w:szCs w:val="26"/>
        </w:rPr>
        <w:t xml:space="preserve">A </w:t>
      </w:r>
      <w:r w:rsidR="00215359" w:rsidRPr="00215359">
        <w:rPr>
          <w:rFonts w:ascii="Times New Roman" w:eastAsia="Times New Roman" w:hAnsi="Times New Roman" w:cs="Times New Roman"/>
          <w:b/>
          <w:bCs/>
          <w:sz w:val="26"/>
          <w:szCs w:val="26"/>
        </w:rPr>
        <w:t>központi alrendszer március végi 10</w:t>
      </w:r>
      <w:r w:rsidR="00215359">
        <w:rPr>
          <w:rFonts w:ascii="Times New Roman" w:eastAsia="Times New Roman" w:hAnsi="Times New Roman" w:cs="Times New Roman"/>
          <w:b/>
          <w:bCs/>
          <w:sz w:val="26"/>
          <w:szCs w:val="26"/>
        </w:rPr>
        <w:t> </w:t>
      </w:r>
      <w:r w:rsidR="00215359" w:rsidRPr="00215359">
        <w:rPr>
          <w:rFonts w:ascii="Times New Roman" w:eastAsia="Times New Roman" w:hAnsi="Times New Roman" w:cs="Times New Roman"/>
          <w:b/>
          <w:bCs/>
          <w:sz w:val="26"/>
          <w:szCs w:val="26"/>
        </w:rPr>
        <w:t>543,2 milliárd forint összegű bevételei az előző év azonos időszakához képest 1345,4 milliárd forinttal, 14,6%-kal magasabb összegben alakultak</w:t>
      </w:r>
      <w:r w:rsidRPr="5E04AD7D">
        <w:rPr>
          <w:rFonts w:ascii="Times New Roman" w:eastAsia="Times New Roman" w:hAnsi="Times New Roman" w:cs="Times New Roman"/>
          <w:b/>
          <w:bCs/>
          <w:sz w:val="26"/>
          <w:szCs w:val="26"/>
        </w:rPr>
        <w:t>.</w:t>
      </w:r>
    </w:p>
    <w:p w14:paraId="6BBE59DE" w14:textId="61CC23BA" w:rsidR="00CF551C" w:rsidRDefault="00527154" w:rsidP="00C11940">
      <w:pPr>
        <w:pStyle w:val="NormlWeb"/>
        <w:spacing w:before="0" w:beforeAutospacing="0" w:after="120" w:afterAutospacing="0"/>
        <w:jc w:val="center"/>
      </w:pPr>
      <w:r w:rsidRPr="00527154">
        <w:rPr>
          <w:noProof/>
        </w:rPr>
        <w:drawing>
          <wp:inline distT="0" distB="0" distL="0" distR="0" wp14:anchorId="6F83840A" wp14:editId="20E4D861">
            <wp:extent cx="5940425" cy="2414016"/>
            <wp:effectExtent l="0" t="0" r="3175" b="5715"/>
            <wp:docPr id="1926562768" name="Kép 1" descr="A képen diagram, szöveg,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62768" name="Kép 1" descr="A képen diagram, szöveg, képernyőkép, kör látható&#10;&#10;Előfordulhat, hogy a mesterséges intelligencia által létrehozott tartalom helytelen."/>
                    <pic:cNvPicPr/>
                  </pic:nvPicPr>
                  <pic:blipFill>
                    <a:blip r:embed="rId14"/>
                    <a:stretch>
                      <a:fillRect/>
                    </a:stretch>
                  </pic:blipFill>
                  <pic:spPr>
                    <a:xfrm>
                      <a:off x="0" y="0"/>
                      <a:ext cx="5944560" cy="2415696"/>
                    </a:xfrm>
                    <a:prstGeom prst="rect">
                      <a:avLst/>
                    </a:prstGeom>
                  </pic:spPr>
                </pic:pic>
              </a:graphicData>
            </a:graphic>
          </wp:inline>
        </w:drawing>
      </w:r>
    </w:p>
    <w:p w14:paraId="6A680585" w14:textId="66F3C6DF" w:rsidR="00A948A8" w:rsidRPr="00A948A8" w:rsidRDefault="5E04AD7D" w:rsidP="008E1174">
      <w:pPr>
        <w:jc w:val="both"/>
        <w:rPr>
          <w:rFonts w:ascii="Times New Roman" w:eastAsia="Times New Roman" w:hAnsi="Times New Roman" w:cs="Times New Roman"/>
          <w:sz w:val="26"/>
          <w:szCs w:val="26"/>
          <w:highlight w:val="yellow"/>
          <w:lang w:eastAsia="hu-HU"/>
        </w:rPr>
      </w:pPr>
      <w:r w:rsidRPr="5E04AD7D">
        <w:rPr>
          <w:rFonts w:ascii="Times New Roman" w:eastAsia="Times New Roman" w:hAnsi="Times New Roman" w:cs="Times New Roman"/>
          <w:b/>
          <w:bCs/>
          <w:sz w:val="26"/>
          <w:szCs w:val="26"/>
          <w:lang w:eastAsia="hu-HU"/>
        </w:rPr>
        <w:t xml:space="preserve">Társasági adó </w:t>
      </w:r>
      <w:r w:rsidRPr="5E04AD7D">
        <w:rPr>
          <w:rFonts w:ascii="Times New Roman" w:eastAsia="Times New Roman" w:hAnsi="Times New Roman" w:cs="Times New Roman"/>
          <w:sz w:val="26"/>
          <w:szCs w:val="26"/>
          <w:lang w:eastAsia="hu-HU"/>
        </w:rPr>
        <w:t>jogcímen a 2026. év első három hónapjában 210,2 milliárd forint realizálódott, amely az előző év egyenlegét 5,7 milliárd forinttal haladta meg. A</w:t>
      </w:r>
      <w:r w:rsidR="00527154">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bázisévhez viszonyított eltérés hatterében az előlegek magasabb teljesülése áll.</w:t>
      </w:r>
    </w:p>
    <w:p w14:paraId="33A8AEBC" w14:textId="77777777" w:rsidR="00A948A8" w:rsidRPr="00A948A8" w:rsidRDefault="28F9800E" w:rsidP="008E1174">
      <w:pPr>
        <w:jc w:val="both"/>
        <w:rPr>
          <w:rFonts w:ascii="Times New Roman" w:eastAsia="Times New Roman" w:hAnsi="Times New Roman" w:cs="Times New Roman"/>
          <w:sz w:val="26"/>
          <w:szCs w:val="26"/>
          <w:highlight w:val="yellow"/>
          <w:lang w:eastAsia="hu-HU"/>
        </w:rPr>
      </w:pPr>
      <w:r w:rsidRPr="28F9800E">
        <w:rPr>
          <w:rFonts w:ascii="Times New Roman" w:eastAsia="Times New Roman" w:hAnsi="Times New Roman" w:cs="Times New Roman"/>
          <w:sz w:val="26"/>
          <w:szCs w:val="26"/>
          <w:lang w:eastAsia="hu-HU"/>
        </w:rPr>
        <w:t>A</w:t>
      </w:r>
      <w:r w:rsidRPr="28F9800E">
        <w:rPr>
          <w:rFonts w:ascii="Times New Roman" w:eastAsia="Times New Roman" w:hAnsi="Times New Roman" w:cs="Times New Roman"/>
          <w:b/>
          <w:bCs/>
          <w:sz w:val="26"/>
          <w:szCs w:val="26"/>
          <w:lang w:eastAsia="hu-HU"/>
        </w:rPr>
        <w:t xml:space="preserve"> pénzügyi szervezetek befizetései</w:t>
      </w:r>
      <w:r w:rsidRPr="28F9800E">
        <w:rPr>
          <w:rFonts w:ascii="Times New Roman" w:eastAsia="Times New Roman" w:hAnsi="Times New Roman" w:cs="Times New Roman"/>
          <w:sz w:val="26"/>
          <w:szCs w:val="26"/>
          <w:lang w:eastAsia="hu-HU"/>
        </w:rPr>
        <w:t xml:space="preserve"> mérlegsoron a 2026. év első három hónapjában 33,7 milliárd forint teljesült, amely az előző év egyenlegét 1,0 milliárd forinttal haladta meg. Ennek oka a pénzügyi szervezetek különadójához köthető magasabb pénzforgalmi bevételek.</w:t>
      </w:r>
    </w:p>
    <w:p w14:paraId="69443FF4" w14:textId="133259E5" w:rsidR="00A948A8" w:rsidRPr="00A948A8" w:rsidRDefault="5E04AD7D" w:rsidP="008E1174">
      <w:pPr>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A</w:t>
      </w:r>
      <w:r w:rsidRPr="5E04AD7D">
        <w:rPr>
          <w:rFonts w:ascii="Times New Roman" w:eastAsia="Times New Roman" w:hAnsi="Times New Roman" w:cs="Times New Roman"/>
          <w:b/>
          <w:bCs/>
          <w:sz w:val="26"/>
          <w:szCs w:val="26"/>
          <w:lang w:eastAsia="hu-HU"/>
        </w:rPr>
        <w:t xml:space="preserve"> kisadózók tételes adójából</w:t>
      </w:r>
      <w:r w:rsidRPr="5E04AD7D">
        <w:rPr>
          <w:rFonts w:ascii="Times New Roman" w:eastAsia="Times New Roman" w:hAnsi="Times New Roman" w:cs="Times New Roman"/>
          <w:sz w:val="26"/>
          <w:szCs w:val="26"/>
          <w:lang w:eastAsia="hu-HU"/>
        </w:rPr>
        <w:t xml:space="preserve"> 2026 első három hónapjában a költségvetésnek 18,6 milliárd forint bevétele keletkezett, amely 1,2 milliárd forinttal több az egy évvel korábbinál. Ennek oka az adónemet választók magasabb létszáma.</w:t>
      </w:r>
    </w:p>
    <w:p w14:paraId="3C9A1AC7" w14:textId="3E0FEB8C" w:rsidR="00A948A8" w:rsidRDefault="5E04AD7D" w:rsidP="008E1174">
      <w:pPr>
        <w:jc w:val="both"/>
        <w:rPr>
          <w:rFonts w:ascii="Times New Roman" w:eastAsia="Times New Roman" w:hAnsi="Times New Roman" w:cs="Times New Roman"/>
          <w:b/>
          <w:bCs/>
          <w:sz w:val="26"/>
          <w:szCs w:val="26"/>
          <w:lang w:eastAsia="hu-HU"/>
        </w:rPr>
      </w:pPr>
      <w:r w:rsidRPr="5E04AD7D">
        <w:rPr>
          <w:rFonts w:ascii="Times New Roman" w:eastAsia="Times New Roman" w:hAnsi="Times New Roman" w:cs="Times New Roman"/>
          <w:sz w:val="26"/>
          <w:szCs w:val="26"/>
          <w:lang w:eastAsia="hu-HU"/>
        </w:rPr>
        <w:t>A</w:t>
      </w:r>
      <w:r w:rsidRPr="5E04AD7D">
        <w:rPr>
          <w:rFonts w:ascii="Times New Roman" w:eastAsia="Times New Roman" w:hAnsi="Times New Roman" w:cs="Times New Roman"/>
          <w:b/>
          <w:bCs/>
          <w:sz w:val="26"/>
          <w:szCs w:val="26"/>
          <w:lang w:eastAsia="hu-HU"/>
        </w:rPr>
        <w:t xml:space="preserve"> kisvállalati adóból</w:t>
      </w:r>
      <w:r w:rsidRPr="5E04AD7D">
        <w:rPr>
          <w:rFonts w:ascii="Times New Roman" w:eastAsia="Times New Roman" w:hAnsi="Times New Roman" w:cs="Times New Roman"/>
          <w:sz w:val="26"/>
          <w:szCs w:val="26"/>
          <w:lang w:eastAsia="hu-HU"/>
        </w:rPr>
        <w:t xml:space="preserve"> származó bevétel a 2026. év első három hónapjában 58,1 milliárd forint volt, amely 7,6 milliárd forinttal magasabb az előző év egyenlegénél. Ennek oka az adóalanyok számának jelentős mértékű bővülése. 2026 márciusában a KIVA alanyok száma 106,2 ezer</w:t>
      </w:r>
      <w:r w:rsidR="008E1174">
        <w:rPr>
          <w:rFonts w:ascii="Times New Roman" w:eastAsia="Times New Roman" w:hAnsi="Times New Roman" w:cs="Times New Roman"/>
          <w:sz w:val="26"/>
          <w:szCs w:val="26"/>
          <w:lang w:eastAsia="hu-HU"/>
        </w:rPr>
        <w:t xml:space="preserve"> volt</w:t>
      </w:r>
      <w:r w:rsidRPr="5E04AD7D">
        <w:rPr>
          <w:rFonts w:ascii="Times New Roman" w:eastAsia="Times New Roman" w:hAnsi="Times New Roman" w:cs="Times New Roman"/>
          <w:sz w:val="26"/>
          <w:szCs w:val="26"/>
          <w:lang w:eastAsia="hu-HU"/>
        </w:rPr>
        <w:t>.</w:t>
      </w:r>
    </w:p>
    <w:p w14:paraId="092B7669" w14:textId="20176568" w:rsidR="008E34AF" w:rsidRPr="00452639" w:rsidRDefault="28F9800E" w:rsidP="008E1174">
      <w:pPr>
        <w:jc w:val="both"/>
        <w:rPr>
          <w:rFonts w:ascii="Times New Roman" w:eastAsia="Times New Roman" w:hAnsi="Times New Roman" w:cs="Times New Roman"/>
          <w:sz w:val="26"/>
          <w:szCs w:val="26"/>
        </w:rPr>
      </w:pPr>
      <w:r w:rsidRPr="28F9800E">
        <w:rPr>
          <w:rFonts w:ascii="Times New Roman" w:eastAsia="Times New Roman" w:hAnsi="Times New Roman" w:cs="Times New Roman"/>
          <w:sz w:val="26"/>
          <w:szCs w:val="26"/>
        </w:rPr>
        <w:t xml:space="preserve">A </w:t>
      </w:r>
      <w:r w:rsidRPr="28F9800E">
        <w:rPr>
          <w:rFonts w:ascii="Times New Roman" w:eastAsia="Times New Roman" w:hAnsi="Times New Roman" w:cs="Times New Roman"/>
          <w:b/>
          <w:bCs/>
          <w:sz w:val="26"/>
          <w:szCs w:val="26"/>
        </w:rPr>
        <w:t>bányajáradék-bevétel</w:t>
      </w:r>
      <w:r w:rsidRPr="28F9800E">
        <w:rPr>
          <w:rFonts w:ascii="Times New Roman" w:eastAsia="Times New Roman" w:hAnsi="Times New Roman" w:cs="Times New Roman"/>
          <w:sz w:val="26"/>
          <w:szCs w:val="26"/>
        </w:rPr>
        <w:t xml:space="preserve"> 2026 első három hónapjában 16,5 milliárd forint volt, amely 17,9 milliárd forinttal teljesült alacsonyabban az előző év azonos időszakához képest, amelynek fő oka a bányajáradék számításához kapcsolódó makroparaméterek (olajár, gázár, árfolyamok) alakulásának együttes eredője.</w:t>
      </w:r>
    </w:p>
    <w:p w14:paraId="5322C39E" w14:textId="199CF77B" w:rsidR="72AFD5C4" w:rsidRPr="00452639" w:rsidRDefault="5E04AD7D" w:rsidP="008E1174">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útdíjakból származó bevétel</w:t>
      </w:r>
      <w:r w:rsidRPr="5E04AD7D">
        <w:rPr>
          <w:rFonts w:ascii="Times New Roman" w:eastAsia="Times New Roman" w:hAnsi="Times New Roman" w:cs="Times New Roman"/>
          <w:sz w:val="26"/>
          <w:szCs w:val="26"/>
        </w:rPr>
        <w:t xml:space="preserve"> 2024-től külön mérlegsoron jelenik meg, mely az elektronikus útdíj rendszer és az időalapú útdíj rendszer bevételeinek együttes összegét tartalmazza. Az útdíjakból 2026 első három hónapjában 179,1 milliárd forint költségvetési </w:t>
      </w:r>
      <w:r w:rsidRPr="5E04AD7D">
        <w:rPr>
          <w:rFonts w:ascii="Times New Roman" w:eastAsia="Times New Roman" w:hAnsi="Times New Roman" w:cs="Times New Roman"/>
          <w:sz w:val="26"/>
          <w:szCs w:val="26"/>
        </w:rPr>
        <w:lastRenderedPageBreak/>
        <w:t>bevétel teljesült ezen a mérlegsoron, amely 13,</w:t>
      </w:r>
      <w:r w:rsidR="00D95E94">
        <w:rPr>
          <w:rFonts w:ascii="Times New Roman" w:eastAsia="Times New Roman" w:hAnsi="Times New Roman" w:cs="Times New Roman"/>
          <w:sz w:val="26"/>
          <w:szCs w:val="26"/>
        </w:rPr>
        <w:t>4</w:t>
      </w:r>
      <w:r w:rsidRPr="5E04AD7D">
        <w:rPr>
          <w:rFonts w:ascii="Times New Roman" w:eastAsia="Times New Roman" w:hAnsi="Times New Roman" w:cs="Times New Roman"/>
          <w:sz w:val="26"/>
          <w:szCs w:val="26"/>
        </w:rPr>
        <w:t> milliárd forinttal magasabb az előző év azonos időszakához viszonyítva.</w:t>
      </w:r>
    </w:p>
    <w:p w14:paraId="685BE235" w14:textId="4823BF83" w:rsidR="008A66DB" w:rsidRPr="00671F24" w:rsidRDefault="28F9800E" w:rsidP="008E1174">
      <w:pPr>
        <w:jc w:val="both"/>
        <w:rPr>
          <w:rFonts w:ascii="Times New Roman" w:eastAsia="Times New Roman" w:hAnsi="Times New Roman" w:cs="Times New Roman"/>
          <w:sz w:val="26"/>
          <w:szCs w:val="26"/>
        </w:rPr>
      </w:pPr>
      <w:r w:rsidRPr="28F9800E">
        <w:rPr>
          <w:rFonts w:ascii="Times New Roman" w:eastAsia="Times New Roman" w:hAnsi="Times New Roman" w:cs="Times New Roman"/>
          <w:b/>
          <w:bCs/>
          <w:sz w:val="26"/>
          <w:szCs w:val="26"/>
        </w:rPr>
        <w:t xml:space="preserve">Egyéb központosított bevételekből </w:t>
      </w:r>
      <w:r w:rsidRPr="28F9800E">
        <w:rPr>
          <w:rFonts w:ascii="Times New Roman" w:eastAsia="Times New Roman" w:hAnsi="Times New Roman" w:cs="Times New Roman"/>
          <w:sz w:val="26"/>
          <w:szCs w:val="26"/>
        </w:rPr>
        <w:t>március végéig 52,0 milliárd forint bevétel teljesült, amely a törvényi előirányzat 28,5%-ának felel meg. Ezen belül kiemelhető a bírságbevételekből befolyt 22,7 milliárd forint.</w:t>
      </w:r>
    </w:p>
    <w:p w14:paraId="5FB0C4D4" w14:textId="303DD562" w:rsidR="00A948A8" w:rsidRPr="00A948A8" w:rsidRDefault="28F9800E" w:rsidP="008E1174">
      <w:pPr>
        <w:jc w:val="both"/>
        <w:rPr>
          <w:rFonts w:ascii="Times New Roman" w:eastAsia="Times New Roman" w:hAnsi="Times New Roman" w:cs="Times New Roman"/>
          <w:b/>
          <w:bCs/>
          <w:sz w:val="26"/>
          <w:szCs w:val="26"/>
          <w:highlight w:val="yellow"/>
          <w:lang w:eastAsia="hu-HU"/>
        </w:rPr>
      </w:pPr>
      <w:r w:rsidRPr="28F9800E">
        <w:rPr>
          <w:rFonts w:ascii="Times New Roman" w:eastAsia="Times New Roman" w:hAnsi="Times New Roman" w:cs="Times New Roman"/>
          <w:sz w:val="26"/>
          <w:szCs w:val="26"/>
          <w:lang w:eastAsia="hu-HU"/>
        </w:rPr>
        <w:t>Az</w:t>
      </w:r>
      <w:r w:rsidRPr="28F9800E">
        <w:rPr>
          <w:rFonts w:ascii="Times New Roman" w:eastAsia="Times New Roman" w:hAnsi="Times New Roman" w:cs="Times New Roman"/>
          <w:b/>
          <w:bCs/>
          <w:sz w:val="26"/>
          <w:szCs w:val="26"/>
          <w:lang w:eastAsia="hu-HU"/>
        </w:rPr>
        <w:t xml:space="preserve"> energia ágazat befizetései </w:t>
      </w:r>
      <w:r w:rsidRPr="28F9800E">
        <w:rPr>
          <w:rFonts w:ascii="Times New Roman" w:eastAsia="Times New Roman" w:hAnsi="Times New Roman" w:cs="Times New Roman"/>
          <w:sz w:val="26"/>
          <w:szCs w:val="26"/>
          <w:lang w:eastAsia="hu-HU"/>
        </w:rPr>
        <w:t xml:space="preserve">jogcímen </w:t>
      </w:r>
      <w:r w:rsidR="00D95E94">
        <w:rPr>
          <w:rFonts w:ascii="Times New Roman" w:eastAsia="Times New Roman" w:hAnsi="Times New Roman" w:cs="Times New Roman"/>
          <w:sz w:val="26"/>
          <w:szCs w:val="26"/>
          <w:lang w:eastAsia="hu-HU"/>
        </w:rPr>
        <w:t xml:space="preserve">a </w:t>
      </w:r>
      <w:r w:rsidRPr="28F9800E">
        <w:rPr>
          <w:rFonts w:ascii="Times New Roman" w:eastAsia="Times New Roman" w:hAnsi="Times New Roman" w:cs="Times New Roman"/>
          <w:sz w:val="26"/>
          <w:szCs w:val="26"/>
          <w:lang w:eastAsia="hu-HU"/>
        </w:rPr>
        <w:t xml:space="preserve">2026. év első három hónapjában 51,3 milliárd forint pénzforgalom teljesült, amely az előző év egyenlegét 4,4 milliárd forinttal haladta meg. A magasabb teljesülés hátterében az energiaellátók különadójának márciusi befizetése áll, amelyet ugyanakkor mérsékelt az adókulcs csökkenése és az Ural-Brent spread különadó bevételeinek elmaradása. </w:t>
      </w:r>
    </w:p>
    <w:p w14:paraId="1B7BD182" w14:textId="04F9ABF9" w:rsidR="00A948A8" w:rsidRPr="00A948A8" w:rsidRDefault="5E04AD7D" w:rsidP="008E1174">
      <w:pPr>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b/>
          <w:bCs/>
          <w:sz w:val="26"/>
          <w:szCs w:val="26"/>
          <w:lang w:eastAsia="hu-HU"/>
        </w:rPr>
        <w:t xml:space="preserve">Kiskereskedelmi adó </w:t>
      </w:r>
      <w:r w:rsidRPr="5E04AD7D">
        <w:rPr>
          <w:rFonts w:ascii="Times New Roman" w:eastAsia="Times New Roman" w:hAnsi="Times New Roman" w:cs="Times New Roman"/>
          <w:sz w:val="26"/>
          <w:szCs w:val="26"/>
          <w:lang w:eastAsia="hu-HU"/>
        </w:rPr>
        <w:t xml:space="preserve">jogcímen </w:t>
      </w:r>
      <w:r w:rsidR="00D95E94">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sz w:val="26"/>
          <w:szCs w:val="26"/>
          <w:lang w:eastAsia="hu-HU"/>
        </w:rPr>
        <w:t>2026. év első három hónapjában -1,8 milliárd forint bevétel teljesült, amely a 2025. évi egyenlegénél 6,8 milliárd forinttal alacsonyabb. A</w:t>
      </w:r>
      <w:r w:rsidR="00F17FAE">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 xml:space="preserve">bevételek alakulásának hátterében a 2025. </w:t>
      </w:r>
      <w:r w:rsidR="00336470">
        <w:rPr>
          <w:rFonts w:ascii="Times New Roman" w:eastAsia="Times New Roman" w:hAnsi="Times New Roman" w:cs="Times New Roman"/>
          <w:sz w:val="26"/>
          <w:szCs w:val="26"/>
          <w:lang w:eastAsia="hu-HU"/>
        </w:rPr>
        <w:t xml:space="preserve">évi </w:t>
      </w:r>
      <w:r w:rsidRPr="5E04AD7D">
        <w:rPr>
          <w:rFonts w:ascii="Times New Roman" w:eastAsia="Times New Roman" w:hAnsi="Times New Roman" w:cs="Times New Roman"/>
          <w:sz w:val="26"/>
          <w:szCs w:val="26"/>
          <w:lang w:eastAsia="hu-HU"/>
        </w:rPr>
        <w:t xml:space="preserve">adóévre várható fizetendő kiskereskedelmi adót meghaladóan megfizetett kiskereskedelmi adóelőlegek visszatérítése áll. </w:t>
      </w:r>
    </w:p>
    <w:p w14:paraId="78212F8E" w14:textId="5362568F" w:rsidR="00A948A8" w:rsidRPr="00A948A8" w:rsidRDefault="5E04AD7D" w:rsidP="008E1174">
      <w:pPr>
        <w:widowControl w:val="0"/>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 xml:space="preserve">rehabilitációs hozzájárulásból </w:t>
      </w:r>
      <w:r w:rsidRPr="5E04AD7D">
        <w:rPr>
          <w:rFonts w:ascii="Times New Roman" w:eastAsia="Times New Roman" w:hAnsi="Times New Roman" w:cs="Times New Roman"/>
          <w:sz w:val="26"/>
          <w:szCs w:val="26"/>
          <w:lang w:eastAsia="hu-HU"/>
        </w:rPr>
        <w:t>származó bevétel 2026 első három hónapjában 48,5 milliárd forint volt, amely 2,7 milliárd forinttal magasabb az egy évvel korábbi összegnél. Ennek oka a minimálbérnek, így az adó mértékének az emelkedése, valamint az éves elszámoláshoz köthető magas bázisidőszaki befizetések.</w:t>
      </w:r>
    </w:p>
    <w:p w14:paraId="029367B0" w14:textId="2C2A57CB" w:rsidR="00E20C14" w:rsidRDefault="5E04AD7D" w:rsidP="008E1174">
      <w:pPr>
        <w:widowControl w:val="0"/>
        <w:tabs>
          <w:tab w:val="left" w:pos="3105"/>
        </w:tabs>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Az első negyedévben</w:t>
      </w:r>
      <w:r w:rsidRPr="5E04AD7D">
        <w:rPr>
          <w:rFonts w:ascii="Times New Roman" w:eastAsia="Times New Roman" w:hAnsi="Times New Roman" w:cs="Times New Roman"/>
          <w:b/>
          <w:bCs/>
          <w:sz w:val="26"/>
          <w:szCs w:val="26"/>
          <w:lang w:eastAsia="hu-HU"/>
        </w:rPr>
        <w:t xml:space="preserve"> általános forgalmi adóból</w:t>
      </w:r>
      <w:r w:rsidRPr="5E04AD7D">
        <w:rPr>
          <w:rFonts w:ascii="Times New Roman" w:eastAsia="Times New Roman" w:hAnsi="Times New Roman" w:cs="Times New Roman"/>
          <w:sz w:val="26"/>
          <w:szCs w:val="26"/>
          <w:lang w:eastAsia="hu-HU"/>
        </w:rPr>
        <w:t xml:space="preserve"> 1988,2</w:t>
      </w:r>
      <w:r w:rsidRPr="5E04AD7D">
        <w:rPr>
          <w:rFonts w:ascii="Times New Roman" w:eastAsia="Times New Roman" w:hAnsi="Times New Roman" w:cs="Times New Roman"/>
          <w:color w:val="000000" w:themeColor="text1"/>
          <w:sz w:val="26"/>
          <w:szCs w:val="26"/>
          <w:lang w:eastAsia="hu-HU"/>
        </w:rPr>
        <w:t> </w:t>
      </w:r>
      <w:r w:rsidRPr="5E04AD7D">
        <w:rPr>
          <w:rFonts w:ascii="Times New Roman" w:eastAsia="Times New Roman" w:hAnsi="Times New Roman" w:cs="Times New Roman"/>
          <w:sz w:val="26"/>
          <w:szCs w:val="26"/>
          <w:lang w:eastAsia="hu-HU"/>
        </w:rPr>
        <w:t>milliárd forint bevétele keletkezett a költségvetésnek, ami az egy évvel korábbi bevételt 75,1</w:t>
      </w:r>
      <w:r w:rsidRPr="5E04AD7D">
        <w:rPr>
          <w:rFonts w:ascii="Times New Roman" w:eastAsia="Times New Roman" w:hAnsi="Times New Roman" w:cs="Times New Roman"/>
          <w:color w:val="000000" w:themeColor="text1"/>
          <w:sz w:val="26"/>
          <w:szCs w:val="26"/>
          <w:lang w:eastAsia="hu-HU"/>
        </w:rPr>
        <w:t> </w:t>
      </w:r>
      <w:r w:rsidRPr="5E04AD7D">
        <w:rPr>
          <w:rFonts w:ascii="Times New Roman" w:eastAsia="Times New Roman" w:hAnsi="Times New Roman" w:cs="Times New Roman"/>
          <w:sz w:val="26"/>
          <w:szCs w:val="26"/>
          <w:lang w:eastAsia="hu-HU"/>
        </w:rPr>
        <w:t>milliárd forinttal haladja meg.</w:t>
      </w:r>
    </w:p>
    <w:tbl>
      <w:tblPr>
        <w:tblW w:w="6676" w:type="dxa"/>
        <w:jc w:val="center"/>
        <w:tblCellMar>
          <w:left w:w="70" w:type="dxa"/>
          <w:right w:w="70" w:type="dxa"/>
        </w:tblCellMar>
        <w:tblLook w:val="04A0" w:firstRow="1" w:lastRow="0" w:firstColumn="1" w:lastColumn="0" w:noHBand="0" w:noVBand="1"/>
      </w:tblPr>
      <w:tblGrid>
        <w:gridCol w:w="1787"/>
        <w:gridCol w:w="1300"/>
        <w:gridCol w:w="1675"/>
        <w:gridCol w:w="1110"/>
        <w:gridCol w:w="804"/>
      </w:tblGrid>
      <w:tr w:rsidR="00A948A8" w:rsidRPr="00A948A8" w14:paraId="02959B8C" w14:textId="77777777" w:rsidTr="00F17FAE">
        <w:trPr>
          <w:trHeight w:val="315"/>
          <w:jc w:val="center"/>
        </w:trPr>
        <w:tc>
          <w:tcPr>
            <w:tcW w:w="6676" w:type="dxa"/>
            <w:gridSpan w:val="5"/>
            <w:tcBorders>
              <w:top w:val="nil"/>
              <w:left w:val="nil"/>
              <w:bottom w:val="single" w:sz="4" w:space="0" w:color="auto"/>
              <w:right w:val="nil"/>
            </w:tcBorders>
            <w:noWrap/>
            <w:vAlign w:val="center"/>
            <w:hideMark/>
          </w:tcPr>
          <w:p w14:paraId="79CB2D4B" w14:textId="77777777" w:rsidR="00A948A8" w:rsidRPr="00A948A8" w:rsidRDefault="5E04AD7D" w:rsidP="00F17FAE">
            <w:pPr>
              <w:spacing w:after="120"/>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Általános forgalmi adó bevétel alakulása (milliárd forint)</w:t>
            </w:r>
          </w:p>
        </w:tc>
      </w:tr>
      <w:tr w:rsidR="008E1174" w:rsidRPr="00A948A8" w14:paraId="11BA4AFD" w14:textId="77777777" w:rsidTr="008E1174">
        <w:trPr>
          <w:trHeight w:val="345"/>
          <w:jc w:val="center"/>
        </w:trPr>
        <w:tc>
          <w:tcPr>
            <w:tcW w:w="178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07D02BB" w14:textId="77777777"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Megnevezés</w:t>
            </w:r>
          </w:p>
        </w:tc>
        <w:tc>
          <w:tcPr>
            <w:tcW w:w="1300"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0F81926" w14:textId="77777777" w:rsidR="008E1174" w:rsidRPr="00A948A8" w:rsidRDefault="008E1174" w:rsidP="28F9800E">
            <w:pPr>
              <w:spacing w:after="0" w:line="240" w:lineRule="auto"/>
              <w:jc w:val="center"/>
              <w:rPr>
                <w:rFonts w:ascii="Times New Roman" w:eastAsia="Times New Roman" w:hAnsi="Times New Roman" w:cs="Times New Roman"/>
                <w:b/>
                <w:bCs/>
                <w:color w:val="000000" w:themeColor="text1"/>
                <w:lang w:eastAsia="hu-HU"/>
              </w:rPr>
            </w:pPr>
            <w:r w:rsidRPr="28F9800E">
              <w:rPr>
                <w:rFonts w:ascii="Times New Roman" w:eastAsia="Times New Roman" w:hAnsi="Times New Roman" w:cs="Times New Roman"/>
                <w:b/>
                <w:bCs/>
                <w:color w:val="000000" w:themeColor="text1"/>
                <w:lang w:eastAsia="hu-HU"/>
              </w:rPr>
              <w:t>2025.</w:t>
            </w:r>
          </w:p>
          <w:p w14:paraId="16DE949C" w14:textId="58E99DCC"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I-III. hó</w:t>
            </w:r>
          </w:p>
        </w:tc>
        <w:tc>
          <w:tcPr>
            <w:tcW w:w="1675"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16F523FA" w14:textId="77777777" w:rsidR="008E1174" w:rsidRPr="00A948A8" w:rsidRDefault="008E1174" w:rsidP="28F9800E">
            <w:pPr>
              <w:spacing w:after="0" w:line="240" w:lineRule="auto"/>
              <w:jc w:val="center"/>
              <w:rPr>
                <w:rFonts w:ascii="Times New Roman" w:eastAsia="Times New Roman" w:hAnsi="Times New Roman" w:cs="Times New Roman"/>
                <w:b/>
                <w:bCs/>
                <w:color w:val="000000" w:themeColor="text1"/>
                <w:lang w:eastAsia="hu-HU"/>
              </w:rPr>
            </w:pPr>
            <w:r w:rsidRPr="28F9800E">
              <w:rPr>
                <w:rFonts w:ascii="Times New Roman" w:eastAsia="Times New Roman" w:hAnsi="Times New Roman" w:cs="Times New Roman"/>
                <w:b/>
                <w:bCs/>
                <w:color w:val="000000" w:themeColor="text1"/>
                <w:lang w:eastAsia="hu-HU"/>
              </w:rPr>
              <w:t>2026.</w:t>
            </w:r>
          </w:p>
          <w:p w14:paraId="73F7D286" w14:textId="5571F41A"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I-III. hó</w:t>
            </w:r>
          </w:p>
        </w:tc>
        <w:tc>
          <w:tcPr>
            <w:tcW w:w="191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554652E" w14:textId="77777777"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Eltérés</w:t>
            </w:r>
          </w:p>
        </w:tc>
      </w:tr>
      <w:tr w:rsidR="008E1174" w:rsidRPr="00A948A8" w14:paraId="125D31A5" w14:textId="77777777" w:rsidTr="008E1174">
        <w:trPr>
          <w:trHeight w:val="345"/>
          <w:jc w:val="center"/>
        </w:trPr>
        <w:tc>
          <w:tcPr>
            <w:tcW w:w="178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DB8502" w14:textId="77777777" w:rsidR="008E1174" w:rsidRPr="00A948A8" w:rsidRDefault="008E1174" w:rsidP="00A948A8">
            <w:pPr>
              <w:spacing w:after="0" w:line="240" w:lineRule="auto"/>
              <w:rPr>
                <w:rFonts w:ascii="Times New Roman" w:eastAsia="Times New Roman" w:hAnsi="Times New Roman" w:cs="Times New Roman"/>
                <w:b/>
                <w:bCs/>
                <w:color w:val="000000"/>
                <w:lang w:eastAsia="hu-HU"/>
              </w:rPr>
            </w:pPr>
          </w:p>
        </w:tc>
        <w:tc>
          <w:tcPr>
            <w:tcW w:w="1300"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2A8A60F0" w14:textId="31DB9BE3"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p>
        </w:tc>
        <w:tc>
          <w:tcPr>
            <w:tcW w:w="1675"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19B5AE68" w14:textId="3E2B1C9A"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p>
        </w:tc>
        <w:tc>
          <w:tcPr>
            <w:tcW w:w="111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69F08FBD" w14:textId="77777777"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Mrd Ft</w:t>
            </w:r>
          </w:p>
        </w:tc>
        <w:tc>
          <w:tcPr>
            <w:tcW w:w="80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CC73C32" w14:textId="77777777" w:rsidR="008E1174" w:rsidRPr="00A948A8" w:rsidRDefault="008E1174"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w:t>
            </w:r>
          </w:p>
        </w:tc>
      </w:tr>
      <w:tr w:rsidR="00A948A8" w:rsidRPr="00A948A8" w14:paraId="2571F875" w14:textId="77777777" w:rsidTr="00F17FAE">
        <w:trPr>
          <w:trHeight w:val="345"/>
          <w:jc w:val="center"/>
        </w:trPr>
        <w:tc>
          <w:tcPr>
            <w:tcW w:w="1787" w:type="dxa"/>
            <w:tcBorders>
              <w:top w:val="single" w:sz="4" w:space="0" w:color="auto"/>
              <w:left w:val="single" w:sz="4" w:space="0" w:color="auto"/>
              <w:bottom w:val="single" w:sz="4" w:space="0" w:color="auto"/>
              <w:right w:val="single" w:sz="4" w:space="0" w:color="auto"/>
            </w:tcBorders>
            <w:noWrap/>
            <w:vAlign w:val="center"/>
            <w:hideMark/>
          </w:tcPr>
          <w:p w14:paraId="1C463480"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Befizetés</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4C58D6C2" w14:textId="5BA36B05"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3240,9</w:t>
            </w:r>
          </w:p>
        </w:tc>
        <w:tc>
          <w:tcPr>
            <w:tcW w:w="1675" w:type="dxa"/>
            <w:tcBorders>
              <w:top w:val="single" w:sz="4" w:space="0" w:color="auto"/>
              <w:left w:val="single" w:sz="4" w:space="0" w:color="auto"/>
              <w:bottom w:val="single" w:sz="4" w:space="0" w:color="auto"/>
              <w:right w:val="single" w:sz="4" w:space="0" w:color="auto"/>
            </w:tcBorders>
            <w:noWrap/>
            <w:vAlign w:val="center"/>
            <w:hideMark/>
          </w:tcPr>
          <w:p w14:paraId="0733BC87" w14:textId="1D359C65"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3371,1</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66D437AB"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130,2</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766896E6"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104,0</w:t>
            </w:r>
          </w:p>
        </w:tc>
      </w:tr>
      <w:tr w:rsidR="00A948A8" w:rsidRPr="00A948A8" w14:paraId="48BCF0A8" w14:textId="77777777" w:rsidTr="00F17FAE">
        <w:trPr>
          <w:trHeight w:val="345"/>
          <w:jc w:val="center"/>
        </w:trPr>
        <w:tc>
          <w:tcPr>
            <w:tcW w:w="1787" w:type="dxa"/>
            <w:tcBorders>
              <w:top w:val="single" w:sz="4" w:space="0" w:color="auto"/>
              <w:left w:val="single" w:sz="4" w:space="0" w:color="auto"/>
              <w:bottom w:val="single" w:sz="4" w:space="0" w:color="auto"/>
              <w:right w:val="single" w:sz="4" w:space="0" w:color="auto"/>
            </w:tcBorders>
            <w:noWrap/>
            <w:vAlign w:val="center"/>
            <w:hideMark/>
          </w:tcPr>
          <w:p w14:paraId="20556092"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Kiutalás</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06668022" w14:textId="274D7FC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1327,8</w:t>
            </w:r>
          </w:p>
        </w:tc>
        <w:tc>
          <w:tcPr>
            <w:tcW w:w="1675" w:type="dxa"/>
            <w:tcBorders>
              <w:top w:val="single" w:sz="4" w:space="0" w:color="auto"/>
              <w:left w:val="single" w:sz="4" w:space="0" w:color="auto"/>
              <w:bottom w:val="single" w:sz="4" w:space="0" w:color="auto"/>
              <w:right w:val="single" w:sz="4" w:space="0" w:color="auto"/>
            </w:tcBorders>
            <w:noWrap/>
            <w:vAlign w:val="center"/>
            <w:hideMark/>
          </w:tcPr>
          <w:p w14:paraId="254E4995" w14:textId="2CBD9A25"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1382,9</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47699991"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55,1</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3935319C"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104,1</w:t>
            </w:r>
          </w:p>
        </w:tc>
      </w:tr>
      <w:tr w:rsidR="00A948A8" w:rsidRPr="00A948A8" w14:paraId="03B944EF" w14:textId="77777777" w:rsidTr="00F17FAE">
        <w:trPr>
          <w:trHeight w:val="345"/>
          <w:jc w:val="center"/>
        </w:trPr>
        <w:tc>
          <w:tcPr>
            <w:tcW w:w="1787" w:type="dxa"/>
            <w:tcBorders>
              <w:top w:val="single" w:sz="4" w:space="0" w:color="auto"/>
              <w:left w:val="single" w:sz="4" w:space="0" w:color="auto"/>
              <w:bottom w:val="single" w:sz="4" w:space="0" w:color="auto"/>
              <w:right w:val="single" w:sz="4" w:space="0" w:color="auto"/>
            </w:tcBorders>
            <w:noWrap/>
            <w:vAlign w:val="center"/>
            <w:hideMark/>
          </w:tcPr>
          <w:p w14:paraId="136945B6" w14:textId="77777777" w:rsidR="00A948A8" w:rsidRPr="00A948A8" w:rsidRDefault="5E04AD7D" w:rsidP="5E04AD7D">
            <w:pPr>
              <w:spacing w:after="0" w:line="240" w:lineRule="auto"/>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Egyenleg</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48A40114" w14:textId="632BAA6A"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1913,1</w:t>
            </w:r>
          </w:p>
        </w:tc>
        <w:tc>
          <w:tcPr>
            <w:tcW w:w="1675" w:type="dxa"/>
            <w:tcBorders>
              <w:top w:val="single" w:sz="4" w:space="0" w:color="auto"/>
              <w:left w:val="single" w:sz="4" w:space="0" w:color="auto"/>
              <w:bottom w:val="single" w:sz="4" w:space="0" w:color="auto"/>
              <w:right w:val="single" w:sz="4" w:space="0" w:color="auto"/>
            </w:tcBorders>
            <w:noWrap/>
            <w:vAlign w:val="center"/>
            <w:hideMark/>
          </w:tcPr>
          <w:p w14:paraId="56CA2B50" w14:textId="00CF53EA"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1988,2</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24EC8E1B"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75,1</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221466D2"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103,9</w:t>
            </w:r>
          </w:p>
        </w:tc>
      </w:tr>
    </w:tbl>
    <w:p w14:paraId="44D04C53" w14:textId="22CA3E7B" w:rsidR="00E20C14" w:rsidRPr="00E20C14" w:rsidRDefault="5E04AD7D" w:rsidP="5E04AD7D">
      <w:pPr>
        <w:spacing w:before="240"/>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A belföldi befizetések, valamint az import</w:t>
      </w:r>
      <w:r w:rsidR="005B4CA8">
        <w:rPr>
          <w:rFonts w:ascii="Times New Roman" w:eastAsia="Times New Roman" w:hAnsi="Times New Roman" w:cs="Times New Roman"/>
          <w:sz w:val="26"/>
          <w:szCs w:val="26"/>
          <w:lang w:eastAsia="hu-HU"/>
        </w:rPr>
        <w:t>-</w:t>
      </w:r>
      <w:r w:rsidRPr="5E04AD7D">
        <w:rPr>
          <w:rFonts w:ascii="Times New Roman" w:eastAsia="Times New Roman" w:hAnsi="Times New Roman" w:cs="Times New Roman"/>
          <w:sz w:val="26"/>
          <w:szCs w:val="26"/>
          <w:lang w:eastAsia="hu-HU"/>
        </w:rPr>
        <w:t xml:space="preserve"> és dohánytermékek utáni áfabevételek is növekedtek. A belföldi befizetések növekedése elsősorban a kereskedelem ágazathoz köthető. Az import utáni befizetések növekedése hátterében a forgalom alakulása áll. A</w:t>
      </w:r>
      <w:r w:rsidR="005B4CA8">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dohánytermékek utáni bevételek magasabb teljesülését a 2026. januári jövedéki adómérték</w:t>
      </w:r>
      <w:r w:rsidR="00EB6F43">
        <w:rPr>
          <w:rFonts w:ascii="Times New Roman" w:eastAsia="Times New Roman" w:hAnsi="Times New Roman" w:cs="Times New Roman"/>
          <w:sz w:val="26"/>
          <w:szCs w:val="26"/>
          <w:lang w:eastAsia="hu-HU"/>
        </w:rPr>
        <w:t>-</w:t>
      </w:r>
      <w:r w:rsidRPr="5E04AD7D">
        <w:rPr>
          <w:rFonts w:ascii="Times New Roman" w:eastAsia="Times New Roman" w:hAnsi="Times New Roman" w:cs="Times New Roman"/>
          <w:sz w:val="26"/>
          <w:szCs w:val="26"/>
          <w:lang w:eastAsia="hu-HU"/>
        </w:rPr>
        <w:t>emelés magyarázza. A kiutalások alakulását a köztes ágazatok befizetése befolyásolja.</w:t>
      </w:r>
    </w:p>
    <w:p w14:paraId="5D4A6DEA" w14:textId="0D2E506E" w:rsidR="00C33C0A" w:rsidRPr="00C33C0A" w:rsidRDefault="00C33C0A" w:rsidP="4600C643">
      <w:pPr>
        <w:spacing w:before="240"/>
        <w:jc w:val="both"/>
        <w:rPr>
          <w:rFonts w:ascii="Times New Roman" w:eastAsia="Times New Roman" w:hAnsi="Times New Roman" w:cs="Times New Roman"/>
          <w:sz w:val="26"/>
          <w:szCs w:val="26"/>
          <w:lang w:eastAsia="hu-HU"/>
        </w:rPr>
      </w:pPr>
    </w:p>
    <w:p w14:paraId="7E17432F" w14:textId="77777777" w:rsidR="00F17FAE" w:rsidRDefault="00527154" w:rsidP="00F17FAE">
      <w:pPr>
        <w:pStyle w:val="NormlWeb"/>
        <w:spacing w:before="0" w:beforeAutospacing="0" w:after="0" w:afterAutospacing="0"/>
        <w:jc w:val="both"/>
        <w:rPr>
          <w:sz w:val="26"/>
          <w:szCs w:val="26"/>
        </w:rPr>
      </w:pPr>
      <w:r w:rsidRPr="00527154">
        <w:rPr>
          <w:noProof/>
          <w:sz w:val="22"/>
        </w:rPr>
        <w:lastRenderedPageBreak/>
        <w:drawing>
          <wp:inline distT="0" distB="0" distL="0" distR="0" wp14:anchorId="4C71731F" wp14:editId="5B4224B7">
            <wp:extent cx="5604637" cy="3640168"/>
            <wp:effectExtent l="0" t="0" r="0" b="0"/>
            <wp:docPr id="1504098512" name="Kép 1" descr="A képen szöveg, sor, Diagram,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98512" name="Kép 1" descr="A képen szöveg, sor, Diagram, szám látható&#10;&#10;Előfordulhat, hogy a mesterséges intelligencia által létrehozott tartalom helytelen."/>
                    <pic:cNvPicPr/>
                  </pic:nvPicPr>
                  <pic:blipFill>
                    <a:blip r:embed="rId15"/>
                    <a:stretch>
                      <a:fillRect/>
                    </a:stretch>
                  </pic:blipFill>
                  <pic:spPr>
                    <a:xfrm>
                      <a:off x="0" y="0"/>
                      <a:ext cx="5617693" cy="3648648"/>
                    </a:xfrm>
                    <a:prstGeom prst="rect">
                      <a:avLst/>
                    </a:prstGeom>
                  </pic:spPr>
                </pic:pic>
              </a:graphicData>
            </a:graphic>
          </wp:inline>
        </w:drawing>
      </w:r>
    </w:p>
    <w:p w14:paraId="54D7C308" w14:textId="4ECD361F" w:rsidR="00C33C0A" w:rsidRDefault="5E04AD7D" w:rsidP="005B4CA8">
      <w:pPr>
        <w:pStyle w:val="NormlWeb"/>
        <w:spacing w:before="0" w:beforeAutospacing="0" w:after="160" w:afterAutospacing="0" w:line="259" w:lineRule="auto"/>
        <w:jc w:val="both"/>
        <w:rPr>
          <w:rFonts w:ascii="Arial" w:hAnsi="Arial" w:cs="Arial"/>
          <w:sz w:val="26"/>
          <w:szCs w:val="26"/>
        </w:rPr>
      </w:pPr>
      <w:r w:rsidRPr="5E04AD7D">
        <w:rPr>
          <w:sz w:val="26"/>
          <w:szCs w:val="26"/>
        </w:rPr>
        <w:t xml:space="preserve">A </w:t>
      </w:r>
      <w:r w:rsidRPr="5E04AD7D">
        <w:rPr>
          <w:b/>
          <w:bCs/>
          <w:sz w:val="26"/>
          <w:szCs w:val="26"/>
        </w:rPr>
        <w:t>jövedéki adóból</w:t>
      </w:r>
      <w:r w:rsidRPr="5E04AD7D">
        <w:rPr>
          <w:sz w:val="26"/>
          <w:szCs w:val="26"/>
        </w:rPr>
        <w:t xml:space="preserve"> származó bevétel a 2026. év első három hónapjában 365,8 milliárd forintot tett ki, amely 20,4 milliárd forinttal magasabb az egy évvel korábbi bevételnél. A</w:t>
      </w:r>
      <w:r w:rsidR="00F17FAE">
        <w:rPr>
          <w:sz w:val="26"/>
          <w:szCs w:val="26"/>
        </w:rPr>
        <w:t> </w:t>
      </w:r>
      <w:r w:rsidRPr="5E04AD7D">
        <w:rPr>
          <w:sz w:val="26"/>
          <w:szCs w:val="26"/>
        </w:rPr>
        <w:t xml:space="preserve">dohánytermékek utáni bevételek jelentős növekedésének hátterében a 2026. januári adómérték-emelésre adott piaci reakció, </w:t>
      </w:r>
      <w:r w:rsidR="00F97756">
        <w:rPr>
          <w:sz w:val="26"/>
          <w:szCs w:val="26"/>
        </w:rPr>
        <w:t xml:space="preserve">a </w:t>
      </w:r>
      <w:r w:rsidRPr="5E04AD7D">
        <w:rPr>
          <w:sz w:val="26"/>
          <w:szCs w:val="26"/>
        </w:rPr>
        <w:t>nagymértékű készletezési hatás áll. A</w:t>
      </w:r>
      <w:r w:rsidR="00F17FAE">
        <w:rPr>
          <w:sz w:val="26"/>
          <w:szCs w:val="26"/>
        </w:rPr>
        <w:t> </w:t>
      </w:r>
      <w:r w:rsidRPr="5E04AD7D">
        <w:rPr>
          <w:sz w:val="26"/>
          <w:szCs w:val="26"/>
        </w:rPr>
        <w:t>szeszesitalok és egyéb termékek esetében a bevételek alakulását a 2026. januári adómérték emelés, valamint a piaci reakciók magyarázzák. Az üzemanyagok utáni és az energiaadó bevételek csökkenése adónem</w:t>
      </w:r>
      <w:r w:rsidR="00904CE2">
        <w:rPr>
          <w:sz w:val="26"/>
          <w:szCs w:val="26"/>
        </w:rPr>
        <w:t>-</w:t>
      </w:r>
      <w:r w:rsidRPr="5E04AD7D">
        <w:rPr>
          <w:sz w:val="26"/>
          <w:szCs w:val="26"/>
        </w:rPr>
        <w:t>elszámoláshoz köthető</w:t>
      </w:r>
      <w:r w:rsidRPr="5E04AD7D">
        <w:rPr>
          <w:rFonts w:ascii="Arial" w:hAnsi="Arial" w:cs="Arial"/>
          <w:sz w:val="26"/>
          <w:szCs w:val="26"/>
        </w:rPr>
        <w:t>.</w:t>
      </w:r>
    </w:p>
    <w:tbl>
      <w:tblPr>
        <w:tblW w:w="8736" w:type="dxa"/>
        <w:jc w:val="center"/>
        <w:tblCellMar>
          <w:left w:w="70" w:type="dxa"/>
          <w:right w:w="70" w:type="dxa"/>
        </w:tblCellMar>
        <w:tblLook w:val="04A0" w:firstRow="1" w:lastRow="0" w:firstColumn="1" w:lastColumn="0" w:noHBand="0" w:noVBand="1"/>
      </w:tblPr>
      <w:tblGrid>
        <w:gridCol w:w="4049"/>
        <w:gridCol w:w="1623"/>
        <w:gridCol w:w="1200"/>
        <w:gridCol w:w="940"/>
        <w:gridCol w:w="924"/>
      </w:tblGrid>
      <w:tr w:rsidR="00A948A8" w:rsidRPr="00A948A8" w14:paraId="72CA09BC" w14:textId="77777777" w:rsidTr="00F17FAE">
        <w:trPr>
          <w:trHeight w:val="315"/>
          <w:jc w:val="center"/>
        </w:trPr>
        <w:tc>
          <w:tcPr>
            <w:tcW w:w="8736" w:type="dxa"/>
            <w:gridSpan w:val="5"/>
            <w:tcBorders>
              <w:top w:val="nil"/>
              <w:left w:val="nil"/>
              <w:bottom w:val="single" w:sz="4" w:space="0" w:color="auto"/>
              <w:right w:val="nil"/>
            </w:tcBorders>
            <w:noWrap/>
            <w:vAlign w:val="center"/>
            <w:hideMark/>
          </w:tcPr>
          <w:p w14:paraId="4B28AEE3" w14:textId="77777777" w:rsidR="00A948A8" w:rsidRPr="00A948A8" w:rsidRDefault="5E04AD7D" w:rsidP="00F17FAE">
            <w:pPr>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Jövedéki adó bevétel alakulása (milliárd forint)</w:t>
            </w:r>
          </w:p>
        </w:tc>
      </w:tr>
      <w:tr w:rsidR="005B4CA8" w:rsidRPr="00A948A8" w14:paraId="47577F9C" w14:textId="77777777" w:rsidTr="005B4CA8">
        <w:trPr>
          <w:trHeight w:val="315"/>
          <w:jc w:val="center"/>
        </w:trPr>
        <w:tc>
          <w:tcPr>
            <w:tcW w:w="404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BE4783E" w14:textId="77777777"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Megnevezés</w:t>
            </w:r>
          </w:p>
        </w:tc>
        <w:tc>
          <w:tcPr>
            <w:tcW w:w="1623"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447CDAB2" w14:textId="77777777" w:rsidR="005B4CA8" w:rsidRPr="00A948A8" w:rsidRDefault="005B4CA8" w:rsidP="28F9800E">
            <w:pPr>
              <w:spacing w:after="0" w:line="240" w:lineRule="auto"/>
              <w:jc w:val="center"/>
              <w:rPr>
                <w:rFonts w:ascii="Times New Roman" w:eastAsia="Times New Roman" w:hAnsi="Times New Roman" w:cs="Times New Roman"/>
                <w:b/>
                <w:bCs/>
                <w:color w:val="000000" w:themeColor="text1"/>
                <w:lang w:eastAsia="hu-HU"/>
              </w:rPr>
            </w:pPr>
            <w:r w:rsidRPr="28F9800E">
              <w:rPr>
                <w:rFonts w:ascii="Times New Roman" w:eastAsia="Times New Roman" w:hAnsi="Times New Roman" w:cs="Times New Roman"/>
                <w:b/>
                <w:bCs/>
                <w:color w:val="000000" w:themeColor="text1"/>
                <w:lang w:eastAsia="hu-HU"/>
              </w:rPr>
              <w:t>2025.</w:t>
            </w:r>
          </w:p>
          <w:p w14:paraId="16E5C19C" w14:textId="04DEBE80"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I-III. hó</w:t>
            </w:r>
          </w:p>
        </w:tc>
        <w:tc>
          <w:tcPr>
            <w:tcW w:w="1200"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0654E4C9" w14:textId="77777777" w:rsidR="005B4CA8" w:rsidRPr="00A948A8" w:rsidRDefault="005B4CA8" w:rsidP="28F9800E">
            <w:pPr>
              <w:spacing w:after="0" w:line="240" w:lineRule="auto"/>
              <w:jc w:val="center"/>
              <w:rPr>
                <w:rFonts w:ascii="Times New Roman" w:eastAsia="Times New Roman" w:hAnsi="Times New Roman" w:cs="Times New Roman"/>
                <w:b/>
                <w:bCs/>
                <w:color w:val="000000" w:themeColor="text1"/>
                <w:lang w:eastAsia="hu-HU"/>
              </w:rPr>
            </w:pPr>
            <w:r w:rsidRPr="28F9800E">
              <w:rPr>
                <w:rFonts w:ascii="Times New Roman" w:eastAsia="Times New Roman" w:hAnsi="Times New Roman" w:cs="Times New Roman"/>
                <w:b/>
                <w:bCs/>
                <w:color w:val="000000" w:themeColor="text1"/>
                <w:lang w:eastAsia="hu-HU"/>
              </w:rPr>
              <w:t>2026.</w:t>
            </w:r>
          </w:p>
          <w:p w14:paraId="07414468" w14:textId="01D99B8F"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I-III. hó</w:t>
            </w:r>
          </w:p>
        </w:tc>
        <w:tc>
          <w:tcPr>
            <w:tcW w:w="186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6DEA0F3D" w14:textId="77777777"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Eltérés</w:t>
            </w:r>
          </w:p>
        </w:tc>
      </w:tr>
      <w:tr w:rsidR="005B4CA8" w:rsidRPr="00A948A8" w14:paraId="7438F19C" w14:textId="77777777" w:rsidTr="005B4CA8">
        <w:trPr>
          <w:trHeight w:val="315"/>
          <w:jc w:val="center"/>
        </w:trPr>
        <w:tc>
          <w:tcPr>
            <w:tcW w:w="404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2C7659B" w14:textId="77777777" w:rsidR="005B4CA8" w:rsidRPr="00A948A8" w:rsidRDefault="005B4CA8" w:rsidP="00A948A8">
            <w:pPr>
              <w:spacing w:after="0" w:line="240" w:lineRule="auto"/>
              <w:rPr>
                <w:rFonts w:ascii="Times New Roman" w:eastAsia="Times New Roman" w:hAnsi="Times New Roman" w:cs="Times New Roman"/>
                <w:b/>
                <w:bCs/>
                <w:color w:val="000000"/>
                <w:lang w:eastAsia="hu-HU"/>
              </w:rPr>
            </w:pPr>
          </w:p>
        </w:tc>
        <w:tc>
          <w:tcPr>
            <w:tcW w:w="1623"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3691AE4C" w14:textId="6D35D016"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p>
        </w:tc>
        <w:tc>
          <w:tcPr>
            <w:tcW w:w="1200"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0DD85BED" w14:textId="0925B31C"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p>
        </w:tc>
        <w:tc>
          <w:tcPr>
            <w:tcW w:w="9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04B5410" w14:textId="77777777"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Mrd Ft</w:t>
            </w:r>
          </w:p>
        </w:tc>
        <w:tc>
          <w:tcPr>
            <w:tcW w:w="92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4E4AFCC" w14:textId="77777777" w:rsidR="005B4CA8" w:rsidRPr="00A948A8" w:rsidRDefault="005B4CA8" w:rsidP="5E04AD7D">
            <w:pPr>
              <w:spacing w:after="0" w:line="240" w:lineRule="auto"/>
              <w:jc w:val="center"/>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w:t>
            </w:r>
          </w:p>
        </w:tc>
      </w:tr>
      <w:tr w:rsidR="00A948A8" w:rsidRPr="00A948A8" w14:paraId="34E7966A" w14:textId="77777777" w:rsidTr="00336470">
        <w:trPr>
          <w:trHeight w:val="340"/>
          <w:jc w:val="center"/>
        </w:trPr>
        <w:tc>
          <w:tcPr>
            <w:tcW w:w="4049" w:type="dxa"/>
            <w:tcBorders>
              <w:top w:val="single" w:sz="4" w:space="0" w:color="auto"/>
              <w:left w:val="single" w:sz="4" w:space="0" w:color="auto"/>
              <w:bottom w:val="single" w:sz="4" w:space="0" w:color="auto"/>
              <w:right w:val="single" w:sz="4" w:space="0" w:color="auto"/>
            </w:tcBorders>
            <w:noWrap/>
            <w:vAlign w:val="center"/>
            <w:hideMark/>
          </w:tcPr>
          <w:p w14:paraId="4799D8F8"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Üzemanyag jövedéki adó</w:t>
            </w:r>
          </w:p>
        </w:tc>
        <w:tc>
          <w:tcPr>
            <w:tcW w:w="1623" w:type="dxa"/>
            <w:tcBorders>
              <w:top w:val="single" w:sz="4" w:space="0" w:color="auto"/>
              <w:left w:val="single" w:sz="4" w:space="0" w:color="auto"/>
              <w:bottom w:val="single" w:sz="4" w:space="0" w:color="auto"/>
              <w:right w:val="single" w:sz="4" w:space="0" w:color="auto"/>
            </w:tcBorders>
            <w:noWrap/>
            <w:vAlign w:val="center"/>
            <w:hideMark/>
          </w:tcPr>
          <w:p w14:paraId="74258020"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200,0</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5DB14A41"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199,7</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757A788D"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-0,3</w:t>
            </w:r>
          </w:p>
        </w:tc>
        <w:tc>
          <w:tcPr>
            <w:tcW w:w="924" w:type="dxa"/>
            <w:tcBorders>
              <w:top w:val="single" w:sz="4" w:space="0" w:color="auto"/>
              <w:left w:val="single" w:sz="4" w:space="0" w:color="auto"/>
              <w:bottom w:val="single" w:sz="4" w:space="0" w:color="auto"/>
              <w:right w:val="single" w:sz="4" w:space="0" w:color="auto"/>
            </w:tcBorders>
            <w:noWrap/>
            <w:vAlign w:val="center"/>
            <w:hideMark/>
          </w:tcPr>
          <w:p w14:paraId="766FAA5D"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99,9</w:t>
            </w:r>
          </w:p>
        </w:tc>
      </w:tr>
      <w:tr w:rsidR="00A948A8" w:rsidRPr="00A948A8" w14:paraId="06140419" w14:textId="77777777" w:rsidTr="00336470">
        <w:trPr>
          <w:trHeight w:val="340"/>
          <w:jc w:val="center"/>
        </w:trPr>
        <w:tc>
          <w:tcPr>
            <w:tcW w:w="4049" w:type="dxa"/>
            <w:tcBorders>
              <w:top w:val="single" w:sz="4" w:space="0" w:color="auto"/>
              <w:left w:val="single" w:sz="4" w:space="0" w:color="auto"/>
              <w:bottom w:val="single" w:sz="4" w:space="0" w:color="auto"/>
              <w:right w:val="single" w:sz="4" w:space="0" w:color="auto"/>
            </w:tcBorders>
            <w:noWrap/>
            <w:vAlign w:val="center"/>
            <w:hideMark/>
          </w:tcPr>
          <w:p w14:paraId="33823840"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Dohánygyártmány jövedéki adó</w:t>
            </w:r>
          </w:p>
        </w:tc>
        <w:tc>
          <w:tcPr>
            <w:tcW w:w="1623" w:type="dxa"/>
            <w:tcBorders>
              <w:top w:val="single" w:sz="4" w:space="0" w:color="auto"/>
              <w:left w:val="single" w:sz="4" w:space="0" w:color="auto"/>
              <w:bottom w:val="single" w:sz="4" w:space="0" w:color="auto"/>
              <w:right w:val="single" w:sz="4" w:space="0" w:color="auto"/>
            </w:tcBorders>
            <w:noWrap/>
            <w:vAlign w:val="center"/>
            <w:hideMark/>
          </w:tcPr>
          <w:p w14:paraId="25B4BDA0"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108,8</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21DB7CD1"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130,6</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7C5021A8"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21,8</w:t>
            </w:r>
          </w:p>
        </w:tc>
        <w:tc>
          <w:tcPr>
            <w:tcW w:w="924" w:type="dxa"/>
            <w:tcBorders>
              <w:top w:val="single" w:sz="4" w:space="0" w:color="auto"/>
              <w:left w:val="single" w:sz="4" w:space="0" w:color="auto"/>
              <w:bottom w:val="single" w:sz="4" w:space="0" w:color="auto"/>
              <w:right w:val="single" w:sz="4" w:space="0" w:color="auto"/>
            </w:tcBorders>
            <w:noWrap/>
            <w:vAlign w:val="center"/>
            <w:hideMark/>
          </w:tcPr>
          <w:p w14:paraId="29283207"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120,0</w:t>
            </w:r>
          </w:p>
        </w:tc>
      </w:tr>
      <w:tr w:rsidR="00A948A8" w:rsidRPr="00A948A8" w14:paraId="52B7287C" w14:textId="77777777" w:rsidTr="00336470">
        <w:trPr>
          <w:trHeight w:val="340"/>
          <w:jc w:val="center"/>
        </w:trPr>
        <w:tc>
          <w:tcPr>
            <w:tcW w:w="4049" w:type="dxa"/>
            <w:tcBorders>
              <w:top w:val="single" w:sz="4" w:space="0" w:color="auto"/>
              <w:left w:val="single" w:sz="4" w:space="0" w:color="auto"/>
              <w:bottom w:val="single" w:sz="4" w:space="0" w:color="auto"/>
              <w:right w:val="single" w:sz="4" w:space="0" w:color="auto"/>
            </w:tcBorders>
            <w:noWrap/>
            <w:vAlign w:val="center"/>
            <w:hideMark/>
          </w:tcPr>
          <w:p w14:paraId="48EDE67C"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Egyéb termék jövedéki adó</w:t>
            </w:r>
          </w:p>
        </w:tc>
        <w:tc>
          <w:tcPr>
            <w:tcW w:w="1623" w:type="dxa"/>
            <w:tcBorders>
              <w:top w:val="single" w:sz="4" w:space="0" w:color="auto"/>
              <w:left w:val="single" w:sz="4" w:space="0" w:color="auto"/>
              <w:bottom w:val="single" w:sz="4" w:space="0" w:color="auto"/>
              <w:right w:val="single" w:sz="4" w:space="0" w:color="auto"/>
            </w:tcBorders>
            <w:noWrap/>
            <w:vAlign w:val="center"/>
            <w:hideMark/>
          </w:tcPr>
          <w:p w14:paraId="69AFEDC0"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29,8</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1D40BC43"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29,2</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57832430"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-0,6</w:t>
            </w:r>
          </w:p>
        </w:tc>
        <w:tc>
          <w:tcPr>
            <w:tcW w:w="924" w:type="dxa"/>
            <w:tcBorders>
              <w:top w:val="single" w:sz="4" w:space="0" w:color="auto"/>
              <w:left w:val="single" w:sz="4" w:space="0" w:color="auto"/>
              <w:bottom w:val="single" w:sz="4" w:space="0" w:color="auto"/>
              <w:right w:val="single" w:sz="4" w:space="0" w:color="auto"/>
            </w:tcBorders>
            <w:noWrap/>
            <w:vAlign w:val="center"/>
            <w:hideMark/>
          </w:tcPr>
          <w:p w14:paraId="5D103B13"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98,0</w:t>
            </w:r>
          </w:p>
        </w:tc>
      </w:tr>
      <w:tr w:rsidR="00A948A8" w:rsidRPr="00A948A8" w14:paraId="402141B4" w14:textId="77777777" w:rsidTr="00336470">
        <w:trPr>
          <w:trHeight w:val="340"/>
          <w:jc w:val="center"/>
        </w:trPr>
        <w:tc>
          <w:tcPr>
            <w:tcW w:w="4049" w:type="dxa"/>
            <w:tcBorders>
              <w:top w:val="single" w:sz="4" w:space="0" w:color="auto"/>
              <w:left w:val="single" w:sz="4" w:space="0" w:color="auto"/>
              <w:bottom w:val="single" w:sz="4" w:space="0" w:color="auto"/>
              <w:right w:val="single" w:sz="4" w:space="0" w:color="auto"/>
            </w:tcBorders>
            <w:noWrap/>
            <w:vAlign w:val="center"/>
            <w:hideMark/>
          </w:tcPr>
          <w:p w14:paraId="5798FC0E" w14:textId="77777777" w:rsidR="00A948A8" w:rsidRPr="00A948A8" w:rsidRDefault="5E04AD7D" w:rsidP="5E04AD7D">
            <w:pPr>
              <w:spacing w:after="0" w:line="240" w:lineRule="auto"/>
              <w:rPr>
                <w:rFonts w:ascii="Times New Roman" w:eastAsia="Times New Roman" w:hAnsi="Times New Roman" w:cs="Times New Roman"/>
                <w:color w:val="000000" w:themeColor="text1"/>
                <w:lang w:eastAsia="hu-HU"/>
              </w:rPr>
            </w:pPr>
            <w:r w:rsidRPr="5E04AD7D">
              <w:rPr>
                <w:rFonts w:ascii="Times New Roman" w:eastAsia="Times New Roman" w:hAnsi="Times New Roman" w:cs="Times New Roman"/>
                <w:color w:val="000000" w:themeColor="text1"/>
                <w:lang w:eastAsia="hu-HU"/>
              </w:rPr>
              <w:t>Import jövedéki adó és energiaadó</w:t>
            </w:r>
          </w:p>
        </w:tc>
        <w:tc>
          <w:tcPr>
            <w:tcW w:w="1623" w:type="dxa"/>
            <w:tcBorders>
              <w:top w:val="single" w:sz="4" w:space="0" w:color="auto"/>
              <w:left w:val="single" w:sz="4" w:space="0" w:color="auto"/>
              <w:bottom w:val="single" w:sz="4" w:space="0" w:color="auto"/>
              <w:right w:val="single" w:sz="4" w:space="0" w:color="auto"/>
            </w:tcBorders>
            <w:noWrap/>
            <w:vAlign w:val="center"/>
            <w:hideMark/>
          </w:tcPr>
          <w:p w14:paraId="230A8B37"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6,8</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668B868F"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6,3</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11B60407"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-0,5</w:t>
            </w:r>
          </w:p>
        </w:tc>
        <w:tc>
          <w:tcPr>
            <w:tcW w:w="924" w:type="dxa"/>
            <w:tcBorders>
              <w:top w:val="single" w:sz="4" w:space="0" w:color="auto"/>
              <w:left w:val="single" w:sz="4" w:space="0" w:color="auto"/>
              <w:bottom w:val="single" w:sz="4" w:space="0" w:color="auto"/>
              <w:right w:val="single" w:sz="4" w:space="0" w:color="auto"/>
            </w:tcBorders>
            <w:noWrap/>
            <w:vAlign w:val="center"/>
            <w:hideMark/>
          </w:tcPr>
          <w:p w14:paraId="0EC53F7C" w14:textId="77777777" w:rsidR="00A948A8" w:rsidRPr="00A948A8" w:rsidRDefault="28F9800E" w:rsidP="28F9800E">
            <w:pPr>
              <w:spacing w:after="0" w:line="240" w:lineRule="auto"/>
              <w:jc w:val="right"/>
              <w:rPr>
                <w:rFonts w:ascii="Times New Roman" w:eastAsia="Times New Roman" w:hAnsi="Times New Roman" w:cs="Times New Roman"/>
                <w:color w:val="000000" w:themeColor="text1"/>
                <w:highlight w:val="yellow"/>
                <w:lang w:eastAsia="hu-HU"/>
              </w:rPr>
            </w:pPr>
            <w:r w:rsidRPr="28F9800E">
              <w:rPr>
                <w:rFonts w:ascii="Times New Roman" w:eastAsia="Times New Roman" w:hAnsi="Times New Roman" w:cs="Times New Roman"/>
                <w:color w:val="000000" w:themeColor="text1"/>
                <w:lang w:eastAsia="hu-HU"/>
              </w:rPr>
              <w:t>92,6</w:t>
            </w:r>
          </w:p>
        </w:tc>
      </w:tr>
      <w:tr w:rsidR="00A948A8" w:rsidRPr="00A948A8" w14:paraId="170C35ED" w14:textId="77777777" w:rsidTr="00336470">
        <w:trPr>
          <w:trHeight w:val="340"/>
          <w:jc w:val="center"/>
        </w:trPr>
        <w:tc>
          <w:tcPr>
            <w:tcW w:w="4049" w:type="dxa"/>
            <w:tcBorders>
              <w:top w:val="single" w:sz="4" w:space="0" w:color="auto"/>
              <w:left w:val="single" w:sz="4" w:space="0" w:color="auto"/>
              <w:bottom w:val="single" w:sz="4" w:space="0" w:color="auto"/>
              <w:right w:val="single" w:sz="4" w:space="0" w:color="auto"/>
            </w:tcBorders>
            <w:noWrap/>
            <w:vAlign w:val="center"/>
            <w:hideMark/>
          </w:tcPr>
          <w:p w14:paraId="56E25F12" w14:textId="77777777" w:rsidR="00A948A8" w:rsidRPr="00A948A8" w:rsidRDefault="5E04AD7D" w:rsidP="5E04AD7D">
            <w:pPr>
              <w:spacing w:after="0" w:line="240" w:lineRule="auto"/>
              <w:rPr>
                <w:rFonts w:ascii="Times New Roman" w:eastAsia="Times New Roman" w:hAnsi="Times New Roman" w:cs="Times New Roman"/>
                <w:b/>
                <w:bCs/>
                <w:color w:val="000000" w:themeColor="text1"/>
                <w:lang w:eastAsia="hu-HU"/>
              </w:rPr>
            </w:pPr>
            <w:r w:rsidRPr="5E04AD7D">
              <w:rPr>
                <w:rFonts w:ascii="Times New Roman" w:eastAsia="Times New Roman" w:hAnsi="Times New Roman" w:cs="Times New Roman"/>
                <w:b/>
                <w:bCs/>
                <w:color w:val="000000" w:themeColor="text1"/>
                <w:lang w:eastAsia="hu-HU"/>
              </w:rPr>
              <w:t>Jövedéki adók összesen</w:t>
            </w:r>
          </w:p>
        </w:tc>
        <w:tc>
          <w:tcPr>
            <w:tcW w:w="1623" w:type="dxa"/>
            <w:tcBorders>
              <w:top w:val="single" w:sz="4" w:space="0" w:color="auto"/>
              <w:left w:val="single" w:sz="4" w:space="0" w:color="auto"/>
              <w:bottom w:val="single" w:sz="4" w:space="0" w:color="auto"/>
              <w:right w:val="single" w:sz="4" w:space="0" w:color="auto"/>
            </w:tcBorders>
            <w:noWrap/>
            <w:vAlign w:val="center"/>
            <w:hideMark/>
          </w:tcPr>
          <w:p w14:paraId="456616B9"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345,4</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7882813C"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365,8</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41A4C652"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20,4</w:t>
            </w:r>
          </w:p>
        </w:tc>
        <w:tc>
          <w:tcPr>
            <w:tcW w:w="924" w:type="dxa"/>
            <w:tcBorders>
              <w:top w:val="single" w:sz="4" w:space="0" w:color="auto"/>
              <w:left w:val="single" w:sz="4" w:space="0" w:color="auto"/>
              <w:bottom w:val="single" w:sz="4" w:space="0" w:color="auto"/>
              <w:right w:val="single" w:sz="4" w:space="0" w:color="auto"/>
            </w:tcBorders>
            <w:noWrap/>
            <w:vAlign w:val="center"/>
            <w:hideMark/>
          </w:tcPr>
          <w:p w14:paraId="69590470" w14:textId="77777777" w:rsidR="00A948A8" w:rsidRPr="00A948A8" w:rsidRDefault="28F9800E" w:rsidP="28F9800E">
            <w:pPr>
              <w:spacing w:after="0" w:line="240" w:lineRule="auto"/>
              <w:jc w:val="right"/>
              <w:rPr>
                <w:rFonts w:ascii="Times New Roman" w:eastAsia="Times New Roman" w:hAnsi="Times New Roman" w:cs="Times New Roman"/>
                <w:b/>
                <w:bCs/>
                <w:color w:val="000000" w:themeColor="text1"/>
                <w:highlight w:val="yellow"/>
                <w:lang w:eastAsia="hu-HU"/>
              </w:rPr>
            </w:pPr>
            <w:r w:rsidRPr="28F9800E">
              <w:rPr>
                <w:rFonts w:ascii="Times New Roman" w:eastAsia="Times New Roman" w:hAnsi="Times New Roman" w:cs="Times New Roman"/>
                <w:b/>
                <w:bCs/>
                <w:color w:val="000000" w:themeColor="text1"/>
                <w:lang w:eastAsia="hu-HU"/>
              </w:rPr>
              <w:t>105,9</w:t>
            </w:r>
          </w:p>
        </w:tc>
      </w:tr>
    </w:tbl>
    <w:p w14:paraId="5F2FFB02" w14:textId="50B1B757" w:rsidR="00A948A8" w:rsidRPr="00A948A8" w:rsidRDefault="5E04AD7D" w:rsidP="00EB6F43">
      <w:pPr>
        <w:spacing w:before="240"/>
        <w:jc w:val="both"/>
        <w:rPr>
          <w:rFonts w:ascii="Times New Roman" w:eastAsia="Times New Roman" w:hAnsi="Times New Roman" w:cs="Times New Roman"/>
          <w:sz w:val="26"/>
          <w:szCs w:val="26"/>
          <w:lang w:eastAsia="hu-HU"/>
        </w:rPr>
      </w:pPr>
      <w:bookmarkStart w:id="0" w:name="_Hlk224053963"/>
      <w:bookmarkStart w:id="1" w:name="_Hlk224054592"/>
      <w:bookmarkEnd w:id="0"/>
      <w:bookmarkEnd w:id="1"/>
      <w:r w:rsidRPr="5E04AD7D">
        <w:rPr>
          <w:rFonts w:ascii="Times New Roman" w:eastAsia="Times New Roman" w:hAnsi="Times New Roman" w:cs="Times New Roman"/>
          <w:b/>
          <w:bCs/>
          <w:sz w:val="26"/>
          <w:szCs w:val="26"/>
          <w:lang w:eastAsia="hu-HU"/>
        </w:rPr>
        <w:t>Pénzügyi tranzakciós illetékből</w:t>
      </w:r>
      <w:r w:rsidRPr="5E04AD7D">
        <w:rPr>
          <w:rFonts w:ascii="Times New Roman" w:eastAsia="Times New Roman" w:hAnsi="Times New Roman" w:cs="Times New Roman"/>
          <w:sz w:val="26"/>
          <w:szCs w:val="26"/>
          <w:lang w:eastAsia="hu-HU"/>
        </w:rPr>
        <w:t xml:space="preserve"> 2026 első három hónapjában 146,4 milliárd forint bevétele keletkezett a költségvetésnek, ami 1,4 milliárd forinttal maradt el az egy évvel korábbi összegtől. </w:t>
      </w:r>
    </w:p>
    <w:p w14:paraId="4EBD55A4" w14:textId="7F3D846A" w:rsidR="00A948A8" w:rsidRPr="00A948A8" w:rsidRDefault="5E04AD7D" w:rsidP="00EB6F43">
      <w:pPr>
        <w:spacing w:before="240"/>
        <w:jc w:val="both"/>
        <w:rPr>
          <w:rFonts w:ascii="Times New Roman" w:eastAsia="Times New Roman" w:hAnsi="Times New Roman" w:cs="Times New Roman"/>
          <w:sz w:val="26"/>
          <w:szCs w:val="26"/>
          <w:highlight w:val="yellow"/>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 xml:space="preserve">biztosítási adóból </w:t>
      </w:r>
      <w:r w:rsidRPr="5E04AD7D">
        <w:rPr>
          <w:rFonts w:ascii="Times New Roman" w:eastAsia="Times New Roman" w:hAnsi="Times New Roman" w:cs="Times New Roman"/>
          <w:sz w:val="26"/>
          <w:szCs w:val="26"/>
          <w:lang w:eastAsia="hu-HU"/>
        </w:rPr>
        <w:t>származó bevétel 2026 első három hónapjában 50,1</w:t>
      </w:r>
      <w:r w:rsidR="00527154">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milliárd forintot tett ki, amely 2,2</w:t>
      </w:r>
      <w:r w:rsidR="0073467C">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milliárd forinttal alacsonyabb az egy évvel korábbi bevételnél. A</w:t>
      </w:r>
      <w:r w:rsidR="00EB6F43">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 xml:space="preserve">bevételek előző évhez viszonyított alacsonyabb teljesülését </w:t>
      </w:r>
      <w:r w:rsidR="00EB6F43">
        <w:rPr>
          <w:rFonts w:ascii="Times New Roman" w:eastAsia="Times New Roman" w:hAnsi="Times New Roman" w:cs="Times New Roman"/>
          <w:sz w:val="26"/>
          <w:szCs w:val="26"/>
          <w:lang w:eastAsia="hu-HU"/>
        </w:rPr>
        <w:t xml:space="preserve">az </w:t>
      </w:r>
      <w:r w:rsidRPr="5E04AD7D">
        <w:rPr>
          <w:rFonts w:ascii="Times New Roman" w:eastAsia="Times New Roman" w:hAnsi="Times New Roman" w:cs="Times New Roman"/>
          <w:sz w:val="26"/>
          <w:szCs w:val="26"/>
          <w:lang w:eastAsia="hu-HU"/>
        </w:rPr>
        <w:t>magyarázza, hogy a 2024.</w:t>
      </w:r>
      <w:r w:rsidR="00EB6F43">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sz w:val="26"/>
          <w:szCs w:val="26"/>
          <w:lang w:eastAsia="hu-HU"/>
        </w:rPr>
        <w:t xml:space="preserve">évi biztosítási pótadó-kötelezettség 2025. januári elszámolásából származó bevétel </w:t>
      </w:r>
      <w:r w:rsidRPr="5E04AD7D">
        <w:rPr>
          <w:rFonts w:ascii="Times New Roman" w:eastAsia="Times New Roman" w:hAnsi="Times New Roman" w:cs="Times New Roman"/>
          <w:sz w:val="26"/>
          <w:szCs w:val="26"/>
          <w:lang w:eastAsia="hu-HU"/>
        </w:rPr>
        <w:lastRenderedPageBreak/>
        <w:t>meghaladta a 2025. évi biztosítási pótadó-kötelezettség 2026. január és februári elszámolásából fakadó tárgyévi bevételt.</w:t>
      </w:r>
    </w:p>
    <w:p w14:paraId="2004CA8C" w14:textId="07E42C11" w:rsidR="00E20C14" w:rsidRPr="00E20C14" w:rsidRDefault="5E04AD7D" w:rsidP="00EB6F43">
      <w:pPr>
        <w:spacing w:before="240"/>
        <w:jc w:val="both"/>
        <w:rPr>
          <w:rFonts w:ascii="Times New Roman" w:eastAsia="Times New Roman" w:hAnsi="Times New Roman" w:cs="Times New Roman"/>
          <w:color w:val="000000" w:themeColor="text1"/>
          <w:sz w:val="26"/>
          <w:szCs w:val="26"/>
          <w:lang w:eastAsia="hu-HU"/>
        </w:rPr>
      </w:pPr>
      <w:r w:rsidRPr="5E04AD7D">
        <w:rPr>
          <w:rFonts w:ascii="Times New Roman" w:eastAsia="Times New Roman" w:hAnsi="Times New Roman" w:cs="Times New Roman"/>
          <w:color w:val="000000" w:themeColor="text1"/>
          <w:sz w:val="26"/>
          <w:szCs w:val="26"/>
          <w:lang w:eastAsia="hu-HU"/>
        </w:rPr>
        <w:t xml:space="preserve">A </w:t>
      </w:r>
      <w:r w:rsidRPr="5E04AD7D">
        <w:rPr>
          <w:rFonts w:ascii="Times New Roman" w:eastAsia="Times New Roman" w:hAnsi="Times New Roman" w:cs="Times New Roman"/>
          <w:b/>
          <w:bCs/>
          <w:color w:val="000000" w:themeColor="text1"/>
          <w:sz w:val="26"/>
          <w:szCs w:val="26"/>
          <w:lang w:eastAsia="hu-HU"/>
        </w:rPr>
        <w:t>személyi jövedelemadó</w:t>
      </w:r>
      <w:r w:rsidRPr="5E04AD7D">
        <w:rPr>
          <w:rFonts w:ascii="Times New Roman" w:eastAsia="Times New Roman" w:hAnsi="Times New Roman" w:cs="Times New Roman"/>
          <w:color w:val="000000" w:themeColor="text1"/>
          <w:sz w:val="26"/>
          <w:szCs w:val="26"/>
          <w:lang w:eastAsia="hu-HU"/>
        </w:rPr>
        <w:t xml:space="preserve"> bevétele 2026 első három hónapjában 1297,5</w:t>
      </w:r>
      <w:r w:rsidRPr="5E04AD7D">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color w:val="000000" w:themeColor="text1"/>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color w:val="000000" w:themeColor="text1"/>
          <w:sz w:val="26"/>
          <w:szCs w:val="26"/>
          <w:lang w:eastAsia="hu-HU"/>
        </w:rPr>
        <w:t>forint volt, amely 95,3</w:t>
      </w:r>
      <w:r w:rsidRPr="5E04AD7D">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color w:val="000000" w:themeColor="text1"/>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Times New Roman" w:hAnsi="Times New Roman" w:cs="Times New Roman"/>
          <w:color w:val="000000" w:themeColor="text1"/>
          <w:sz w:val="26"/>
          <w:szCs w:val="26"/>
          <w:lang w:eastAsia="hu-HU"/>
        </w:rPr>
        <w:t>forinttal magasabb az egy évvel korábbi összegnél. Ennek oka a bértömeg növekedésének, a családi kedvezmények kiterjesztésének és az egyszeri kifizetésekhez kapcsolódó befizetéseknek az együttes hatása.</w:t>
      </w:r>
    </w:p>
    <w:p w14:paraId="00A5B237" w14:textId="77777777" w:rsidR="00C33C0A" w:rsidRPr="00C33C0A" w:rsidRDefault="5E04AD7D" w:rsidP="5E04AD7D">
      <w:pPr>
        <w:keepNext/>
        <w:keepLines/>
        <w:spacing w:before="120" w:after="12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 xml:space="preserve">Személyi jövedelemadó bevétel alakulása (milliárd forint) </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9"/>
        <w:gridCol w:w="1645"/>
        <w:gridCol w:w="1701"/>
        <w:gridCol w:w="992"/>
        <w:gridCol w:w="992"/>
      </w:tblGrid>
      <w:tr w:rsidR="00A948A8" w:rsidRPr="00A948A8" w14:paraId="7682B048" w14:textId="77777777" w:rsidTr="00C4012A">
        <w:trPr>
          <w:trHeight w:val="340"/>
          <w:jc w:val="center"/>
        </w:trPr>
        <w:tc>
          <w:tcPr>
            <w:tcW w:w="1469" w:type="dxa"/>
            <w:vMerge w:val="restart"/>
            <w:shd w:val="clear" w:color="auto" w:fill="BDD6EE" w:themeFill="accent1" w:themeFillTint="66"/>
            <w:noWrap/>
            <w:vAlign w:val="center"/>
            <w:hideMark/>
          </w:tcPr>
          <w:p w14:paraId="3AAA8176" w14:textId="77777777" w:rsidR="00A948A8" w:rsidRPr="00A948A8" w:rsidRDefault="5E04AD7D" w:rsidP="5E04AD7D">
            <w:pPr>
              <w:keepNext/>
              <w:keepLines/>
              <w:spacing w:after="0"/>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Megnevezés</w:t>
            </w:r>
          </w:p>
        </w:tc>
        <w:tc>
          <w:tcPr>
            <w:tcW w:w="1645" w:type="dxa"/>
            <w:vMerge w:val="restart"/>
            <w:shd w:val="clear" w:color="auto" w:fill="BDD6EE" w:themeFill="accent1" w:themeFillTint="66"/>
            <w:vAlign w:val="center"/>
            <w:hideMark/>
          </w:tcPr>
          <w:p w14:paraId="3A355406" w14:textId="77777777" w:rsidR="00A948A8" w:rsidRPr="00A948A8" w:rsidRDefault="5E04AD7D" w:rsidP="5E04AD7D">
            <w:pPr>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 xml:space="preserve">2025. </w:t>
            </w:r>
            <w:r w:rsidR="00A948A8">
              <w:br/>
            </w:r>
            <w:r w:rsidRPr="5E04AD7D">
              <w:rPr>
                <w:rFonts w:ascii="Times New Roman" w:eastAsia="Times New Roman" w:hAnsi="Times New Roman" w:cs="Times New Roman"/>
                <w:b/>
                <w:bCs/>
                <w:lang w:eastAsia="hu-HU"/>
              </w:rPr>
              <w:t>I-III. hó</w:t>
            </w:r>
          </w:p>
        </w:tc>
        <w:tc>
          <w:tcPr>
            <w:tcW w:w="1701" w:type="dxa"/>
            <w:vMerge w:val="restart"/>
            <w:shd w:val="clear" w:color="auto" w:fill="BDD6EE" w:themeFill="accent1" w:themeFillTint="66"/>
            <w:vAlign w:val="center"/>
            <w:hideMark/>
          </w:tcPr>
          <w:p w14:paraId="2AE540F3" w14:textId="77777777" w:rsidR="00A948A8" w:rsidRPr="00A948A8" w:rsidRDefault="5E04AD7D" w:rsidP="5E04AD7D">
            <w:pPr>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2026.</w:t>
            </w:r>
            <w:r w:rsidR="00A948A8">
              <w:br/>
            </w:r>
            <w:r w:rsidRPr="5E04AD7D">
              <w:rPr>
                <w:rFonts w:ascii="Times New Roman" w:eastAsia="Times New Roman" w:hAnsi="Times New Roman" w:cs="Times New Roman"/>
                <w:b/>
                <w:bCs/>
                <w:lang w:eastAsia="hu-HU"/>
              </w:rPr>
              <w:t>I-III. hó</w:t>
            </w:r>
          </w:p>
        </w:tc>
        <w:tc>
          <w:tcPr>
            <w:tcW w:w="1984" w:type="dxa"/>
            <w:gridSpan w:val="2"/>
            <w:shd w:val="clear" w:color="auto" w:fill="BDD6EE" w:themeFill="accent1" w:themeFillTint="66"/>
            <w:vAlign w:val="center"/>
            <w:hideMark/>
          </w:tcPr>
          <w:p w14:paraId="37F96ACB" w14:textId="77777777" w:rsidR="00A948A8" w:rsidRPr="00A948A8"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Eltérés</w:t>
            </w:r>
          </w:p>
        </w:tc>
      </w:tr>
      <w:tr w:rsidR="00A948A8" w:rsidRPr="00A948A8" w14:paraId="3A1BCD3A" w14:textId="77777777" w:rsidTr="00C4012A">
        <w:trPr>
          <w:trHeight w:val="340"/>
          <w:jc w:val="center"/>
        </w:trPr>
        <w:tc>
          <w:tcPr>
            <w:tcW w:w="1469" w:type="dxa"/>
            <w:vMerge/>
            <w:shd w:val="clear" w:color="auto" w:fill="BDD6EE" w:themeFill="accent1" w:themeFillTint="66"/>
            <w:noWrap/>
            <w:vAlign w:val="center"/>
          </w:tcPr>
          <w:p w14:paraId="0EB19F63" w14:textId="77777777" w:rsidR="00A948A8" w:rsidRPr="00A948A8" w:rsidRDefault="00A948A8" w:rsidP="00A948A8">
            <w:pPr>
              <w:keepNext/>
              <w:keepLines/>
              <w:spacing w:after="0" w:line="240" w:lineRule="auto"/>
              <w:jc w:val="center"/>
              <w:rPr>
                <w:rFonts w:ascii="Times New Roman" w:eastAsia="Times New Roman" w:hAnsi="Times New Roman" w:cs="Times New Roman"/>
                <w:b/>
                <w:bCs/>
                <w:szCs w:val="20"/>
                <w:lang w:eastAsia="hu-HU"/>
              </w:rPr>
            </w:pPr>
          </w:p>
        </w:tc>
        <w:tc>
          <w:tcPr>
            <w:tcW w:w="1645" w:type="dxa"/>
            <w:vMerge/>
            <w:shd w:val="clear" w:color="auto" w:fill="BDD6EE" w:themeFill="accent1" w:themeFillTint="66"/>
            <w:vAlign w:val="center"/>
          </w:tcPr>
          <w:p w14:paraId="4F3C5BBA" w14:textId="77777777" w:rsidR="00A948A8" w:rsidRPr="00A948A8" w:rsidRDefault="00A948A8" w:rsidP="00A948A8">
            <w:pPr>
              <w:spacing w:after="0" w:line="240" w:lineRule="auto"/>
              <w:jc w:val="center"/>
              <w:rPr>
                <w:rFonts w:ascii="Times New Roman" w:eastAsia="Times New Roman" w:hAnsi="Times New Roman" w:cs="Times New Roman"/>
                <w:b/>
                <w:bCs/>
                <w:szCs w:val="20"/>
                <w:lang w:eastAsia="hu-HU"/>
              </w:rPr>
            </w:pPr>
          </w:p>
        </w:tc>
        <w:tc>
          <w:tcPr>
            <w:tcW w:w="1701" w:type="dxa"/>
            <w:vMerge/>
            <w:shd w:val="clear" w:color="auto" w:fill="BDD6EE" w:themeFill="accent1" w:themeFillTint="66"/>
            <w:vAlign w:val="center"/>
          </w:tcPr>
          <w:p w14:paraId="5997C257" w14:textId="77777777" w:rsidR="00A948A8" w:rsidRPr="00A948A8" w:rsidRDefault="00A948A8" w:rsidP="00A948A8">
            <w:pPr>
              <w:spacing w:after="0" w:line="240" w:lineRule="auto"/>
              <w:jc w:val="center"/>
              <w:rPr>
                <w:rFonts w:ascii="Times New Roman" w:eastAsia="Times New Roman" w:hAnsi="Times New Roman" w:cs="Times New Roman"/>
                <w:b/>
                <w:bCs/>
                <w:szCs w:val="20"/>
                <w:lang w:eastAsia="hu-HU"/>
              </w:rPr>
            </w:pPr>
          </w:p>
        </w:tc>
        <w:tc>
          <w:tcPr>
            <w:tcW w:w="992" w:type="dxa"/>
            <w:shd w:val="clear" w:color="auto" w:fill="BDD6EE" w:themeFill="accent1" w:themeFillTint="66"/>
            <w:vAlign w:val="center"/>
          </w:tcPr>
          <w:p w14:paraId="2E07604B" w14:textId="77777777" w:rsidR="00A948A8" w:rsidRPr="00A948A8"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Mrd Ft</w:t>
            </w:r>
          </w:p>
        </w:tc>
        <w:tc>
          <w:tcPr>
            <w:tcW w:w="992" w:type="dxa"/>
            <w:shd w:val="clear" w:color="auto" w:fill="BDD6EE" w:themeFill="accent1" w:themeFillTint="66"/>
            <w:vAlign w:val="center"/>
          </w:tcPr>
          <w:p w14:paraId="6C05EB2B" w14:textId="77777777" w:rsidR="00A948A8" w:rsidRPr="00A948A8"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w:t>
            </w:r>
          </w:p>
        </w:tc>
      </w:tr>
      <w:tr w:rsidR="00A948A8" w:rsidRPr="00A948A8" w14:paraId="48571858" w14:textId="77777777" w:rsidTr="28F9800E">
        <w:trPr>
          <w:trHeight w:val="340"/>
          <w:jc w:val="center"/>
        </w:trPr>
        <w:tc>
          <w:tcPr>
            <w:tcW w:w="1469" w:type="dxa"/>
            <w:noWrap/>
            <w:vAlign w:val="center"/>
            <w:hideMark/>
          </w:tcPr>
          <w:p w14:paraId="579D069B" w14:textId="77777777" w:rsidR="00A948A8" w:rsidRPr="00A948A8" w:rsidRDefault="5E04AD7D" w:rsidP="5E04AD7D">
            <w:pPr>
              <w:keepNext/>
              <w:keepLines/>
              <w:spacing w:after="0" w:line="240" w:lineRule="auto"/>
              <w:jc w:val="both"/>
              <w:rPr>
                <w:rFonts w:ascii="Times New Roman" w:eastAsia="Times New Roman" w:hAnsi="Times New Roman" w:cs="Times New Roman"/>
                <w:lang w:eastAsia="hu-HU"/>
              </w:rPr>
            </w:pPr>
            <w:r w:rsidRPr="5E04AD7D">
              <w:rPr>
                <w:rFonts w:ascii="Times New Roman" w:eastAsia="Times New Roman" w:hAnsi="Times New Roman" w:cs="Times New Roman"/>
                <w:lang w:eastAsia="hu-HU"/>
              </w:rPr>
              <w:t>Befizetés</w:t>
            </w:r>
          </w:p>
        </w:tc>
        <w:tc>
          <w:tcPr>
            <w:tcW w:w="1645" w:type="dxa"/>
            <w:noWrap/>
            <w:vAlign w:val="center"/>
          </w:tcPr>
          <w:p w14:paraId="3E134EA9"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1238,4</w:t>
            </w:r>
          </w:p>
        </w:tc>
        <w:tc>
          <w:tcPr>
            <w:tcW w:w="1701" w:type="dxa"/>
            <w:noWrap/>
            <w:vAlign w:val="center"/>
          </w:tcPr>
          <w:p w14:paraId="05BD87E2"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1343,3</w:t>
            </w:r>
          </w:p>
        </w:tc>
        <w:tc>
          <w:tcPr>
            <w:tcW w:w="992" w:type="dxa"/>
            <w:noWrap/>
            <w:vAlign w:val="center"/>
          </w:tcPr>
          <w:p w14:paraId="53129E73"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104,9</w:t>
            </w:r>
          </w:p>
        </w:tc>
        <w:tc>
          <w:tcPr>
            <w:tcW w:w="992" w:type="dxa"/>
            <w:vAlign w:val="center"/>
          </w:tcPr>
          <w:p w14:paraId="0C558835"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108,5</w:t>
            </w:r>
          </w:p>
        </w:tc>
      </w:tr>
      <w:tr w:rsidR="00A948A8" w:rsidRPr="00A948A8" w14:paraId="1D62A574" w14:textId="77777777" w:rsidTr="28F9800E">
        <w:trPr>
          <w:trHeight w:val="340"/>
          <w:jc w:val="center"/>
        </w:trPr>
        <w:tc>
          <w:tcPr>
            <w:tcW w:w="1469" w:type="dxa"/>
            <w:noWrap/>
            <w:vAlign w:val="center"/>
            <w:hideMark/>
          </w:tcPr>
          <w:p w14:paraId="504DBF8F" w14:textId="77777777" w:rsidR="00A948A8" w:rsidRPr="00A948A8" w:rsidRDefault="5E04AD7D" w:rsidP="5E04AD7D">
            <w:pPr>
              <w:keepNext/>
              <w:keepLines/>
              <w:spacing w:after="0" w:line="240" w:lineRule="auto"/>
              <w:jc w:val="both"/>
              <w:rPr>
                <w:rFonts w:ascii="Times New Roman" w:eastAsia="Times New Roman" w:hAnsi="Times New Roman" w:cs="Times New Roman"/>
                <w:lang w:eastAsia="hu-HU"/>
              </w:rPr>
            </w:pPr>
            <w:r w:rsidRPr="5E04AD7D">
              <w:rPr>
                <w:rFonts w:ascii="Times New Roman" w:eastAsia="Times New Roman" w:hAnsi="Times New Roman" w:cs="Times New Roman"/>
                <w:lang w:eastAsia="hu-HU"/>
              </w:rPr>
              <w:t>Kiutalás</w:t>
            </w:r>
          </w:p>
        </w:tc>
        <w:tc>
          <w:tcPr>
            <w:tcW w:w="1645" w:type="dxa"/>
            <w:noWrap/>
            <w:vAlign w:val="center"/>
          </w:tcPr>
          <w:p w14:paraId="51BAB7C0"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36,2</w:t>
            </w:r>
          </w:p>
        </w:tc>
        <w:tc>
          <w:tcPr>
            <w:tcW w:w="1701" w:type="dxa"/>
            <w:noWrap/>
            <w:vAlign w:val="center"/>
          </w:tcPr>
          <w:p w14:paraId="032822AF"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45,8</w:t>
            </w:r>
          </w:p>
        </w:tc>
        <w:tc>
          <w:tcPr>
            <w:tcW w:w="992" w:type="dxa"/>
            <w:noWrap/>
            <w:vAlign w:val="center"/>
          </w:tcPr>
          <w:p w14:paraId="35C75690"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9,6</w:t>
            </w:r>
          </w:p>
        </w:tc>
        <w:tc>
          <w:tcPr>
            <w:tcW w:w="992" w:type="dxa"/>
            <w:vAlign w:val="center"/>
          </w:tcPr>
          <w:p w14:paraId="3B5094A1" w14:textId="77777777" w:rsidR="00A948A8" w:rsidRPr="00A948A8" w:rsidRDefault="28F9800E" w:rsidP="28F9800E">
            <w:pPr>
              <w:keepNext/>
              <w:keepLines/>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126,5</w:t>
            </w:r>
          </w:p>
        </w:tc>
      </w:tr>
      <w:tr w:rsidR="00A948A8" w:rsidRPr="00A948A8" w14:paraId="69696543" w14:textId="77777777" w:rsidTr="28F9800E">
        <w:trPr>
          <w:trHeight w:val="340"/>
          <w:jc w:val="center"/>
        </w:trPr>
        <w:tc>
          <w:tcPr>
            <w:tcW w:w="1469" w:type="dxa"/>
            <w:noWrap/>
            <w:vAlign w:val="center"/>
            <w:hideMark/>
          </w:tcPr>
          <w:p w14:paraId="6C72191F" w14:textId="77777777" w:rsidR="00A948A8" w:rsidRPr="00A948A8" w:rsidRDefault="5E04AD7D" w:rsidP="5E04AD7D">
            <w:pPr>
              <w:widowControl w:val="0"/>
              <w:spacing w:after="0" w:line="240" w:lineRule="auto"/>
              <w:jc w:val="both"/>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Egyenleg</w:t>
            </w:r>
          </w:p>
        </w:tc>
        <w:tc>
          <w:tcPr>
            <w:tcW w:w="1645" w:type="dxa"/>
            <w:noWrap/>
            <w:vAlign w:val="center"/>
          </w:tcPr>
          <w:p w14:paraId="703AAD20" w14:textId="77777777" w:rsidR="00A948A8" w:rsidRPr="00A948A8" w:rsidRDefault="28F9800E" w:rsidP="28F9800E">
            <w:pPr>
              <w:widowControl w:val="0"/>
              <w:spacing w:after="0" w:line="240" w:lineRule="auto"/>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1202,2</w:t>
            </w:r>
          </w:p>
        </w:tc>
        <w:tc>
          <w:tcPr>
            <w:tcW w:w="1701" w:type="dxa"/>
            <w:noWrap/>
            <w:vAlign w:val="center"/>
          </w:tcPr>
          <w:p w14:paraId="16109000" w14:textId="77777777" w:rsidR="00A948A8" w:rsidRPr="00A948A8" w:rsidRDefault="28F9800E" w:rsidP="28F9800E">
            <w:pPr>
              <w:widowControl w:val="0"/>
              <w:spacing w:after="0" w:line="240" w:lineRule="auto"/>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1297,5</w:t>
            </w:r>
          </w:p>
        </w:tc>
        <w:tc>
          <w:tcPr>
            <w:tcW w:w="992" w:type="dxa"/>
            <w:noWrap/>
            <w:vAlign w:val="center"/>
          </w:tcPr>
          <w:p w14:paraId="14710EB8" w14:textId="77777777" w:rsidR="00A948A8" w:rsidRPr="00A948A8" w:rsidRDefault="28F9800E" w:rsidP="28F9800E">
            <w:pPr>
              <w:widowControl w:val="0"/>
              <w:spacing w:after="0" w:line="240" w:lineRule="auto"/>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95,3</w:t>
            </w:r>
          </w:p>
        </w:tc>
        <w:tc>
          <w:tcPr>
            <w:tcW w:w="992" w:type="dxa"/>
            <w:vAlign w:val="center"/>
          </w:tcPr>
          <w:p w14:paraId="504E5D98" w14:textId="77777777" w:rsidR="00A948A8" w:rsidRPr="00A948A8" w:rsidRDefault="28F9800E" w:rsidP="28F9800E">
            <w:pPr>
              <w:widowControl w:val="0"/>
              <w:spacing w:after="0" w:line="240" w:lineRule="auto"/>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107,9</w:t>
            </w:r>
          </w:p>
        </w:tc>
      </w:tr>
    </w:tbl>
    <w:p w14:paraId="54234F12" w14:textId="5B8711D1" w:rsidR="123EFD2F" w:rsidRPr="00381A54" w:rsidRDefault="5E04AD7D" w:rsidP="5E04AD7D">
      <w:pPr>
        <w:spacing w:before="240"/>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Központi Maradványelszámolási Alapba</w:t>
      </w:r>
      <w:r w:rsidRPr="5E04AD7D">
        <w:rPr>
          <w:rFonts w:ascii="Times New Roman" w:eastAsia="Times New Roman" w:hAnsi="Times New Roman" w:cs="Times New Roman"/>
          <w:sz w:val="26"/>
          <w:szCs w:val="26"/>
        </w:rPr>
        <w:t xml:space="preserve"> </w:t>
      </w:r>
      <w:r w:rsidRPr="5E04AD7D">
        <w:rPr>
          <w:rFonts w:ascii="Times New Roman" w:eastAsia="Times New Roman" w:hAnsi="Times New Roman" w:cs="Times New Roman"/>
          <w:b/>
          <w:bCs/>
          <w:sz w:val="26"/>
          <w:szCs w:val="26"/>
        </w:rPr>
        <w:t>történő befizetések</w:t>
      </w:r>
      <w:r w:rsidRPr="5E04AD7D">
        <w:rPr>
          <w:rFonts w:ascii="Times New Roman" w:eastAsia="Times New Roman" w:hAnsi="Times New Roman" w:cs="Times New Roman"/>
          <w:sz w:val="26"/>
          <w:szCs w:val="26"/>
        </w:rPr>
        <w:t xml:space="preserve"> mérlegsorra az év első három hónapjában 400,0 milliárd forint maradvány került befizetésre, szemben az előző év azonos időszakában befolyt 117,0 milliárd forintos összeggel.</w:t>
      </w:r>
    </w:p>
    <w:p w14:paraId="25C427CE" w14:textId="3F186F96" w:rsidR="029C2633" w:rsidRPr="00381A54" w:rsidRDefault="5E04AD7D" w:rsidP="5E04AD7D">
      <w:pPr>
        <w:jc w:val="both"/>
        <w:rPr>
          <w:rFonts w:ascii="Times New Roman" w:eastAsia="Times New Roman" w:hAnsi="Times New Roman" w:cs="Times New Roman"/>
          <w:b/>
          <w:bCs/>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 xml:space="preserve">állami vagyonnal kapcsolatos befizetések </w:t>
      </w:r>
      <w:r w:rsidRPr="5E04AD7D">
        <w:rPr>
          <w:rFonts w:ascii="Times New Roman" w:eastAsia="Times New Roman" w:hAnsi="Times New Roman" w:cs="Times New Roman"/>
          <w:sz w:val="26"/>
          <w:szCs w:val="26"/>
        </w:rPr>
        <w:t>márciusi összege 67,4 milliárd forint, amelynek meghatározó tétele az ingat</w:t>
      </w:r>
      <w:r w:rsidR="00AB0B81">
        <w:rPr>
          <w:rFonts w:ascii="Times New Roman" w:eastAsia="Times New Roman" w:hAnsi="Times New Roman" w:cs="Times New Roman"/>
          <w:sz w:val="26"/>
          <w:szCs w:val="26"/>
        </w:rPr>
        <w:t>lan</w:t>
      </w:r>
      <w:r w:rsidRPr="5E04AD7D">
        <w:rPr>
          <w:rFonts w:ascii="Times New Roman" w:eastAsia="Times New Roman" w:hAnsi="Times New Roman" w:cs="Times New Roman"/>
          <w:sz w:val="26"/>
          <w:szCs w:val="26"/>
        </w:rPr>
        <w:t>okkal kapcsolatos bevételek volt.</w:t>
      </w:r>
      <w:r w:rsidRPr="5E04AD7D">
        <w:rPr>
          <w:rFonts w:ascii="Times New Roman" w:eastAsia="Times New Roman" w:hAnsi="Times New Roman" w:cs="Times New Roman"/>
          <w:b/>
          <w:bCs/>
          <w:sz w:val="26"/>
          <w:szCs w:val="26"/>
        </w:rPr>
        <w:t xml:space="preserve"> </w:t>
      </w:r>
    </w:p>
    <w:p w14:paraId="0D0F2783" w14:textId="72B98320" w:rsidR="009D55B4" w:rsidRPr="00377D59" w:rsidRDefault="00527154" w:rsidP="009D55B4">
      <w:pPr>
        <w:jc w:val="center"/>
        <w:rPr>
          <w:rFonts w:ascii="Times New Roman" w:eastAsia="Times New Roman" w:hAnsi="Times New Roman" w:cs="Times New Roman"/>
          <w:sz w:val="26"/>
          <w:szCs w:val="26"/>
        </w:rPr>
      </w:pPr>
      <w:r w:rsidRPr="00527154">
        <w:rPr>
          <w:rFonts w:ascii="Times New Roman" w:eastAsia="Times New Roman" w:hAnsi="Times New Roman" w:cs="Times New Roman"/>
          <w:noProof/>
          <w:sz w:val="26"/>
          <w:szCs w:val="26"/>
        </w:rPr>
        <w:drawing>
          <wp:inline distT="0" distB="0" distL="0" distR="0" wp14:anchorId="51E84F32" wp14:editId="73D6C988">
            <wp:extent cx="5623433" cy="3335588"/>
            <wp:effectExtent l="0" t="0" r="0" b="0"/>
            <wp:docPr id="14057237"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237" name="Kép 1" descr="A képen szöveg, képernyőkép, sor, Diagram látható&#10;&#10;Előfordulhat, hogy a mesterséges intelligencia által létrehozott tartalom helytelen."/>
                    <pic:cNvPicPr/>
                  </pic:nvPicPr>
                  <pic:blipFill>
                    <a:blip r:embed="rId16"/>
                    <a:stretch>
                      <a:fillRect/>
                    </a:stretch>
                  </pic:blipFill>
                  <pic:spPr>
                    <a:xfrm>
                      <a:off x="0" y="0"/>
                      <a:ext cx="5639130" cy="3344899"/>
                    </a:xfrm>
                    <a:prstGeom prst="rect">
                      <a:avLst/>
                    </a:prstGeom>
                  </pic:spPr>
                </pic:pic>
              </a:graphicData>
            </a:graphic>
          </wp:inline>
        </w:drawing>
      </w:r>
    </w:p>
    <w:p w14:paraId="23623F4E" w14:textId="4D360FEA" w:rsidR="5B67C7D7" w:rsidRPr="00920F4D" w:rsidRDefault="5E04AD7D" w:rsidP="00693114">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költségvetés XLV. </w:t>
      </w:r>
      <w:r w:rsidRPr="5E04AD7D">
        <w:rPr>
          <w:rFonts w:ascii="Times New Roman" w:eastAsia="Times New Roman" w:hAnsi="Times New Roman" w:cs="Times New Roman"/>
          <w:b/>
          <w:bCs/>
          <w:sz w:val="26"/>
          <w:szCs w:val="26"/>
        </w:rPr>
        <w:t>Állami beruházások</w:t>
      </w:r>
      <w:r w:rsidRPr="5E04AD7D">
        <w:rPr>
          <w:rFonts w:ascii="Times New Roman" w:eastAsia="Times New Roman" w:hAnsi="Times New Roman" w:cs="Times New Roman"/>
          <w:sz w:val="26"/>
          <w:szCs w:val="26"/>
        </w:rPr>
        <w:t xml:space="preserve"> fejezetének bevételei 2026. március végéig 79,0 milliárd forintot tettek ki.</w:t>
      </w:r>
    </w:p>
    <w:p w14:paraId="1A94A750" w14:textId="7BEB1E0B" w:rsidR="00D32B0C" w:rsidRPr="00377D59" w:rsidRDefault="28F9800E" w:rsidP="00693114">
      <w:pPr>
        <w:jc w:val="both"/>
        <w:rPr>
          <w:rFonts w:ascii="Times New Roman" w:eastAsia="Times New Roman" w:hAnsi="Times New Roman" w:cs="Times New Roman"/>
          <w:sz w:val="26"/>
          <w:szCs w:val="26"/>
        </w:rPr>
      </w:pPr>
      <w:r w:rsidRPr="28F9800E">
        <w:rPr>
          <w:rFonts w:ascii="Times New Roman" w:eastAsia="Times New Roman" w:hAnsi="Times New Roman" w:cs="Times New Roman"/>
          <w:sz w:val="26"/>
          <w:szCs w:val="26"/>
        </w:rPr>
        <w:t xml:space="preserve">Az uniós bevételek főszabály szerint a XLII. A költségvetés közvetlen bevételei és kiadásai fejezetbe érkeznek, ezek kimutatására szolgál az </w:t>
      </w:r>
      <w:r w:rsidRPr="28F9800E">
        <w:rPr>
          <w:rFonts w:ascii="Times New Roman" w:eastAsia="Times New Roman" w:hAnsi="Times New Roman" w:cs="Times New Roman"/>
          <w:b/>
          <w:bCs/>
          <w:sz w:val="26"/>
          <w:szCs w:val="26"/>
        </w:rPr>
        <w:t>Uniós programok bevételei</w:t>
      </w:r>
      <w:r w:rsidRPr="28F9800E">
        <w:rPr>
          <w:rFonts w:ascii="Times New Roman" w:eastAsia="Times New Roman" w:hAnsi="Times New Roman" w:cs="Times New Roman"/>
          <w:sz w:val="26"/>
          <w:szCs w:val="26"/>
        </w:rPr>
        <w:t xml:space="preserve">, az </w:t>
      </w:r>
      <w:r w:rsidRPr="28F9800E">
        <w:rPr>
          <w:rFonts w:ascii="Times New Roman" w:eastAsia="Times New Roman" w:hAnsi="Times New Roman" w:cs="Times New Roman"/>
          <w:b/>
          <w:bCs/>
          <w:sz w:val="26"/>
          <w:szCs w:val="26"/>
        </w:rPr>
        <w:t>Egyéb uniós bevételek</w:t>
      </w:r>
      <w:r w:rsidRPr="28F9800E">
        <w:rPr>
          <w:rFonts w:ascii="Times New Roman" w:eastAsia="Times New Roman" w:hAnsi="Times New Roman" w:cs="Times New Roman"/>
          <w:sz w:val="26"/>
          <w:szCs w:val="26"/>
        </w:rPr>
        <w:t xml:space="preserve">, valamint az </w:t>
      </w:r>
      <w:r w:rsidRPr="28F9800E">
        <w:rPr>
          <w:rFonts w:ascii="Times New Roman" w:eastAsia="Times New Roman" w:hAnsi="Times New Roman" w:cs="Times New Roman"/>
          <w:b/>
          <w:bCs/>
          <w:sz w:val="26"/>
          <w:szCs w:val="26"/>
        </w:rPr>
        <w:t>Uniós támogatások utólagos megtérülése</w:t>
      </w:r>
      <w:r w:rsidRPr="28F9800E">
        <w:rPr>
          <w:rFonts w:ascii="Times New Roman" w:eastAsia="Times New Roman" w:hAnsi="Times New Roman" w:cs="Times New Roman"/>
          <w:sz w:val="26"/>
          <w:szCs w:val="26"/>
        </w:rPr>
        <w:t xml:space="preserve"> mérlegsor.</w:t>
      </w:r>
    </w:p>
    <w:p w14:paraId="11F30D81" w14:textId="52E1AB1D" w:rsidR="333BE5E1" w:rsidRDefault="5E04AD7D" w:rsidP="00693114">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lastRenderedPageBreak/>
        <w:t xml:space="preserve">Az </w:t>
      </w:r>
      <w:r w:rsidRPr="5E04AD7D">
        <w:rPr>
          <w:rFonts w:ascii="Times New Roman" w:eastAsia="Times New Roman" w:hAnsi="Times New Roman" w:cs="Times New Roman"/>
          <w:b/>
          <w:bCs/>
          <w:sz w:val="26"/>
          <w:szCs w:val="26"/>
        </w:rPr>
        <w:t>Uniós programok bevételei</w:t>
      </w:r>
      <w:r w:rsidRPr="5E04AD7D">
        <w:rPr>
          <w:rFonts w:ascii="Times New Roman" w:eastAsia="Times New Roman" w:hAnsi="Times New Roman" w:cs="Times New Roman"/>
          <w:sz w:val="26"/>
          <w:szCs w:val="26"/>
        </w:rPr>
        <w:t xml:space="preserve"> mérlegsoron 2026. március végéig 377,7 milliárd forint bevétel keletkezett. Ez az összeg a törvényi előirányzat (1894,0 milliárd forint) 19,9%-át teszi ki. A teljesült bevételből 345,6 milliárd forint az uniós, 22,1 milliárd forint az egyéb bevételekhez, illetve 10</w:t>
      </w:r>
      <w:r w:rsidR="001C4D5A">
        <w:rPr>
          <w:rFonts w:ascii="Times New Roman" w:eastAsia="Times New Roman" w:hAnsi="Times New Roman" w:cs="Times New Roman"/>
          <w:sz w:val="26"/>
          <w:szCs w:val="26"/>
        </w:rPr>
        <w:t>,0</w:t>
      </w:r>
      <w:r w:rsidRPr="5E04AD7D">
        <w:rPr>
          <w:rFonts w:ascii="Times New Roman" w:eastAsia="Times New Roman" w:hAnsi="Times New Roman" w:cs="Times New Roman"/>
          <w:sz w:val="26"/>
          <w:szCs w:val="26"/>
        </w:rPr>
        <w:t xml:space="preserve"> milliárd forint az uniós támogatások utólagos megtérüléséhez tartozik.</w:t>
      </w:r>
    </w:p>
    <w:p w14:paraId="040E2327" w14:textId="77B0A1AA" w:rsidR="74B9DF17" w:rsidRPr="00FE12D5" w:rsidRDefault="5E04AD7D" w:rsidP="00693114">
      <w:pPr>
        <w:jc w:val="both"/>
        <w:rPr>
          <w:rFonts w:ascii="Times New Roman" w:hAnsi="Times New Roman" w:cs="Times New Roman"/>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 xml:space="preserve">vámbeszedési költség megtérítése </w:t>
      </w:r>
      <w:r w:rsidRPr="5E04AD7D">
        <w:rPr>
          <w:rFonts w:ascii="Times New Roman" w:eastAsia="Times New Roman" w:hAnsi="Times New Roman" w:cs="Times New Roman"/>
          <w:sz w:val="26"/>
          <w:szCs w:val="26"/>
        </w:rPr>
        <w:t>mérlegsoron 12,1 milliárd forint bevétel jelentkezett 2026. március végéig. Ez az összeg a törvényi előirányzat 34,9%-a</w:t>
      </w:r>
      <w:r w:rsidR="008754B2">
        <w:rPr>
          <w:rFonts w:ascii="Times New Roman" w:eastAsia="Times New Roman" w:hAnsi="Times New Roman" w:cs="Times New Roman"/>
          <w:sz w:val="26"/>
          <w:szCs w:val="26"/>
        </w:rPr>
        <w:t>,</w:t>
      </w:r>
      <w:r w:rsidRPr="5E04AD7D">
        <w:rPr>
          <w:rFonts w:ascii="Times New Roman" w:eastAsia="Times New Roman" w:hAnsi="Times New Roman" w:cs="Times New Roman"/>
          <w:sz w:val="26"/>
          <w:szCs w:val="26"/>
        </w:rPr>
        <w:t xml:space="preserve"> és 4</w:t>
      </w:r>
      <w:r w:rsidR="001C4D5A">
        <w:rPr>
          <w:rFonts w:ascii="Times New Roman" w:eastAsia="Times New Roman" w:hAnsi="Times New Roman" w:cs="Times New Roman"/>
          <w:sz w:val="26"/>
          <w:szCs w:val="26"/>
        </w:rPr>
        <w:t>,1</w:t>
      </w:r>
      <w:r w:rsidRPr="5E04AD7D">
        <w:rPr>
          <w:rFonts w:ascii="Times New Roman" w:eastAsia="Times New Roman" w:hAnsi="Times New Roman" w:cs="Times New Roman"/>
          <w:sz w:val="26"/>
          <w:szCs w:val="26"/>
        </w:rPr>
        <w:t xml:space="preserve"> milliárd forinttal haladja meg a 2025. év azonos időszakában keletkezett bevételt.</w:t>
      </w:r>
    </w:p>
    <w:p w14:paraId="20E71318" w14:textId="2536AFAA" w:rsidR="00A948A8" w:rsidRPr="00A948A8" w:rsidRDefault="5E04AD7D" w:rsidP="00693114">
      <w:pPr>
        <w:jc w:val="both"/>
        <w:rPr>
          <w:rFonts w:ascii="Times New Roman" w:eastAsia="Calibri" w:hAnsi="Times New Roman" w:cs="Times New Roman"/>
          <w:sz w:val="26"/>
          <w:szCs w:val="26"/>
          <w:lang w:eastAsia="hu-HU"/>
        </w:rPr>
      </w:pPr>
      <w:r w:rsidRPr="5E04AD7D">
        <w:rPr>
          <w:rFonts w:ascii="Times New Roman" w:eastAsia="Calibri" w:hAnsi="Times New Roman" w:cs="Times New Roman"/>
          <w:sz w:val="26"/>
          <w:szCs w:val="26"/>
          <w:lang w:eastAsia="hu-HU"/>
        </w:rPr>
        <w:t xml:space="preserve">A befizetett társadalombiztosítási járulék 8,1%-át az állami adóhatóság a foglalkoztatási programokkal kapcsolatos elkülönített állami pénzalapnak utalja át. 2026 első három hónapjában a </w:t>
      </w:r>
      <w:r w:rsidRPr="5E04AD7D">
        <w:rPr>
          <w:rFonts w:ascii="Times New Roman" w:eastAsia="Calibri" w:hAnsi="Times New Roman" w:cs="Times New Roman"/>
          <w:b/>
          <w:bCs/>
          <w:sz w:val="26"/>
          <w:szCs w:val="26"/>
          <w:lang w:eastAsia="hu-HU"/>
        </w:rPr>
        <w:t xml:space="preserve">társadalombiztosítási járulék </w:t>
      </w:r>
      <w:r w:rsidRPr="5E04AD7D">
        <w:rPr>
          <w:rFonts w:ascii="Times New Roman" w:eastAsia="Times New Roman" w:hAnsi="Times New Roman" w:cs="Times New Roman"/>
          <w:b/>
          <w:bCs/>
          <w:sz w:val="26"/>
          <w:szCs w:val="26"/>
          <w:lang w:eastAsia="hu-HU"/>
        </w:rPr>
        <w:t xml:space="preserve">Nemzeti Foglalkoztatási </w:t>
      </w:r>
      <w:r w:rsidRPr="5E04AD7D">
        <w:rPr>
          <w:rFonts w:ascii="Times New Roman" w:eastAsia="Calibri" w:hAnsi="Times New Roman" w:cs="Times New Roman"/>
          <w:b/>
          <w:bCs/>
          <w:sz w:val="26"/>
          <w:szCs w:val="26"/>
          <w:lang w:eastAsia="hu-HU"/>
        </w:rPr>
        <w:t xml:space="preserve">Alapot megillető része </w:t>
      </w:r>
      <w:r w:rsidRPr="5E04AD7D">
        <w:rPr>
          <w:rFonts w:ascii="Times New Roman" w:eastAsia="Calibri" w:hAnsi="Times New Roman" w:cs="Times New Roman"/>
          <w:sz w:val="26"/>
          <w:szCs w:val="26"/>
          <w:lang w:eastAsia="hu-HU"/>
        </w:rPr>
        <w:t>119,9 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forintban teljesült, amely az előző év azonos időszakában befolyt bevételt 14,1</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forinttal haladta meg. A bevételnövekedés oka a járulékköteles bértömeg növekedésének, a családi kedvezmények kiterjesztésének és az egyszeri kifizetésekhez kapcsolódó befizetéseknek az együttes hatása.</w:t>
      </w:r>
      <w:bookmarkStart w:id="2" w:name="_Hlk224054089"/>
    </w:p>
    <w:bookmarkEnd w:id="2"/>
    <w:p w14:paraId="5BD440D4" w14:textId="65012F6C" w:rsidR="00A948A8" w:rsidRPr="00A948A8" w:rsidRDefault="28F9800E" w:rsidP="00693114">
      <w:pPr>
        <w:jc w:val="both"/>
        <w:rPr>
          <w:rFonts w:ascii="Times New Roman" w:eastAsia="Times New Roman" w:hAnsi="Times New Roman" w:cs="Times New Roman"/>
          <w:sz w:val="26"/>
          <w:szCs w:val="26"/>
          <w:lang w:eastAsia="hu-HU"/>
        </w:rPr>
      </w:pPr>
      <w:r w:rsidRPr="28F9800E">
        <w:rPr>
          <w:rFonts w:ascii="Times New Roman" w:eastAsia="Times New Roman" w:hAnsi="Times New Roman" w:cs="Times New Roman"/>
          <w:sz w:val="26"/>
          <w:szCs w:val="26"/>
          <w:lang w:eastAsia="hu-HU"/>
        </w:rPr>
        <w:t>2026-ban a szociális hozzájárulási adó megfizetett összegének 82,81%-a a</w:t>
      </w:r>
      <w:r w:rsidR="00F17FAE">
        <w:rPr>
          <w:rFonts w:ascii="Times New Roman" w:eastAsia="Times New Roman" w:hAnsi="Times New Roman" w:cs="Times New Roman"/>
          <w:sz w:val="26"/>
          <w:szCs w:val="26"/>
          <w:lang w:eastAsia="hu-HU"/>
        </w:rPr>
        <w:t> </w:t>
      </w:r>
      <w:r w:rsidRPr="28F9800E">
        <w:rPr>
          <w:rFonts w:ascii="Times New Roman" w:eastAsia="Times New Roman" w:hAnsi="Times New Roman" w:cs="Times New Roman"/>
          <w:sz w:val="26"/>
          <w:szCs w:val="26"/>
          <w:lang w:eastAsia="hu-HU"/>
        </w:rPr>
        <w:t xml:space="preserve">Nyugdíjbiztosítási Alapot illeti meg. A </w:t>
      </w:r>
      <w:r w:rsidRPr="28F9800E">
        <w:rPr>
          <w:rFonts w:ascii="Times New Roman" w:eastAsia="Times New Roman" w:hAnsi="Times New Roman" w:cs="Times New Roman"/>
          <w:b/>
          <w:bCs/>
          <w:sz w:val="26"/>
          <w:szCs w:val="26"/>
          <w:lang w:eastAsia="hu-HU"/>
        </w:rPr>
        <w:t xml:space="preserve">szociális hozzájárulási adó Nyugdíjbiztosítási Alapot megillető része </w:t>
      </w:r>
      <w:r w:rsidRPr="28F9800E">
        <w:rPr>
          <w:rFonts w:ascii="Times New Roman" w:eastAsia="Times New Roman" w:hAnsi="Times New Roman" w:cs="Times New Roman"/>
          <w:sz w:val="26"/>
          <w:szCs w:val="26"/>
          <w:lang w:eastAsia="hu-HU"/>
        </w:rPr>
        <w:t>2026 első három hónapjában 799,6 milliárd forintban teljesült, amely 88,1 milliárd forinttal haladta meg az előző év</w:t>
      </w:r>
      <w:r w:rsidRPr="28F9800E">
        <w:rPr>
          <w:rFonts w:ascii="Times New Roman" w:eastAsia="Calibri" w:hAnsi="Times New Roman" w:cs="Times New Roman"/>
          <w:sz w:val="26"/>
          <w:szCs w:val="26"/>
          <w:lang w:eastAsia="hu-HU"/>
        </w:rPr>
        <w:t xml:space="preserve"> azonos időszakában </w:t>
      </w:r>
      <w:r w:rsidRPr="28F9800E">
        <w:rPr>
          <w:rFonts w:ascii="Times New Roman" w:eastAsia="Times New Roman" w:hAnsi="Times New Roman" w:cs="Times New Roman"/>
          <w:sz w:val="26"/>
          <w:szCs w:val="26"/>
          <w:lang w:eastAsia="hu-HU"/>
        </w:rPr>
        <w:t>befolyt bevételt. A bevétel változása az adóköteles jövedelmek növekedésével és az alapok közötti megoszlási arány változásával</w:t>
      </w:r>
      <w:r w:rsidRPr="28F9800E">
        <w:rPr>
          <w:rFonts w:ascii="Times New Roman" w:eastAsia="Times New Roman" w:hAnsi="Times New Roman" w:cs="Times New Roman"/>
          <w:color w:val="000000" w:themeColor="text1"/>
          <w:sz w:val="26"/>
          <w:szCs w:val="26"/>
          <w:lang w:eastAsia="hu-HU"/>
        </w:rPr>
        <w:t xml:space="preserve"> magyarázható, valamint az egyszeri kifizetésekhez kapcsolódó befizetésekkel.</w:t>
      </w:r>
      <w:bookmarkStart w:id="3" w:name="_Hlk224054676"/>
      <w:bookmarkEnd w:id="3"/>
    </w:p>
    <w:p w14:paraId="0F69A6EF" w14:textId="1E8F6705" w:rsidR="00E20C14" w:rsidRDefault="5E04AD7D" w:rsidP="00693114">
      <w:pPr>
        <w:jc w:val="both"/>
        <w:rPr>
          <w:rFonts w:ascii="Times New Roman" w:eastAsia="Calibri"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befizetett társadalombiztosítási járulék 54%-át az állami adóhatóság a Nyugdíjbiztosítási Alapnak utalja át. 2026 első három hónapjában a </w:t>
      </w:r>
      <w:r w:rsidRPr="5E04AD7D">
        <w:rPr>
          <w:rFonts w:ascii="Times New Roman" w:eastAsia="Times New Roman" w:hAnsi="Times New Roman" w:cs="Times New Roman"/>
          <w:b/>
          <w:bCs/>
          <w:sz w:val="26"/>
          <w:szCs w:val="26"/>
          <w:lang w:eastAsia="hu-HU"/>
        </w:rPr>
        <w:t>társadalombiztosítási járulék Nyugdíjbiztosítási Alapot megillető része és nyugdíjjárulék</w:t>
      </w:r>
      <w:r w:rsidRPr="5E04AD7D">
        <w:rPr>
          <w:rFonts w:ascii="Times New Roman" w:eastAsia="Times New Roman" w:hAnsi="Times New Roman" w:cs="Times New Roman"/>
          <w:sz w:val="26"/>
          <w:szCs w:val="26"/>
          <w:lang w:eastAsia="hu-HU"/>
        </w:rPr>
        <w:t xml:space="preserve"> 816,2 milliárd forintban teljesült, amely az előző </w:t>
      </w:r>
      <w:r w:rsidRPr="5E04AD7D">
        <w:rPr>
          <w:rFonts w:ascii="Times New Roman" w:eastAsia="Calibri" w:hAnsi="Times New Roman" w:cs="Times New Roman"/>
          <w:sz w:val="26"/>
          <w:szCs w:val="26"/>
          <w:lang w:eastAsia="hu-HU"/>
        </w:rPr>
        <w:t>év azonos időszakában</w:t>
      </w:r>
      <w:r w:rsidRPr="5E04AD7D">
        <w:rPr>
          <w:rFonts w:ascii="Times New Roman" w:eastAsia="Times New Roman" w:hAnsi="Times New Roman" w:cs="Times New Roman"/>
          <w:sz w:val="26"/>
          <w:szCs w:val="26"/>
          <w:lang w:eastAsia="hu-HU"/>
        </w:rPr>
        <w:t xml:space="preserve"> befolyt bevételt 94,6 milliárd forinttal haladta meg. </w:t>
      </w:r>
      <w:r w:rsidRPr="5E04AD7D">
        <w:rPr>
          <w:rFonts w:ascii="Times New Roman" w:eastAsia="Calibri" w:hAnsi="Times New Roman" w:cs="Times New Roman"/>
          <w:sz w:val="26"/>
          <w:szCs w:val="26"/>
          <w:lang w:eastAsia="hu-HU"/>
        </w:rPr>
        <w:t>A bevételnövekedés oka a járulékköteles bértömeg növekedésének, a családi kedvezmények kiterjesztésének és az egyszeri kifizetésekhez kapcsolódó befizetéseknek az együttes hatása.</w:t>
      </w:r>
    </w:p>
    <w:p w14:paraId="0858CB79" w14:textId="70588816" w:rsidR="00A76FE3" w:rsidRDefault="5E04AD7D" w:rsidP="00693114">
      <w:pPr>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Nyugdíjbiztosítási Alap</w:t>
      </w:r>
      <w:r w:rsidRPr="5E04AD7D">
        <w:rPr>
          <w:rFonts w:ascii="Times New Roman" w:eastAsia="Times New Roman" w:hAnsi="Times New Roman" w:cs="Times New Roman"/>
          <w:sz w:val="26"/>
          <w:szCs w:val="26"/>
        </w:rPr>
        <w:t xml:space="preserve"> 2026. évi költségvetése az ellátási kiadások támogatására 626,0 milliárd forint </w:t>
      </w:r>
      <w:r w:rsidRPr="5E04AD7D">
        <w:rPr>
          <w:rFonts w:ascii="Times New Roman" w:eastAsia="Times New Roman" w:hAnsi="Times New Roman" w:cs="Times New Roman"/>
          <w:b/>
          <w:bCs/>
          <w:sz w:val="26"/>
          <w:szCs w:val="26"/>
        </w:rPr>
        <w:t>központi költségvetési hozzájárulást</w:t>
      </w:r>
      <w:r w:rsidRPr="5E04AD7D">
        <w:rPr>
          <w:rFonts w:ascii="Times New Roman" w:eastAsia="Times New Roman" w:hAnsi="Times New Roman" w:cs="Times New Roman"/>
          <w:sz w:val="26"/>
          <w:szCs w:val="26"/>
        </w:rPr>
        <w:t xml:space="preserve"> tartalmaz, ami 61,5 milliárd forinttal magasabb az előző évi előirányzat összegénél.</w:t>
      </w:r>
    </w:p>
    <w:p w14:paraId="6AC8A7EE" w14:textId="215BD7C2" w:rsidR="00A76FE3" w:rsidRDefault="5E04AD7D" w:rsidP="00693114">
      <w:pPr>
        <w:jc w:val="both"/>
      </w:pPr>
      <w:r w:rsidRPr="5E04AD7D">
        <w:rPr>
          <w:rFonts w:ascii="Times New Roman" w:eastAsia="Times New Roman" w:hAnsi="Times New Roman" w:cs="Times New Roman"/>
          <w:sz w:val="26"/>
          <w:szCs w:val="26"/>
        </w:rPr>
        <w:t>A költségvetési hozzájárulás előirányzataiból 70 milliárd forintot pénzeszközátadás útján biztosít az alap részére, és 556 milliárd forintot – a 13. havi nyugdíj, illetve a nyugdíjprémium fedezeteként – címzett támogatás formájában. A 13. havi nyugdíj és a nyugdíjprémium támogatásának előirányzatai év közben előirányzat-módosítás nélkül túlléphetők. A 14. havi egyheti nyugdíjnak a tárgyévben nincs címzett támogatása, a kiadások fedezetét az érintett előirányzatok automatikus túlteljesíthetősége biztosítja.</w:t>
      </w:r>
    </w:p>
    <w:p w14:paraId="6BF2F156" w14:textId="242E5ABD" w:rsidR="00A76FE3" w:rsidRDefault="5E04AD7D" w:rsidP="00693114">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Nyugdíjbiztosítási Alap</w:t>
      </w:r>
      <w:r w:rsidRPr="5E04AD7D">
        <w:rPr>
          <w:rFonts w:ascii="Times New Roman" w:eastAsia="Times New Roman" w:hAnsi="Times New Roman" w:cs="Times New Roman"/>
          <w:sz w:val="26"/>
          <w:szCs w:val="26"/>
        </w:rPr>
        <w:t xml:space="preserve"> részére 2026. március végéig a Magyar Államkincstár a költségvetési törvény előirányzatainak figyelembevételével jóváhagyásra benyújtott éves </w:t>
      </w:r>
      <w:r w:rsidRPr="5E04AD7D">
        <w:rPr>
          <w:rFonts w:ascii="Times New Roman" w:eastAsia="Times New Roman" w:hAnsi="Times New Roman" w:cs="Times New Roman"/>
          <w:sz w:val="26"/>
          <w:szCs w:val="26"/>
        </w:rPr>
        <w:lastRenderedPageBreak/>
        <w:t xml:space="preserve">előirányzat-felhasználási terv ütemezésének megfelelően 17,5 milliárd forint </w:t>
      </w:r>
      <w:r w:rsidRPr="5E04AD7D">
        <w:rPr>
          <w:rFonts w:ascii="Times New Roman" w:eastAsia="Times New Roman" w:hAnsi="Times New Roman" w:cs="Times New Roman"/>
          <w:b/>
          <w:bCs/>
          <w:sz w:val="26"/>
          <w:szCs w:val="26"/>
        </w:rPr>
        <w:t>központi támogatást</w:t>
      </w:r>
      <w:r w:rsidRPr="5E04AD7D">
        <w:rPr>
          <w:rFonts w:ascii="Times New Roman" w:eastAsia="Times New Roman" w:hAnsi="Times New Roman" w:cs="Times New Roman"/>
          <w:sz w:val="26"/>
          <w:szCs w:val="26"/>
        </w:rPr>
        <w:t xml:space="preserve"> utalt át pénzeszközátadás jogcímen, ami az előző év azonos időszakában folyósított havi támogatás összegénél 1,85 milliárd forinttal kevesebb. A pénzeszköz-átadás az alap költségvetési egyensúlyának biztosítását szolgálja.</w:t>
      </w:r>
    </w:p>
    <w:p w14:paraId="62A2D78D" w14:textId="7D99D8C4" w:rsidR="560FAF85" w:rsidRDefault="5E04AD7D" w:rsidP="00693114">
      <w:pPr>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13. havi nyugdíj kifizetésének</w:t>
      </w:r>
      <w:r w:rsidRPr="5E04AD7D">
        <w:rPr>
          <w:rFonts w:ascii="Times New Roman" w:eastAsia="Times New Roman" w:hAnsi="Times New Roman" w:cs="Times New Roman"/>
          <w:sz w:val="26"/>
          <w:szCs w:val="26"/>
        </w:rPr>
        <w:t xml:space="preserve"> támogatására február hónapban 531,7</w:t>
      </w:r>
      <w:r w:rsidR="001C4D5A">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milliárd forint került átutalásra a Nyugdíjbiztosítási Alap részére, ami 44,6 milliárd forinttal haladja meg az előző év azonos időszakában ugyanezen a jogcímen nyújtott támogatás összegét.</w:t>
      </w:r>
    </w:p>
    <w:p w14:paraId="1E5039D7" w14:textId="2835F56B" w:rsidR="475F3A1A" w:rsidRDefault="00527154" w:rsidP="005861AE">
      <w:pPr>
        <w:jc w:val="center"/>
        <w:rPr>
          <w:rFonts w:ascii="Times New Roman" w:eastAsia="Times New Roman" w:hAnsi="Times New Roman" w:cs="Times New Roman"/>
          <w:sz w:val="26"/>
          <w:szCs w:val="26"/>
        </w:rPr>
      </w:pPr>
      <w:r w:rsidRPr="00527154">
        <w:rPr>
          <w:rFonts w:ascii="Times New Roman" w:eastAsia="Times New Roman" w:hAnsi="Times New Roman" w:cs="Times New Roman"/>
          <w:noProof/>
          <w:sz w:val="26"/>
          <w:szCs w:val="26"/>
        </w:rPr>
        <w:drawing>
          <wp:inline distT="0" distB="0" distL="0" distR="0" wp14:anchorId="3914C43E" wp14:editId="152E6CEC">
            <wp:extent cx="4921858" cy="2354915"/>
            <wp:effectExtent l="0" t="0" r="0" b="7620"/>
            <wp:docPr id="733948845" name="Kép 1" descr="A képen szöveg, képernyőkép, diagram,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48845" name="Kép 1" descr="A képen szöveg, képernyőkép, diagram, kör látható&#10;&#10;Előfordulhat, hogy a mesterséges intelligencia által létrehozott tartalom helytelen."/>
                    <pic:cNvPicPr/>
                  </pic:nvPicPr>
                  <pic:blipFill>
                    <a:blip r:embed="rId17"/>
                    <a:stretch>
                      <a:fillRect/>
                    </a:stretch>
                  </pic:blipFill>
                  <pic:spPr>
                    <a:xfrm>
                      <a:off x="0" y="0"/>
                      <a:ext cx="4964720" cy="2375423"/>
                    </a:xfrm>
                    <a:prstGeom prst="rect">
                      <a:avLst/>
                    </a:prstGeom>
                  </pic:spPr>
                </pic:pic>
              </a:graphicData>
            </a:graphic>
          </wp:inline>
        </w:drawing>
      </w:r>
    </w:p>
    <w:p w14:paraId="559B0B8E" w14:textId="1C66DD63" w:rsidR="00A948A8" w:rsidRPr="00A948A8" w:rsidRDefault="5E04AD7D" w:rsidP="5E04AD7D">
      <w:pPr>
        <w:jc w:val="both"/>
        <w:rPr>
          <w:rFonts w:ascii="Times New Roman" w:eastAsia="Calibri" w:hAnsi="Times New Roman" w:cs="Times New Roman"/>
          <w:sz w:val="26"/>
          <w:szCs w:val="26"/>
          <w:lang w:eastAsia="hu-HU"/>
        </w:rPr>
      </w:pPr>
      <w:r w:rsidRPr="5E04AD7D">
        <w:rPr>
          <w:rFonts w:ascii="Times New Roman" w:eastAsia="Calibri" w:hAnsi="Times New Roman" w:cs="Times New Roman"/>
          <w:sz w:val="26"/>
          <w:szCs w:val="26"/>
          <w:lang w:eastAsia="hu-HU"/>
        </w:rPr>
        <w:t>2026-ban a szociális hozzájárulási adó megfizetett összegének 17,19%-a az</w:t>
      </w:r>
      <w:r w:rsidR="00F17FAE">
        <w:rPr>
          <w:rFonts w:ascii="Times New Roman" w:eastAsia="Calibri" w:hAnsi="Times New Roman" w:cs="Times New Roman"/>
          <w:sz w:val="26"/>
          <w:szCs w:val="26"/>
          <w:lang w:eastAsia="hu-HU"/>
        </w:rPr>
        <w:t> </w:t>
      </w:r>
      <w:r w:rsidRPr="5E04AD7D">
        <w:rPr>
          <w:rFonts w:ascii="Times New Roman" w:eastAsia="Calibri" w:hAnsi="Times New Roman" w:cs="Times New Roman"/>
          <w:sz w:val="26"/>
          <w:szCs w:val="26"/>
          <w:lang w:eastAsia="hu-HU"/>
        </w:rPr>
        <w:t xml:space="preserve">Egészségbiztosítási Alapot illeti meg. 2026 első három hónapjában a </w:t>
      </w:r>
      <w:r w:rsidRPr="5E04AD7D">
        <w:rPr>
          <w:rFonts w:ascii="Times New Roman" w:eastAsia="Calibri" w:hAnsi="Times New Roman" w:cs="Times New Roman"/>
          <w:b/>
          <w:bCs/>
          <w:sz w:val="26"/>
          <w:szCs w:val="26"/>
          <w:lang w:eastAsia="hu-HU"/>
        </w:rPr>
        <w:t>szociális hozzájárulási adó Egészségbiztosítási Alapot megillető része</w:t>
      </w:r>
      <w:r w:rsidRPr="5E04AD7D">
        <w:rPr>
          <w:rFonts w:ascii="Times New Roman" w:eastAsia="Calibri" w:hAnsi="Times New Roman" w:cs="Times New Roman"/>
          <w:sz w:val="26"/>
          <w:szCs w:val="26"/>
          <w:lang w:eastAsia="hu-HU"/>
        </w:rPr>
        <w:t xml:space="preserve"> 166,0</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forintban teljesült, amely 59,3</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 xml:space="preserve">forinttal </w:t>
      </w:r>
      <w:r w:rsidRPr="5E04AD7D">
        <w:rPr>
          <w:rFonts w:ascii="Times New Roman" w:eastAsia="Times New Roman" w:hAnsi="Times New Roman" w:cs="Times New Roman"/>
          <w:sz w:val="26"/>
          <w:szCs w:val="26"/>
          <w:lang w:eastAsia="hu-HU"/>
        </w:rPr>
        <w:t xml:space="preserve">haladta meg az előző </w:t>
      </w:r>
      <w:r w:rsidRPr="5E04AD7D">
        <w:rPr>
          <w:rFonts w:ascii="Times New Roman" w:eastAsia="Calibri" w:hAnsi="Times New Roman" w:cs="Times New Roman"/>
          <w:sz w:val="26"/>
          <w:szCs w:val="26"/>
          <w:lang w:eastAsia="hu-HU"/>
        </w:rPr>
        <w:t>év azonos időszakában</w:t>
      </w:r>
      <w:r w:rsidRPr="5E04AD7D">
        <w:rPr>
          <w:rFonts w:ascii="Times New Roman" w:eastAsia="Times New Roman" w:hAnsi="Times New Roman" w:cs="Times New Roman"/>
          <w:sz w:val="26"/>
          <w:szCs w:val="26"/>
          <w:lang w:eastAsia="hu-HU"/>
        </w:rPr>
        <w:t xml:space="preserve"> befolyt bevételt. </w:t>
      </w:r>
      <w:r w:rsidRPr="5E04AD7D">
        <w:rPr>
          <w:rFonts w:ascii="Times New Roman" w:eastAsia="Calibri" w:hAnsi="Times New Roman" w:cs="Times New Roman"/>
          <w:sz w:val="26"/>
          <w:szCs w:val="26"/>
          <w:lang w:eastAsia="hu-HU"/>
        </w:rPr>
        <w:t>A bevétel változása az adóköteles jövedelmek növekedésével és az alapok közötti megoszlási arány változásával magyarázható, valamint az egyszeri kifizetésekhez kapcsolódó befizetésekkel.</w:t>
      </w:r>
    </w:p>
    <w:p w14:paraId="287ED0DA" w14:textId="5BF4790A" w:rsidR="00C33C0A" w:rsidRDefault="5E04AD7D" w:rsidP="5E04AD7D">
      <w:pPr>
        <w:jc w:val="both"/>
        <w:rPr>
          <w:rFonts w:ascii="Times New Roman" w:eastAsia="Calibri" w:hAnsi="Times New Roman" w:cs="Times New Roman"/>
          <w:sz w:val="26"/>
          <w:szCs w:val="26"/>
          <w:lang w:eastAsia="hu-HU"/>
        </w:rPr>
      </w:pPr>
      <w:r w:rsidRPr="5E04AD7D">
        <w:rPr>
          <w:rFonts w:ascii="Times New Roman" w:eastAsia="Calibri" w:hAnsi="Times New Roman" w:cs="Times New Roman"/>
          <w:sz w:val="26"/>
          <w:szCs w:val="26"/>
          <w:lang w:eastAsia="hu-HU"/>
        </w:rPr>
        <w:t>A befizetett társadalombiztosítási járulék 37,9%-át az állami adóhatóság az</w:t>
      </w:r>
      <w:r w:rsidR="00F17FAE">
        <w:rPr>
          <w:rFonts w:ascii="Times New Roman" w:eastAsia="Calibri" w:hAnsi="Times New Roman" w:cs="Times New Roman"/>
          <w:sz w:val="26"/>
          <w:szCs w:val="26"/>
          <w:lang w:eastAsia="hu-HU"/>
        </w:rPr>
        <w:t> </w:t>
      </w:r>
      <w:r w:rsidRPr="5E04AD7D">
        <w:rPr>
          <w:rFonts w:ascii="Times New Roman" w:eastAsia="Calibri" w:hAnsi="Times New Roman" w:cs="Times New Roman"/>
          <w:sz w:val="26"/>
          <w:szCs w:val="26"/>
          <w:lang w:eastAsia="hu-HU"/>
        </w:rPr>
        <w:t>Egészségbiztosítási Alapnak utalja át. 2026 első három hónapjában a</w:t>
      </w:r>
      <w:r w:rsidR="00F17FAE">
        <w:rPr>
          <w:rFonts w:ascii="Times New Roman" w:eastAsia="Calibri" w:hAnsi="Times New Roman" w:cs="Times New Roman"/>
          <w:sz w:val="26"/>
          <w:szCs w:val="26"/>
          <w:lang w:eastAsia="hu-HU"/>
        </w:rPr>
        <w:t> </w:t>
      </w:r>
      <w:r w:rsidRPr="5E04AD7D">
        <w:rPr>
          <w:rFonts w:ascii="Times New Roman" w:eastAsia="Calibri" w:hAnsi="Times New Roman" w:cs="Times New Roman"/>
          <w:b/>
          <w:bCs/>
          <w:sz w:val="26"/>
          <w:szCs w:val="26"/>
          <w:lang w:eastAsia="hu-HU"/>
        </w:rPr>
        <w:t>társadalombiztosítási járulék Egészségbiztosítási Alapot megillető része és egészségbiztosítási járulék</w:t>
      </w:r>
      <w:r w:rsidRPr="5E04AD7D">
        <w:rPr>
          <w:rFonts w:ascii="Times New Roman" w:eastAsia="Calibri" w:hAnsi="Times New Roman" w:cs="Times New Roman"/>
          <w:sz w:val="26"/>
          <w:szCs w:val="26"/>
          <w:lang w:eastAsia="hu-HU"/>
        </w:rPr>
        <w:t xml:space="preserve"> 557,6</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 xml:space="preserve">forintban teljesült, </w:t>
      </w:r>
      <w:r w:rsidRPr="5E04AD7D">
        <w:rPr>
          <w:rFonts w:ascii="Times New Roman" w:eastAsia="Times New Roman" w:hAnsi="Times New Roman" w:cs="Times New Roman"/>
          <w:sz w:val="26"/>
          <w:szCs w:val="26"/>
          <w:lang w:eastAsia="hu-HU"/>
        </w:rPr>
        <w:t xml:space="preserve">amely az előző </w:t>
      </w:r>
      <w:r w:rsidRPr="5E04AD7D">
        <w:rPr>
          <w:rFonts w:ascii="Times New Roman" w:eastAsia="Calibri" w:hAnsi="Times New Roman" w:cs="Times New Roman"/>
          <w:sz w:val="26"/>
          <w:szCs w:val="26"/>
          <w:lang w:eastAsia="hu-HU"/>
        </w:rPr>
        <w:t>év azonos időszakában</w:t>
      </w:r>
      <w:r w:rsidRPr="5E04AD7D">
        <w:rPr>
          <w:rFonts w:ascii="Times New Roman" w:eastAsia="Times New Roman" w:hAnsi="Times New Roman" w:cs="Times New Roman"/>
          <w:sz w:val="26"/>
          <w:szCs w:val="26"/>
          <w:lang w:eastAsia="hu-HU"/>
        </w:rPr>
        <w:t xml:space="preserve"> befolyt bevételt</w:t>
      </w:r>
      <w:r w:rsidRPr="5E04AD7D">
        <w:rPr>
          <w:rFonts w:ascii="Times New Roman" w:eastAsia="Calibri" w:hAnsi="Times New Roman" w:cs="Times New Roman"/>
          <w:sz w:val="26"/>
          <w:szCs w:val="26"/>
          <w:lang w:eastAsia="hu-HU"/>
        </w:rPr>
        <w:t xml:space="preserve"> 65,8 milliárd</w:t>
      </w:r>
      <w:r w:rsidRPr="5E04AD7D">
        <w:rPr>
          <w:rFonts w:ascii="Times New Roman" w:eastAsia="Times New Roman" w:hAnsi="Times New Roman" w:cs="Times New Roman"/>
          <w:sz w:val="26"/>
          <w:szCs w:val="26"/>
          <w:lang w:eastAsia="hu-HU"/>
        </w:rPr>
        <w:t> </w:t>
      </w:r>
      <w:r w:rsidRPr="5E04AD7D">
        <w:rPr>
          <w:rFonts w:ascii="Times New Roman" w:eastAsia="Calibri" w:hAnsi="Times New Roman" w:cs="Times New Roman"/>
          <w:sz w:val="26"/>
          <w:szCs w:val="26"/>
          <w:lang w:eastAsia="hu-HU"/>
        </w:rPr>
        <w:t>forinttal haladta meg. A bevételnövekedés oka a járulékköteles bértömeg növekedésének, a családi kedvezmények kiterjesztésének és az egyszeri kifizetésekhez kapcsolódó befizetéseknek az együttes hatása.</w:t>
      </w:r>
    </w:p>
    <w:p w14:paraId="3AA29024" w14:textId="4CD7F188" w:rsidR="00215359" w:rsidRDefault="5E04AD7D" w:rsidP="0024065B">
      <w:pPr>
        <w:jc w:val="both"/>
        <w:rPr>
          <w:rFonts w:ascii="Times New Roman" w:hAnsi="Times New Roman" w:cs="Times New Roman"/>
          <w:sz w:val="26"/>
          <w:szCs w:val="26"/>
        </w:rPr>
      </w:pPr>
      <w:r w:rsidRPr="5E04AD7D">
        <w:rPr>
          <w:rFonts w:ascii="Times New Roman" w:hAnsi="Times New Roman" w:cs="Times New Roman"/>
          <w:sz w:val="26"/>
          <w:szCs w:val="26"/>
        </w:rPr>
        <w:t xml:space="preserve">Az </w:t>
      </w:r>
      <w:r w:rsidRPr="5E04AD7D">
        <w:rPr>
          <w:rFonts w:ascii="Times New Roman" w:hAnsi="Times New Roman" w:cs="Times New Roman"/>
          <w:b/>
          <w:bCs/>
          <w:sz w:val="26"/>
          <w:szCs w:val="26"/>
        </w:rPr>
        <w:t>Egészségbiztosítási Alap költségvetési hozzájárulásai</w:t>
      </w:r>
      <w:r w:rsidRPr="5E04AD7D">
        <w:rPr>
          <w:rFonts w:ascii="Times New Roman" w:hAnsi="Times New Roman" w:cs="Times New Roman"/>
          <w:sz w:val="26"/>
          <w:szCs w:val="26"/>
        </w:rPr>
        <w:t xml:space="preserve"> 2026 első három hónapjában összesen 429,6 milliárd forintot tettek ki, amely 42,7 milliárd forinttal alacsonyabb, mint az előző év azonos időszakában átutalt összeg. 2026. március végéig az Egészségbiztosítási Alap járulék címen átvett pénzeszközként 182,6 milliárd forint támogatást kapott, szemben a tavalyi év első három hónapjában átutalt 173,1 milliárd forinttal. Az alap kiadásainak támogatására szolgáló tervezett pénzeszköz-átvétel és az egészségügyi feladatok ellátásával kapcsolatos hozzájárulás együttes összege 2026</w:t>
      </w:r>
      <w:r w:rsidR="0024065B">
        <w:rPr>
          <w:rFonts w:ascii="Times New Roman" w:hAnsi="Times New Roman" w:cs="Times New Roman"/>
          <w:sz w:val="26"/>
          <w:szCs w:val="26"/>
        </w:rPr>
        <w:t> </w:t>
      </w:r>
      <w:r w:rsidRPr="5E04AD7D">
        <w:rPr>
          <w:rFonts w:ascii="Times New Roman" w:hAnsi="Times New Roman" w:cs="Times New Roman"/>
          <w:sz w:val="26"/>
          <w:szCs w:val="26"/>
        </w:rPr>
        <w:t>március végéig 247,0 milliárd forintot tett ki, amely 52,2 milliárd forinttal elmarad az előző év ezen időszakában átutalt összegtől.</w:t>
      </w:r>
    </w:p>
    <w:p w14:paraId="51F08DF7" w14:textId="6FA8B559" w:rsidR="009E34AE" w:rsidRPr="00377D59" w:rsidRDefault="5E04AD7D" w:rsidP="5E04AD7D">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5E04AD7D">
        <w:rPr>
          <w:rFonts w:ascii="Times New Roman" w:eastAsia="Times New Roman" w:hAnsi="Times New Roman" w:cs="Times New Roman"/>
          <w:b/>
          <w:bCs/>
          <w:smallCaps/>
          <w:sz w:val="28"/>
          <w:szCs w:val="28"/>
          <w:lang w:eastAsia="hu-HU"/>
        </w:rPr>
        <w:lastRenderedPageBreak/>
        <w:t xml:space="preserve">A főbb kiadások </w:t>
      </w:r>
    </w:p>
    <w:p w14:paraId="1DF4301B" w14:textId="470CA773" w:rsidR="00215359" w:rsidRPr="00215359" w:rsidRDefault="5E04AD7D" w:rsidP="00215359">
      <w:pPr>
        <w:jc w:val="both"/>
        <w:rPr>
          <w:rFonts w:ascii="Times New Roman" w:eastAsia="Times New Roman" w:hAnsi="Times New Roman" w:cs="Times New Roman"/>
          <w:b/>
          <w:bCs/>
          <w:sz w:val="26"/>
          <w:szCs w:val="26"/>
          <w:lang w:eastAsia="hu-HU"/>
        </w:rPr>
      </w:pPr>
      <w:r w:rsidRPr="5E04AD7D">
        <w:rPr>
          <w:rFonts w:ascii="Times New Roman" w:eastAsia="Times New Roman" w:hAnsi="Times New Roman" w:cs="Times New Roman"/>
          <w:b/>
          <w:bCs/>
          <w:sz w:val="26"/>
          <w:szCs w:val="26"/>
          <w:lang w:eastAsia="hu-HU"/>
        </w:rPr>
        <w:t xml:space="preserve">A </w:t>
      </w:r>
      <w:r w:rsidR="00215359" w:rsidRPr="00215359">
        <w:rPr>
          <w:rFonts w:ascii="Times New Roman" w:eastAsia="Times New Roman" w:hAnsi="Times New Roman" w:cs="Times New Roman"/>
          <w:b/>
          <w:bCs/>
          <w:sz w:val="26"/>
          <w:szCs w:val="26"/>
          <w:lang w:eastAsia="hu-HU"/>
        </w:rPr>
        <w:t>központi alrendszer március végi 13</w:t>
      </w:r>
      <w:r w:rsidR="00215359">
        <w:rPr>
          <w:rFonts w:ascii="Times New Roman" w:eastAsia="Times New Roman" w:hAnsi="Times New Roman" w:cs="Times New Roman"/>
          <w:b/>
          <w:bCs/>
          <w:sz w:val="26"/>
          <w:szCs w:val="26"/>
          <w:lang w:eastAsia="hu-HU"/>
        </w:rPr>
        <w:t> </w:t>
      </w:r>
      <w:r w:rsidR="00215359" w:rsidRPr="00215359">
        <w:rPr>
          <w:rFonts w:ascii="Times New Roman" w:eastAsia="Times New Roman" w:hAnsi="Times New Roman" w:cs="Times New Roman"/>
          <w:b/>
          <w:bCs/>
          <w:sz w:val="26"/>
          <w:szCs w:val="26"/>
          <w:lang w:eastAsia="hu-HU"/>
        </w:rPr>
        <w:t>963,6 milliárd forint összegű kiadásai 2211,7</w:t>
      </w:r>
      <w:r w:rsidR="00215359">
        <w:rPr>
          <w:rFonts w:ascii="Times New Roman" w:eastAsia="Times New Roman" w:hAnsi="Times New Roman" w:cs="Times New Roman"/>
          <w:b/>
          <w:bCs/>
          <w:sz w:val="26"/>
          <w:szCs w:val="26"/>
          <w:lang w:eastAsia="hu-HU"/>
        </w:rPr>
        <w:t> </w:t>
      </w:r>
      <w:r w:rsidR="00215359" w:rsidRPr="00215359">
        <w:rPr>
          <w:rFonts w:ascii="Times New Roman" w:eastAsia="Times New Roman" w:hAnsi="Times New Roman" w:cs="Times New Roman"/>
          <w:b/>
          <w:bCs/>
          <w:sz w:val="26"/>
          <w:szCs w:val="26"/>
          <w:lang w:eastAsia="hu-HU"/>
        </w:rPr>
        <w:t xml:space="preserve">milliárd forinttal, 18,8%-kal haladták meg az előző év azonos időszaki adatát. </w:t>
      </w:r>
    </w:p>
    <w:p w14:paraId="3BE643E4" w14:textId="26FCACF7" w:rsidR="00215359" w:rsidRPr="00215359" w:rsidRDefault="00215359" w:rsidP="00215359">
      <w:pPr>
        <w:jc w:val="both"/>
        <w:rPr>
          <w:rFonts w:ascii="Times New Roman" w:eastAsia="Times New Roman" w:hAnsi="Times New Roman" w:cs="Times New Roman"/>
          <w:b/>
          <w:bCs/>
          <w:sz w:val="26"/>
          <w:szCs w:val="26"/>
          <w:lang w:eastAsia="hu-HU"/>
        </w:rPr>
      </w:pPr>
      <w:r w:rsidRPr="00215359">
        <w:rPr>
          <w:rFonts w:ascii="Times New Roman" w:eastAsia="Times New Roman" w:hAnsi="Times New Roman" w:cs="Times New Roman"/>
          <w:b/>
          <w:bCs/>
          <w:sz w:val="26"/>
          <w:szCs w:val="26"/>
          <w:lang w:eastAsia="hu-HU"/>
        </w:rPr>
        <w:t>Magasabban teljesültek az egy évvel korábbihoz képest többek között a költségvetési szervek kiadásai, a szakmai fejezeti kezelésű előirányzatok kiadásai, a</w:t>
      </w:r>
      <w:r>
        <w:rPr>
          <w:rFonts w:ascii="Times New Roman" w:eastAsia="Times New Roman" w:hAnsi="Times New Roman" w:cs="Times New Roman"/>
          <w:b/>
          <w:bCs/>
          <w:sz w:val="26"/>
          <w:szCs w:val="26"/>
          <w:lang w:eastAsia="hu-HU"/>
        </w:rPr>
        <w:t> </w:t>
      </w:r>
      <w:r w:rsidRPr="00215359">
        <w:rPr>
          <w:rFonts w:ascii="Times New Roman" w:eastAsia="Times New Roman" w:hAnsi="Times New Roman" w:cs="Times New Roman"/>
          <w:b/>
          <w:bCs/>
          <w:sz w:val="26"/>
          <w:szCs w:val="26"/>
          <w:lang w:eastAsia="hu-HU"/>
        </w:rPr>
        <w:t>lakástámogatások és az állami beruházási fejezet kiadásai.</w:t>
      </w:r>
    </w:p>
    <w:p w14:paraId="1660E392" w14:textId="268A77E4" w:rsidR="00F46F72" w:rsidRPr="00AA3374" w:rsidRDefault="00215359" w:rsidP="00215359">
      <w:pPr>
        <w:jc w:val="both"/>
        <w:rPr>
          <w:rFonts w:ascii="Times New Roman" w:hAnsi="Times New Roman" w:cs="Times New Roman"/>
          <w:b/>
          <w:bCs/>
          <w:sz w:val="26"/>
          <w:szCs w:val="26"/>
        </w:rPr>
      </w:pPr>
      <w:r w:rsidRPr="00215359">
        <w:rPr>
          <w:rFonts w:ascii="Times New Roman" w:eastAsia="Times New Roman" w:hAnsi="Times New Roman" w:cs="Times New Roman"/>
          <w:b/>
          <w:bCs/>
          <w:sz w:val="26"/>
          <w:szCs w:val="26"/>
          <w:lang w:eastAsia="hu-HU"/>
        </w:rPr>
        <w:t xml:space="preserve">Meghaladták az egy évvel korábbi kifizetést a nyugellátásokra és a gyógyító-megelőző ellátásra fordított összegek is. Nyugellátásokra </w:t>
      </w:r>
      <w:r w:rsidR="00FA52E5">
        <w:rPr>
          <w:rFonts w:ascii="Times New Roman" w:eastAsia="Times New Roman" w:hAnsi="Times New Roman" w:cs="Times New Roman"/>
          <w:b/>
          <w:bCs/>
          <w:sz w:val="26"/>
          <w:szCs w:val="26"/>
          <w:lang w:eastAsia="hu-HU"/>
        </w:rPr>
        <w:t xml:space="preserve">és nyugdíjszerű ellátásokra </w:t>
      </w:r>
      <w:r w:rsidRPr="00215359">
        <w:rPr>
          <w:rFonts w:ascii="Times New Roman" w:eastAsia="Times New Roman" w:hAnsi="Times New Roman" w:cs="Times New Roman"/>
          <w:b/>
          <w:bCs/>
          <w:sz w:val="26"/>
          <w:szCs w:val="26"/>
          <w:lang w:eastAsia="hu-HU"/>
        </w:rPr>
        <w:t>2</w:t>
      </w:r>
      <w:r w:rsidR="00FA52E5">
        <w:rPr>
          <w:rFonts w:ascii="Times New Roman" w:eastAsia="Times New Roman" w:hAnsi="Times New Roman" w:cs="Times New Roman"/>
          <w:b/>
          <w:bCs/>
          <w:sz w:val="26"/>
          <w:szCs w:val="26"/>
          <w:lang w:eastAsia="hu-HU"/>
        </w:rPr>
        <w:t>506,1</w:t>
      </w:r>
      <w:r w:rsidRPr="00215359">
        <w:rPr>
          <w:rFonts w:ascii="Times New Roman" w:eastAsia="Times New Roman" w:hAnsi="Times New Roman" w:cs="Times New Roman"/>
          <w:b/>
          <w:bCs/>
          <w:sz w:val="26"/>
          <w:szCs w:val="26"/>
          <w:lang w:eastAsia="hu-HU"/>
        </w:rPr>
        <w:t xml:space="preserve"> milliárd forint, míg a gyógyító-megelőző ellátásra 798,3 milliárd forint került kifizetésre március végéig</w:t>
      </w:r>
      <w:r w:rsidR="5E04AD7D" w:rsidRPr="5E04AD7D">
        <w:rPr>
          <w:rFonts w:ascii="Times New Roman" w:hAnsi="Times New Roman" w:cs="Times New Roman"/>
          <w:b/>
          <w:bCs/>
          <w:sz w:val="26"/>
          <w:szCs w:val="26"/>
        </w:rPr>
        <w:t>.</w:t>
      </w:r>
    </w:p>
    <w:p w14:paraId="71AFDEF8" w14:textId="6FDFCA02" w:rsidR="00C35E13" w:rsidRDefault="00527154" w:rsidP="003415FE">
      <w:pPr>
        <w:pStyle w:val="NormlWeb"/>
        <w:spacing w:after="0" w:afterAutospacing="0"/>
        <w:jc w:val="center"/>
      </w:pPr>
      <w:r w:rsidRPr="00527154">
        <w:rPr>
          <w:noProof/>
        </w:rPr>
        <w:drawing>
          <wp:inline distT="0" distB="0" distL="0" distR="0" wp14:anchorId="7755B43F" wp14:editId="1223946B">
            <wp:extent cx="5940110" cy="2529840"/>
            <wp:effectExtent l="0" t="0" r="3810" b="3810"/>
            <wp:docPr id="1069778067" name="Kép 1" descr="A képen diagram, kör, szöveg, képernyőkép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78067" name="Kép 1" descr="A képen diagram, kör, szöveg, képernyőkép látható&#10;&#10;Előfordulhat, hogy a mesterséges intelligencia által létrehozott tartalom helytelen."/>
                    <pic:cNvPicPr/>
                  </pic:nvPicPr>
                  <pic:blipFill>
                    <a:blip r:embed="rId18"/>
                    <a:stretch>
                      <a:fillRect/>
                    </a:stretch>
                  </pic:blipFill>
                  <pic:spPr>
                    <a:xfrm>
                      <a:off x="0" y="0"/>
                      <a:ext cx="5957725" cy="2537342"/>
                    </a:xfrm>
                    <a:prstGeom prst="rect">
                      <a:avLst/>
                    </a:prstGeom>
                  </pic:spPr>
                </pic:pic>
              </a:graphicData>
            </a:graphic>
          </wp:inline>
        </w:drawing>
      </w:r>
    </w:p>
    <w:p w14:paraId="53EF96F0" w14:textId="3B637F3C" w:rsidR="00371825" w:rsidRDefault="5E04AD7D" w:rsidP="5E04AD7D">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úthálózat rendelkezésre állási díjak</w:t>
      </w:r>
      <w:r w:rsidRPr="5E04AD7D">
        <w:rPr>
          <w:rFonts w:ascii="Times New Roman" w:eastAsia="Times New Roman" w:hAnsi="Times New Roman" w:cs="Times New Roman"/>
          <w:sz w:val="26"/>
          <w:szCs w:val="26"/>
        </w:rPr>
        <w:t xml:space="preserve"> mérlegsor tartalmazza az M5, M6 autópálya rendelkezésre állási díjak, valamint a gyorsforgalmi úthálózat rendelkezésre állási díj előirányzatok kiadásait, amelynek összege 2026 első három hónapjában 98,3</w:t>
      </w:r>
      <w:r w:rsidR="00261087">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milliárd forint volt, ami 2,8 milliárd forinttal magasabb összegben teljesült a 2025. év azonos időszakához képest.</w:t>
      </w:r>
    </w:p>
    <w:p w14:paraId="2C5CA0F5" w14:textId="09E00571" w:rsidR="1FABBDF6" w:rsidRDefault="5E04AD7D" w:rsidP="5E04AD7D">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közösségi közlekedés költségtérítés és támogatás</w:t>
      </w:r>
      <w:r w:rsidRPr="5E04AD7D">
        <w:rPr>
          <w:rFonts w:ascii="Times New Roman" w:eastAsia="Times New Roman" w:hAnsi="Times New Roman" w:cs="Times New Roman"/>
          <w:sz w:val="26"/>
          <w:szCs w:val="26"/>
        </w:rPr>
        <w:t xml:space="preserve"> mérlegsor kiadásai 2026. március végéig 217,6 milliárd forintot tettek ki, amelyek magasabb teljesítést mutatnak az megelőző év azonos időszakának adataival összevetve.  Ennek oka, hogy az idei évben egyrészt több szerződés tekintetében korábban kezdődött meg a közlekedési közszolgáltatások költségtérítéseinek folyósítása, másrészt a 2025. április 1-je előtti régi buszos közszolgáltatási rendszer finanszírozása alapjaiban eltér az azt felváltó új autóbuszos koncessziós rendszertől. A mérlegsoron belül magasabb összegű kifizetés a</w:t>
      </w:r>
      <w:r w:rsidR="0002125B">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 xml:space="preserve">vasúti pályahálózat működtetésének költségtérítése és az autóbusszal végzett személyszállítási közszolgáltatások ellentételezése vonatkozásában történt. </w:t>
      </w:r>
    </w:p>
    <w:p w14:paraId="79E8C263" w14:textId="06A73CDA" w:rsidR="1FABBDF6" w:rsidRDefault="5E04AD7D" w:rsidP="5E04AD7D">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közüzemi szolgáltatások támogatása</w:t>
      </w:r>
      <w:r w:rsidRPr="5E04AD7D">
        <w:rPr>
          <w:rFonts w:ascii="Times New Roman" w:eastAsia="Times New Roman" w:hAnsi="Times New Roman" w:cs="Times New Roman"/>
          <w:sz w:val="26"/>
          <w:szCs w:val="26"/>
        </w:rPr>
        <w:t xml:space="preserve"> mérlegsor tartalmazza a lakossági energia rezsivédelmi szolgáltatás, a rezsivédelmi készletezési szolgáltatás és a távhőszolgáltatók kompenzációjával kapcsolatos kiadásokat, a Víziközmű-fejlesztési és Ellentételezési Alap kiadásait is, illetve ezen a mérlegsoron jelennek meg a januári rezsitöbblet átvállalásának </w:t>
      </w:r>
      <w:r w:rsidRPr="5E04AD7D">
        <w:rPr>
          <w:rFonts w:ascii="Times New Roman" w:eastAsia="Times New Roman" w:hAnsi="Times New Roman" w:cs="Times New Roman"/>
          <w:sz w:val="26"/>
          <w:szCs w:val="26"/>
        </w:rPr>
        <w:lastRenderedPageBreak/>
        <w:t>kiadásai is. A közüzemi szolgáltatások támogatására fordított kiadások 2026. március végéig 411,5 milliárd forintot tettek ki. A mérlegsor jelenlegi teljesítése 44,8 milliárd forinttal alacsonyabb, mint a 2025. év azonos időszakában a közüzemi szolgáltatások teljesítésére fordított 456,3 milliárd forint, amely a kifizetések eltérő ütemezéséből fakadt.</w:t>
      </w:r>
    </w:p>
    <w:p w14:paraId="79E44A54" w14:textId="08E538AF" w:rsidR="0F03D9E1" w:rsidRDefault="5E04AD7D" w:rsidP="5E04AD7D">
      <w:pPr>
        <w:jc w:val="both"/>
        <w:rPr>
          <w:rFonts w:ascii="Times New Roman" w:eastAsia="Times New Roman" w:hAnsi="Times New Roman" w:cs="Times New Roman"/>
          <w:sz w:val="26"/>
          <w:szCs w:val="26"/>
        </w:rPr>
      </w:pPr>
      <w:r w:rsidRPr="5E04AD7D">
        <w:rPr>
          <w:rFonts w:ascii="Times New Roman" w:eastAsia="Times New Roman" w:hAnsi="Times New Roman" w:cs="Times New Roman"/>
          <w:b/>
          <w:bCs/>
          <w:sz w:val="26"/>
          <w:szCs w:val="26"/>
          <w:lang w:eastAsia="hu-HU"/>
        </w:rPr>
        <w:t xml:space="preserve">Lakástámogatásokra </w:t>
      </w:r>
      <w:r w:rsidRPr="5E04AD7D">
        <w:rPr>
          <w:rFonts w:ascii="Times New Roman" w:eastAsia="Times New Roman" w:hAnsi="Times New Roman" w:cs="Times New Roman"/>
          <w:sz w:val="26"/>
          <w:szCs w:val="26"/>
        </w:rPr>
        <w:t>fordított kiadások összege március végéig 148,2 milliárd forint volt, mely az előző év azonos időszakához viszonyítva 111,8 milliárd forinttal teljesült magasabban az otthontámogatásokhoz kapcsolódó kifizetések miatt.</w:t>
      </w:r>
    </w:p>
    <w:p w14:paraId="671B8652" w14:textId="0AECDBF2" w:rsidR="1D3ABBAA" w:rsidRDefault="5E04AD7D" w:rsidP="1D3ABBAA">
      <w:pPr>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Nemzeti Család- és Szociálpolitikai Alap</w:t>
      </w:r>
      <w:r w:rsidRPr="5E04AD7D">
        <w:rPr>
          <w:rFonts w:ascii="Times New Roman" w:eastAsia="Times New Roman" w:hAnsi="Times New Roman" w:cs="Times New Roman"/>
          <w:sz w:val="26"/>
          <w:szCs w:val="26"/>
        </w:rPr>
        <w:t xml:space="preserve"> a családi támogatásokat, a korhatár alatti ellátásokat, a jövedelempótló és jövedelemkiegészítő szociális támogatásokat, valamint a különféle jogcímen adott térítéseket tartalmazza. A főbb támogatásokat a következő táblázat részletezi:</w:t>
      </w:r>
    </w:p>
    <w:p w14:paraId="46398944" w14:textId="2D482933" w:rsidR="00621840" w:rsidRDefault="5E04AD7D" w:rsidP="5E04AD7D">
      <w:pPr>
        <w:spacing w:after="240"/>
        <w:jc w:val="center"/>
        <w:rPr>
          <w:rFonts w:ascii="Times New Roman" w:hAnsi="Times New Roman" w:cs="Times New Roman"/>
          <w:b/>
          <w:bCs/>
          <w:color w:val="000000" w:themeColor="text1"/>
        </w:rPr>
      </w:pPr>
      <w:r w:rsidRPr="5E04AD7D">
        <w:rPr>
          <w:rFonts w:ascii="Times New Roman" w:hAnsi="Times New Roman" w:cs="Times New Roman"/>
          <w:b/>
          <w:bCs/>
          <w:color w:val="000000" w:themeColor="text1"/>
        </w:rPr>
        <w:t>A Nemzeti Család- és Szociálpolitikai Alap kiadásainak alakulása (milliárd forint)</w:t>
      </w:r>
    </w:p>
    <w:tbl>
      <w:tblPr>
        <w:tblW w:w="9238" w:type="dxa"/>
        <w:tblInd w:w="-5" w:type="dxa"/>
        <w:tblCellMar>
          <w:left w:w="70" w:type="dxa"/>
          <w:right w:w="70" w:type="dxa"/>
        </w:tblCellMar>
        <w:tblLook w:val="04A0" w:firstRow="1" w:lastRow="0" w:firstColumn="1" w:lastColumn="0" w:noHBand="0" w:noVBand="1"/>
      </w:tblPr>
      <w:tblGrid>
        <w:gridCol w:w="5720"/>
        <w:gridCol w:w="944"/>
        <w:gridCol w:w="991"/>
        <w:gridCol w:w="850"/>
        <w:gridCol w:w="733"/>
      </w:tblGrid>
      <w:tr w:rsidR="002E70D5" w:rsidRPr="002E70D5" w14:paraId="39BECF1A" w14:textId="77777777" w:rsidTr="28F9800E">
        <w:trPr>
          <w:trHeight w:val="280"/>
        </w:trPr>
        <w:tc>
          <w:tcPr>
            <w:tcW w:w="572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CB091D6" w14:textId="77777777" w:rsidR="002E70D5" w:rsidRPr="002E70D5" w:rsidRDefault="5E04AD7D" w:rsidP="5E04AD7D">
            <w:pPr>
              <w:spacing w:after="0"/>
              <w:jc w:val="center"/>
              <w:rPr>
                <w:rFonts w:ascii="Times New Roman" w:hAnsi="Times New Roman" w:cs="Times New Roman"/>
                <w:b/>
                <w:bCs/>
                <w:color w:val="000000" w:themeColor="text1"/>
              </w:rPr>
            </w:pPr>
            <w:r w:rsidRPr="5E04AD7D">
              <w:rPr>
                <w:rFonts w:ascii="Times New Roman" w:hAnsi="Times New Roman" w:cs="Times New Roman"/>
                <w:b/>
                <w:bCs/>
                <w:color w:val="000000" w:themeColor="text1"/>
              </w:rPr>
              <w:t>Megnevezés</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6018B19" w14:textId="69784843" w:rsidR="002E70D5" w:rsidRPr="00BF0B23" w:rsidRDefault="28F9800E" w:rsidP="1D3ABBAA">
            <w:pPr>
              <w:spacing w:after="0"/>
              <w:jc w:val="center"/>
            </w:pPr>
            <w:r w:rsidRPr="28F9800E">
              <w:rPr>
                <w:rFonts w:ascii="Times New Roman" w:eastAsia="Times New Roman" w:hAnsi="Times New Roman" w:cs="Times New Roman"/>
                <w:b/>
                <w:bCs/>
              </w:rPr>
              <w:t xml:space="preserve">2025. </w:t>
            </w:r>
          </w:p>
          <w:p w14:paraId="3CD792E3" w14:textId="62864A66" w:rsidR="002E70D5" w:rsidRPr="00BF0B23" w:rsidRDefault="5E04AD7D" w:rsidP="5E04AD7D">
            <w:pPr>
              <w:spacing w:after="0"/>
              <w:jc w:val="center"/>
              <w:rPr>
                <w:rFonts w:ascii="Times New Roman" w:hAnsi="Times New Roman" w:cs="Times New Roman"/>
                <w:b/>
                <w:bCs/>
                <w:color w:val="000000" w:themeColor="text1"/>
              </w:rPr>
            </w:pPr>
            <w:r w:rsidRPr="5E04AD7D">
              <w:rPr>
                <w:rFonts w:ascii="Times New Roman" w:eastAsia="Times New Roman" w:hAnsi="Times New Roman" w:cs="Times New Roman"/>
                <w:b/>
                <w:bCs/>
              </w:rPr>
              <w:t>I-III. hó</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2AE7A1" w14:textId="478486E5" w:rsidR="002E70D5" w:rsidRPr="00BF0B23" w:rsidRDefault="5E04AD7D" w:rsidP="5E04AD7D">
            <w:pPr>
              <w:spacing w:after="0"/>
              <w:jc w:val="center"/>
              <w:rPr>
                <w:rFonts w:ascii="Times New Roman" w:hAnsi="Times New Roman" w:cs="Times New Roman"/>
                <w:b/>
                <w:bCs/>
                <w:color w:val="000000" w:themeColor="text1"/>
              </w:rPr>
            </w:pPr>
            <w:r w:rsidRPr="5E04AD7D">
              <w:rPr>
                <w:rFonts w:ascii="Times New Roman" w:eastAsia="Times New Roman" w:hAnsi="Times New Roman" w:cs="Times New Roman"/>
                <w:b/>
                <w:bCs/>
              </w:rPr>
              <w:t>2026.</w:t>
            </w:r>
            <w:r w:rsidR="136379A9">
              <w:br/>
            </w:r>
            <w:r w:rsidRPr="5E04AD7D">
              <w:rPr>
                <w:rFonts w:ascii="Times New Roman" w:eastAsia="Times New Roman" w:hAnsi="Times New Roman" w:cs="Times New Roman"/>
                <w:b/>
                <w:bCs/>
              </w:rPr>
              <w:t>I-III. hó</w:t>
            </w:r>
          </w:p>
        </w:tc>
        <w:tc>
          <w:tcPr>
            <w:tcW w:w="158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A04EB2C" w14:textId="77777777" w:rsidR="002E70D5" w:rsidRPr="00BF0B23" w:rsidRDefault="5E04AD7D" w:rsidP="5E04AD7D">
            <w:pPr>
              <w:spacing w:after="0"/>
              <w:jc w:val="center"/>
              <w:rPr>
                <w:rFonts w:ascii="Times New Roman" w:hAnsi="Times New Roman" w:cs="Times New Roman"/>
                <w:b/>
                <w:bCs/>
                <w:color w:val="000000" w:themeColor="text1"/>
              </w:rPr>
            </w:pPr>
            <w:r w:rsidRPr="5E04AD7D">
              <w:rPr>
                <w:rFonts w:ascii="Times New Roman" w:hAnsi="Times New Roman" w:cs="Times New Roman"/>
                <w:b/>
                <w:bCs/>
                <w:color w:val="000000" w:themeColor="text1"/>
              </w:rPr>
              <w:t>Eltérés</w:t>
            </w:r>
          </w:p>
        </w:tc>
      </w:tr>
      <w:tr w:rsidR="002E70D5" w:rsidRPr="002E70D5" w14:paraId="6BE2994C" w14:textId="77777777" w:rsidTr="28F9800E">
        <w:trPr>
          <w:trHeight w:val="473"/>
        </w:trPr>
        <w:tc>
          <w:tcPr>
            <w:tcW w:w="5720" w:type="dxa"/>
            <w:vMerge/>
            <w:tcBorders>
              <w:top w:val="single" w:sz="4" w:space="0" w:color="auto"/>
              <w:left w:val="single" w:sz="4" w:space="0" w:color="auto"/>
              <w:bottom w:val="single" w:sz="4" w:space="0" w:color="000000"/>
              <w:right w:val="single" w:sz="4" w:space="0" w:color="auto"/>
            </w:tcBorders>
            <w:vAlign w:val="center"/>
            <w:hideMark/>
          </w:tcPr>
          <w:p w14:paraId="681BE34C" w14:textId="77777777" w:rsidR="002E70D5" w:rsidRPr="002E70D5" w:rsidRDefault="002E70D5" w:rsidP="00554C64">
            <w:pPr>
              <w:spacing w:after="0"/>
              <w:rPr>
                <w:rFonts w:ascii="Times New Roman" w:hAnsi="Times New Roman" w:cs="Times New Roman"/>
                <w:b/>
                <w:bCs/>
                <w:color w:val="000000"/>
              </w:rPr>
            </w:pPr>
          </w:p>
        </w:tc>
        <w:tc>
          <w:tcPr>
            <w:tcW w:w="944" w:type="dxa"/>
            <w:vMerge/>
            <w:tcBorders>
              <w:top w:val="single" w:sz="4" w:space="0" w:color="auto"/>
              <w:left w:val="single" w:sz="4" w:space="0" w:color="auto"/>
              <w:bottom w:val="single" w:sz="4" w:space="0" w:color="000000"/>
              <w:right w:val="single" w:sz="4" w:space="0" w:color="auto"/>
            </w:tcBorders>
            <w:vAlign w:val="center"/>
            <w:hideMark/>
          </w:tcPr>
          <w:p w14:paraId="10EBC60F" w14:textId="77777777" w:rsidR="002E70D5" w:rsidRPr="00BF0B23" w:rsidRDefault="002E70D5" w:rsidP="00554C64">
            <w:pPr>
              <w:spacing w:after="0"/>
              <w:rPr>
                <w:rFonts w:ascii="Times New Roman" w:hAnsi="Times New Roman" w:cs="Times New Roman"/>
                <w:b/>
                <w:bCs/>
                <w:color w:val="00000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19F30F" w14:textId="77777777" w:rsidR="002E70D5" w:rsidRPr="00BF0B23" w:rsidRDefault="002E70D5" w:rsidP="00554C64">
            <w:pPr>
              <w:spacing w:after="0"/>
              <w:rPr>
                <w:rFonts w:ascii="Times New Roman" w:hAnsi="Times New Roman" w:cs="Times New Roman"/>
                <w:b/>
                <w:bCs/>
                <w:color w:val="000000"/>
              </w:rPr>
            </w:pPr>
          </w:p>
        </w:tc>
        <w:tc>
          <w:tcPr>
            <w:tcW w:w="85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E8E5679" w14:textId="77777777" w:rsidR="002E70D5" w:rsidRPr="00BF0B23" w:rsidRDefault="5E04AD7D" w:rsidP="5E04AD7D">
            <w:pPr>
              <w:spacing w:after="0"/>
              <w:jc w:val="center"/>
              <w:rPr>
                <w:rFonts w:ascii="Times New Roman" w:hAnsi="Times New Roman" w:cs="Times New Roman"/>
                <w:b/>
                <w:bCs/>
                <w:color w:val="000000" w:themeColor="text1"/>
              </w:rPr>
            </w:pPr>
            <w:r w:rsidRPr="5E04AD7D">
              <w:rPr>
                <w:rFonts w:ascii="Times New Roman" w:hAnsi="Times New Roman" w:cs="Times New Roman"/>
                <w:b/>
                <w:bCs/>
                <w:color w:val="000000" w:themeColor="text1"/>
              </w:rPr>
              <w:t>Mrd Ft</w:t>
            </w:r>
          </w:p>
        </w:tc>
        <w:tc>
          <w:tcPr>
            <w:tcW w:w="73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598397E" w14:textId="77777777" w:rsidR="002E70D5" w:rsidRPr="00BF0B23" w:rsidRDefault="5E04AD7D" w:rsidP="5E04AD7D">
            <w:pPr>
              <w:spacing w:after="0"/>
              <w:jc w:val="center"/>
              <w:rPr>
                <w:rFonts w:ascii="Times New Roman" w:hAnsi="Times New Roman" w:cs="Times New Roman"/>
                <w:b/>
                <w:bCs/>
                <w:color w:val="000000" w:themeColor="text1"/>
              </w:rPr>
            </w:pPr>
            <w:r w:rsidRPr="5E04AD7D">
              <w:rPr>
                <w:rFonts w:ascii="Times New Roman" w:hAnsi="Times New Roman" w:cs="Times New Roman"/>
                <w:b/>
                <w:bCs/>
                <w:color w:val="000000" w:themeColor="text1"/>
              </w:rPr>
              <w:t>%</w:t>
            </w:r>
          </w:p>
        </w:tc>
      </w:tr>
      <w:tr w:rsidR="00374988" w:rsidRPr="002E70D5" w14:paraId="79BDD8E7"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6F1FE2A1" w14:textId="77777777" w:rsidR="00374988" w:rsidRPr="002E70D5" w:rsidRDefault="5E04AD7D" w:rsidP="5E04AD7D">
            <w:pPr>
              <w:spacing w:after="0"/>
              <w:rPr>
                <w:rFonts w:ascii="Times New Roman" w:hAnsi="Times New Roman" w:cs="Times New Roman"/>
                <w:b/>
                <w:bCs/>
                <w:color w:val="000000" w:themeColor="text1"/>
                <w:sz w:val="20"/>
                <w:szCs w:val="20"/>
              </w:rPr>
            </w:pPr>
            <w:r w:rsidRPr="5E04AD7D">
              <w:rPr>
                <w:rFonts w:ascii="Times New Roman" w:hAnsi="Times New Roman" w:cs="Times New Roman"/>
                <w:b/>
                <w:bCs/>
                <w:color w:val="000000" w:themeColor="text1"/>
                <w:sz w:val="20"/>
                <w:szCs w:val="20"/>
              </w:rPr>
              <w:t>Családi támogatások</w:t>
            </w: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35463B97" w14:textId="302FFB9C"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102,9</w:t>
            </w:r>
          </w:p>
        </w:tc>
        <w:tc>
          <w:tcPr>
            <w:tcW w:w="991" w:type="dxa"/>
            <w:tcBorders>
              <w:top w:val="single" w:sz="4" w:space="0" w:color="auto"/>
              <w:left w:val="nil"/>
              <w:bottom w:val="single" w:sz="4" w:space="0" w:color="auto"/>
              <w:right w:val="single" w:sz="4" w:space="0" w:color="auto"/>
            </w:tcBorders>
            <w:noWrap/>
            <w:vAlign w:val="bottom"/>
            <w:hideMark/>
          </w:tcPr>
          <w:p w14:paraId="6268E87E" w14:textId="15148A0B"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101,7</w:t>
            </w:r>
          </w:p>
        </w:tc>
        <w:tc>
          <w:tcPr>
            <w:tcW w:w="850" w:type="dxa"/>
            <w:tcBorders>
              <w:top w:val="single" w:sz="4" w:space="0" w:color="auto"/>
              <w:left w:val="nil"/>
              <w:bottom w:val="single" w:sz="4" w:space="0" w:color="auto"/>
              <w:right w:val="single" w:sz="4" w:space="0" w:color="auto"/>
            </w:tcBorders>
            <w:noWrap/>
            <w:vAlign w:val="bottom"/>
            <w:hideMark/>
          </w:tcPr>
          <w:p w14:paraId="6DAC2567" w14:textId="09F87EED"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-1,2</w:t>
            </w:r>
          </w:p>
        </w:tc>
        <w:tc>
          <w:tcPr>
            <w:tcW w:w="733" w:type="dxa"/>
            <w:tcBorders>
              <w:top w:val="single" w:sz="4" w:space="0" w:color="auto"/>
              <w:left w:val="nil"/>
              <w:bottom w:val="single" w:sz="4" w:space="0" w:color="auto"/>
              <w:right w:val="single" w:sz="4" w:space="0" w:color="auto"/>
            </w:tcBorders>
            <w:noWrap/>
            <w:vAlign w:val="bottom"/>
            <w:hideMark/>
          </w:tcPr>
          <w:p w14:paraId="0023D563" w14:textId="40B84E71"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98,8</w:t>
            </w:r>
          </w:p>
        </w:tc>
      </w:tr>
      <w:tr w:rsidR="00374988" w:rsidRPr="002E70D5" w14:paraId="5AF1064F"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033720FE" w14:textId="77777777" w:rsidR="00374988" w:rsidRPr="002E70D5" w:rsidRDefault="5E04AD7D" w:rsidP="5E04AD7D">
            <w:pPr>
              <w:spacing w:after="0"/>
              <w:ind w:firstLineChars="100" w:firstLine="2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74F95091" w14:textId="4590963A"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1B94AF89" w14:textId="6913A339"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321ED1B1" w14:textId="3F4F8FB1"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635F529C" w14:textId="7134DA12"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 </w:t>
            </w:r>
          </w:p>
        </w:tc>
      </w:tr>
      <w:tr w:rsidR="00374988" w:rsidRPr="002E70D5" w14:paraId="189AA6D7"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6B8BE428"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családi pótlék</w:t>
            </w:r>
          </w:p>
        </w:tc>
        <w:tc>
          <w:tcPr>
            <w:tcW w:w="944" w:type="dxa"/>
            <w:tcBorders>
              <w:top w:val="nil"/>
              <w:left w:val="single" w:sz="4" w:space="0" w:color="auto"/>
              <w:bottom w:val="single" w:sz="4" w:space="0" w:color="auto"/>
              <w:right w:val="single" w:sz="4" w:space="0" w:color="auto"/>
            </w:tcBorders>
            <w:noWrap/>
            <w:vAlign w:val="bottom"/>
            <w:hideMark/>
          </w:tcPr>
          <w:p w14:paraId="70BCBC1A" w14:textId="20B2B12D"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75,5</w:t>
            </w:r>
          </w:p>
        </w:tc>
        <w:tc>
          <w:tcPr>
            <w:tcW w:w="991" w:type="dxa"/>
            <w:tcBorders>
              <w:top w:val="nil"/>
              <w:left w:val="nil"/>
              <w:bottom w:val="single" w:sz="4" w:space="0" w:color="auto"/>
              <w:right w:val="single" w:sz="4" w:space="0" w:color="auto"/>
            </w:tcBorders>
            <w:noWrap/>
            <w:vAlign w:val="bottom"/>
            <w:hideMark/>
          </w:tcPr>
          <w:p w14:paraId="13892F1A" w14:textId="32DE64E0"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74,3</w:t>
            </w:r>
          </w:p>
        </w:tc>
        <w:tc>
          <w:tcPr>
            <w:tcW w:w="850" w:type="dxa"/>
            <w:tcBorders>
              <w:top w:val="nil"/>
              <w:left w:val="nil"/>
              <w:bottom w:val="single" w:sz="4" w:space="0" w:color="auto"/>
              <w:right w:val="single" w:sz="4" w:space="0" w:color="auto"/>
            </w:tcBorders>
            <w:noWrap/>
            <w:vAlign w:val="bottom"/>
            <w:hideMark/>
          </w:tcPr>
          <w:p w14:paraId="10E0C374" w14:textId="47C2F4B2"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-1,2</w:t>
            </w:r>
          </w:p>
        </w:tc>
        <w:tc>
          <w:tcPr>
            <w:tcW w:w="733" w:type="dxa"/>
            <w:tcBorders>
              <w:top w:val="nil"/>
              <w:left w:val="nil"/>
              <w:bottom w:val="single" w:sz="4" w:space="0" w:color="auto"/>
              <w:right w:val="single" w:sz="4" w:space="0" w:color="auto"/>
            </w:tcBorders>
            <w:noWrap/>
            <w:vAlign w:val="bottom"/>
            <w:hideMark/>
          </w:tcPr>
          <w:p w14:paraId="19B6E5CD" w14:textId="1F31EB80"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98,4</w:t>
            </w:r>
          </w:p>
        </w:tc>
      </w:tr>
      <w:tr w:rsidR="00374988" w:rsidRPr="002E70D5" w14:paraId="5E22A8DD"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7FFF56E0"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anyasági támogatás</w:t>
            </w:r>
          </w:p>
        </w:tc>
        <w:tc>
          <w:tcPr>
            <w:tcW w:w="944" w:type="dxa"/>
            <w:tcBorders>
              <w:top w:val="nil"/>
              <w:left w:val="single" w:sz="4" w:space="0" w:color="auto"/>
              <w:bottom w:val="single" w:sz="4" w:space="0" w:color="auto"/>
              <w:right w:val="single" w:sz="4" w:space="0" w:color="auto"/>
            </w:tcBorders>
            <w:noWrap/>
            <w:vAlign w:val="bottom"/>
            <w:hideMark/>
          </w:tcPr>
          <w:p w14:paraId="01B4C83D" w14:textId="27D03F1E"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w:t>
            </w:r>
          </w:p>
        </w:tc>
        <w:tc>
          <w:tcPr>
            <w:tcW w:w="991" w:type="dxa"/>
            <w:tcBorders>
              <w:top w:val="nil"/>
              <w:left w:val="nil"/>
              <w:bottom w:val="single" w:sz="4" w:space="0" w:color="auto"/>
              <w:right w:val="single" w:sz="4" w:space="0" w:color="auto"/>
            </w:tcBorders>
            <w:noWrap/>
            <w:vAlign w:val="bottom"/>
            <w:hideMark/>
          </w:tcPr>
          <w:p w14:paraId="0F727F31" w14:textId="2617AB69"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w:t>
            </w:r>
          </w:p>
        </w:tc>
        <w:tc>
          <w:tcPr>
            <w:tcW w:w="850" w:type="dxa"/>
            <w:tcBorders>
              <w:top w:val="nil"/>
              <w:left w:val="nil"/>
              <w:bottom w:val="single" w:sz="4" w:space="0" w:color="auto"/>
              <w:right w:val="single" w:sz="4" w:space="0" w:color="auto"/>
            </w:tcBorders>
            <w:noWrap/>
            <w:vAlign w:val="bottom"/>
            <w:hideMark/>
          </w:tcPr>
          <w:p w14:paraId="368622AA" w14:textId="555CCF54"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52ECB683" w14:textId="137C6A20"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100,0</w:t>
            </w:r>
          </w:p>
        </w:tc>
      </w:tr>
      <w:tr w:rsidR="00374988" w:rsidRPr="002E70D5" w14:paraId="660813D3" w14:textId="77777777" w:rsidTr="28F9800E">
        <w:trPr>
          <w:trHeight w:val="218"/>
        </w:trPr>
        <w:tc>
          <w:tcPr>
            <w:tcW w:w="5720" w:type="dxa"/>
            <w:tcBorders>
              <w:top w:val="nil"/>
              <w:left w:val="single" w:sz="4" w:space="0" w:color="auto"/>
              <w:bottom w:val="single" w:sz="4" w:space="0" w:color="auto"/>
              <w:right w:val="single" w:sz="4" w:space="0" w:color="auto"/>
            </w:tcBorders>
            <w:vAlign w:val="center"/>
            <w:hideMark/>
          </w:tcPr>
          <w:p w14:paraId="72B507FD"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gyermekgondozást segítő ellátás</w:t>
            </w:r>
          </w:p>
        </w:tc>
        <w:tc>
          <w:tcPr>
            <w:tcW w:w="944" w:type="dxa"/>
            <w:tcBorders>
              <w:top w:val="nil"/>
              <w:left w:val="single" w:sz="4" w:space="0" w:color="auto"/>
              <w:bottom w:val="single" w:sz="4" w:space="0" w:color="auto"/>
              <w:right w:val="single" w:sz="4" w:space="0" w:color="auto"/>
            </w:tcBorders>
            <w:noWrap/>
            <w:vAlign w:val="bottom"/>
            <w:hideMark/>
          </w:tcPr>
          <w:p w14:paraId="26006FB8" w14:textId="4637A951"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13,2</w:t>
            </w:r>
          </w:p>
        </w:tc>
        <w:tc>
          <w:tcPr>
            <w:tcW w:w="991" w:type="dxa"/>
            <w:tcBorders>
              <w:top w:val="nil"/>
              <w:left w:val="nil"/>
              <w:bottom w:val="single" w:sz="4" w:space="0" w:color="auto"/>
              <w:right w:val="single" w:sz="4" w:space="0" w:color="auto"/>
            </w:tcBorders>
            <w:noWrap/>
            <w:vAlign w:val="bottom"/>
            <w:hideMark/>
          </w:tcPr>
          <w:p w14:paraId="79CAB497" w14:textId="4162E051"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12,8</w:t>
            </w:r>
          </w:p>
        </w:tc>
        <w:tc>
          <w:tcPr>
            <w:tcW w:w="850" w:type="dxa"/>
            <w:tcBorders>
              <w:top w:val="nil"/>
              <w:left w:val="nil"/>
              <w:bottom w:val="single" w:sz="4" w:space="0" w:color="auto"/>
              <w:right w:val="single" w:sz="4" w:space="0" w:color="auto"/>
            </w:tcBorders>
            <w:noWrap/>
            <w:vAlign w:val="bottom"/>
            <w:hideMark/>
          </w:tcPr>
          <w:p w14:paraId="707F0162" w14:textId="2494715B"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-0,4</w:t>
            </w:r>
          </w:p>
        </w:tc>
        <w:tc>
          <w:tcPr>
            <w:tcW w:w="733" w:type="dxa"/>
            <w:tcBorders>
              <w:top w:val="nil"/>
              <w:left w:val="nil"/>
              <w:bottom w:val="single" w:sz="4" w:space="0" w:color="auto"/>
              <w:right w:val="single" w:sz="4" w:space="0" w:color="auto"/>
            </w:tcBorders>
            <w:noWrap/>
            <w:vAlign w:val="bottom"/>
            <w:hideMark/>
          </w:tcPr>
          <w:p w14:paraId="5365089B" w14:textId="4170193F"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97,0</w:t>
            </w:r>
          </w:p>
        </w:tc>
      </w:tr>
      <w:tr w:rsidR="00374988" w:rsidRPr="002E70D5" w14:paraId="54D4B8EA" w14:textId="77777777" w:rsidTr="28F9800E">
        <w:trPr>
          <w:trHeight w:val="218"/>
        </w:trPr>
        <w:tc>
          <w:tcPr>
            <w:tcW w:w="5720" w:type="dxa"/>
            <w:tcBorders>
              <w:top w:val="nil"/>
              <w:left w:val="single" w:sz="4" w:space="0" w:color="auto"/>
              <w:bottom w:val="single" w:sz="4" w:space="0" w:color="auto"/>
              <w:right w:val="single" w:sz="4" w:space="0" w:color="auto"/>
            </w:tcBorders>
            <w:vAlign w:val="center"/>
            <w:hideMark/>
          </w:tcPr>
          <w:p w14:paraId="5EED669C"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gyermeknevelési támogatás</w:t>
            </w:r>
          </w:p>
        </w:tc>
        <w:tc>
          <w:tcPr>
            <w:tcW w:w="944" w:type="dxa"/>
            <w:tcBorders>
              <w:top w:val="nil"/>
              <w:left w:val="single" w:sz="4" w:space="0" w:color="auto"/>
              <w:bottom w:val="single" w:sz="4" w:space="0" w:color="auto"/>
              <w:right w:val="single" w:sz="4" w:space="0" w:color="auto"/>
            </w:tcBorders>
            <w:noWrap/>
            <w:vAlign w:val="bottom"/>
            <w:hideMark/>
          </w:tcPr>
          <w:p w14:paraId="54864A29" w14:textId="5FD4DD1F"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2,3</w:t>
            </w:r>
          </w:p>
        </w:tc>
        <w:tc>
          <w:tcPr>
            <w:tcW w:w="991" w:type="dxa"/>
            <w:tcBorders>
              <w:top w:val="nil"/>
              <w:left w:val="nil"/>
              <w:bottom w:val="single" w:sz="4" w:space="0" w:color="auto"/>
              <w:right w:val="single" w:sz="4" w:space="0" w:color="auto"/>
            </w:tcBorders>
            <w:noWrap/>
            <w:vAlign w:val="bottom"/>
            <w:hideMark/>
          </w:tcPr>
          <w:p w14:paraId="3ED7D86B" w14:textId="22A5EBCF"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2,1</w:t>
            </w:r>
          </w:p>
        </w:tc>
        <w:tc>
          <w:tcPr>
            <w:tcW w:w="850" w:type="dxa"/>
            <w:tcBorders>
              <w:top w:val="nil"/>
              <w:left w:val="nil"/>
              <w:bottom w:val="single" w:sz="4" w:space="0" w:color="auto"/>
              <w:right w:val="single" w:sz="4" w:space="0" w:color="auto"/>
            </w:tcBorders>
            <w:noWrap/>
            <w:vAlign w:val="bottom"/>
            <w:hideMark/>
          </w:tcPr>
          <w:p w14:paraId="79964C52" w14:textId="5106E235"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-0,2</w:t>
            </w:r>
          </w:p>
        </w:tc>
        <w:tc>
          <w:tcPr>
            <w:tcW w:w="733" w:type="dxa"/>
            <w:tcBorders>
              <w:top w:val="nil"/>
              <w:left w:val="nil"/>
              <w:bottom w:val="single" w:sz="4" w:space="0" w:color="auto"/>
              <w:right w:val="single" w:sz="4" w:space="0" w:color="auto"/>
            </w:tcBorders>
            <w:noWrap/>
            <w:vAlign w:val="bottom"/>
            <w:hideMark/>
          </w:tcPr>
          <w:p w14:paraId="15FAE29F" w14:textId="7025C77B"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91,3</w:t>
            </w:r>
          </w:p>
        </w:tc>
      </w:tr>
      <w:tr w:rsidR="00374988" w:rsidRPr="002E70D5" w14:paraId="0932D838" w14:textId="77777777" w:rsidTr="28F9800E">
        <w:trPr>
          <w:trHeight w:val="218"/>
        </w:trPr>
        <w:tc>
          <w:tcPr>
            <w:tcW w:w="5720" w:type="dxa"/>
            <w:tcBorders>
              <w:top w:val="nil"/>
              <w:left w:val="single" w:sz="4" w:space="0" w:color="auto"/>
              <w:bottom w:val="single" w:sz="4" w:space="0" w:color="auto"/>
              <w:right w:val="single" w:sz="4" w:space="0" w:color="auto"/>
            </w:tcBorders>
            <w:vAlign w:val="center"/>
            <w:hideMark/>
          </w:tcPr>
          <w:p w14:paraId="7FC6C9F6"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gyermekek születésével kapcsolatos szabadság megtérítése</w:t>
            </w:r>
          </w:p>
        </w:tc>
        <w:tc>
          <w:tcPr>
            <w:tcW w:w="944" w:type="dxa"/>
            <w:tcBorders>
              <w:top w:val="nil"/>
              <w:left w:val="single" w:sz="4" w:space="0" w:color="auto"/>
              <w:bottom w:val="single" w:sz="4" w:space="0" w:color="auto"/>
              <w:right w:val="single" w:sz="4" w:space="0" w:color="auto"/>
            </w:tcBorders>
            <w:noWrap/>
            <w:vAlign w:val="bottom"/>
            <w:hideMark/>
          </w:tcPr>
          <w:p w14:paraId="083EE439" w14:textId="323381E6"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w:t>
            </w:r>
          </w:p>
        </w:tc>
        <w:tc>
          <w:tcPr>
            <w:tcW w:w="991" w:type="dxa"/>
            <w:tcBorders>
              <w:top w:val="nil"/>
              <w:left w:val="nil"/>
              <w:bottom w:val="single" w:sz="4" w:space="0" w:color="auto"/>
              <w:right w:val="single" w:sz="4" w:space="0" w:color="auto"/>
            </w:tcBorders>
            <w:noWrap/>
            <w:vAlign w:val="bottom"/>
            <w:hideMark/>
          </w:tcPr>
          <w:p w14:paraId="6FC609F0" w14:textId="59FA01F9"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w:t>
            </w:r>
          </w:p>
        </w:tc>
        <w:tc>
          <w:tcPr>
            <w:tcW w:w="850" w:type="dxa"/>
            <w:tcBorders>
              <w:top w:val="nil"/>
              <w:left w:val="nil"/>
              <w:bottom w:val="single" w:sz="4" w:space="0" w:color="auto"/>
              <w:right w:val="single" w:sz="4" w:space="0" w:color="auto"/>
            </w:tcBorders>
            <w:noWrap/>
            <w:vAlign w:val="bottom"/>
            <w:hideMark/>
          </w:tcPr>
          <w:p w14:paraId="1B7834F9" w14:textId="404CA096"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6D9506CD" w14:textId="1B19D974"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100,0</w:t>
            </w:r>
          </w:p>
        </w:tc>
      </w:tr>
      <w:tr w:rsidR="00374988" w:rsidRPr="002E70D5" w14:paraId="5C1FD170" w14:textId="77777777" w:rsidTr="28F9800E">
        <w:trPr>
          <w:trHeight w:val="218"/>
        </w:trPr>
        <w:tc>
          <w:tcPr>
            <w:tcW w:w="5720" w:type="dxa"/>
            <w:tcBorders>
              <w:top w:val="nil"/>
              <w:left w:val="single" w:sz="4" w:space="0" w:color="auto"/>
              <w:bottom w:val="single" w:sz="4" w:space="0" w:color="auto"/>
              <w:right w:val="single" w:sz="4" w:space="0" w:color="auto"/>
            </w:tcBorders>
            <w:vAlign w:val="center"/>
            <w:hideMark/>
          </w:tcPr>
          <w:p w14:paraId="7E9D85A0"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életkezdési támogatás</w:t>
            </w:r>
          </w:p>
        </w:tc>
        <w:tc>
          <w:tcPr>
            <w:tcW w:w="944" w:type="dxa"/>
            <w:tcBorders>
              <w:top w:val="nil"/>
              <w:left w:val="single" w:sz="4" w:space="0" w:color="auto"/>
              <w:bottom w:val="single" w:sz="4" w:space="0" w:color="auto"/>
              <w:right w:val="single" w:sz="4" w:space="0" w:color="auto"/>
            </w:tcBorders>
            <w:noWrap/>
            <w:vAlign w:val="bottom"/>
            <w:hideMark/>
          </w:tcPr>
          <w:p w14:paraId="7C1C4E8C" w14:textId="4AF5615A"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8,7</w:t>
            </w:r>
          </w:p>
        </w:tc>
        <w:tc>
          <w:tcPr>
            <w:tcW w:w="991" w:type="dxa"/>
            <w:tcBorders>
              <w:top w:val="nil"/>
              <w:left w:val="nil"/>
              <w:bottom w:val="single" w:sz="4" w:space="0" w:color="auto"/>
              <w:right w:val="single" w:sz="4" w:space="0" w:color="auto"/>
            </w:tcBorders>
            <w:noWrap/>
            <w:vAlign w:val="bottom"/>
            <w:hideMark/>
          </w:tcPr>
          <w:p w14:paraId="64FE41C6" w14:textId="39CE7FD7"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9,2</w:t>
            </w:r>
          </w:p>
        </w:tc>
        <w:tc>
          <w:tcPr>
            <w:tcW w:w="850" w:type="dxa"/>
            <w:tcBorders>
              <w:top w:val="nil"/>
              <w:left w:val="nil"/>
              <w:bottom w:val="single" w:sz="4" w:space="0" w:color="auto"/>
              <w:right w:val="single" w:sz="4" w:space="0" w:color="auto"/>
            </w:tcBorders>
            <w:noWrap/>
            <w:vAlign w:val="bottom"/>
            <w:hideMark/>
          </w:tcPr>
          <w:p w14:paraId="092E3EF2" w14:textId="431E1034"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0,5</w:t>
            </w:r>
          </w:p>
        </w:tc>
        <w:tc>
          <w:tcPr>
            <w:tcW w:w="733" w:type="dxa"/>
            <w:tcBorders>
              <w:top w:val="nil"/>
              <w:left w:val="nil"/>
              <w:bottom w:val="single" w:sz="4" w:space="0" w:color="auto"/>
              <w:right w:val="single" w:sz="4" w:space="0" w:color="auto"/>
            </w:tcBorders>
            <w:noWrap/>
            <w:vAlign w:val="bottom"/>
            <w:hideMark/>
          </w:tcPr>
          <w:p w14:paraId="4E31809C" w14:textId="4AC089F6"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105,7</w:t>
            </w:r>
          </w:p>
        </w:tc>
      </w:tr>
      <w:tr w:rsidR="00374988" w:rsidRPr="002E70D5" w14:paraId="5B535E4D"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4BB29DB0" w14:textId="77777777" w:rsidR="00374988" w:rsidRPr="002E70D5" w:rsidRDefault="5E04AD7D" w:rsidP="5E04AD7D">
            <w:pPr>
              <w:spacing w:after="0"/>
              <w:rPr>
                <w:rFonts w:ascii="Times New Roman" w:hAnsi="Times New Roman" w:cs="Times New Roman"/>
                <w:b/>
                <w:bCs/>
                <w:color w:val="000000" w:themeColor="text1"/>
                <w:sz w:val="20"/>
                <w:szCs w:val="20"/>
              </w:rPr>
            </w:pPr>
            <w:r w:rsidRPr="5E04AD7D">
              <w:rPr>
                <w:rFonts w:ascii="Times New Roman" w:hAnsi="Times New Roman" w:cs="Times New Roman"/>
                <w:b/>
                <w:bCs/>
                <w:color w:val="000000" w:themeColor="text1"/>
                <w:sz w:val="20"/>
                <w:szCs w:val="20"/>
              </w:rPr>
              <w:t>Korhatár alatti ellátások</w:t>
            </w:r>
          </w:p>
        </w:tc>
        <w:tc>
          <w:tcPr>
            <w:tcW w:w="944" w:type="dxa"/>
            <w:tcBorders>
              <w:top w:val="nil"/>
              <w:left w:val="single" w:sz="4" w:space="0" w:color="auto"/>
              <w:bottom w:val="single" w:sz="4" w:space="0" w:color="auto"/>
              <w:right w:val="single" w:sz="4" w:space="0" w:color="auto"/>
            </w:tcBorders>
            <w:noWrap/>
            <w:vAlign w:val="bottom"/>
            <w:hideMark/>
          </w:tcPr>
          <w:p w14:paraId="1E584746" w14:textId="1E52DF53"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37,8</w:t>
            </w:r>
          </w:p>
        </w:tc>
        <w:tc>
          <w:tcPr>
            <w:tcW w:w="991" w:type="dxa"/>
            <w:tcBorders>
              <w:top w:val="nil"/>
              <w:left w:val="nil"/>
              <w:bottom w:val="single" w:sz="4" w:space="0" w:color="auto"/>
              <w:right w:val="single" w:sz="4" w:space="0" w:color="auto"/>
            </w:tcBorders>
            <w:noWrap/>
            <w:vAlign w:val="bottom"/>
            <w:hideMark/>
          </w:tcPr>
          <w:p w14:paraId="3BB31635" w14:textId="231E0178"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39,5</w:t>
            </w:r>
          </w:p>
        </w:tc>
        <w:tc>
          <w:tcPr>
            <w:tcW w:w="850" w:type="dxa"/>
            <w:tcBorders>
              <w:top w:val="nil"/>
              <w:left w:val="nil"/>
              <w:bottom w:val="single" w:sz="4" w:space="0" w:color="auto"/>
              <w:right w:val="single" w:sz="4" w:space="0" w:color="auto"/>
            </w:tcBorders>
            <w:noWrap/>
            <w:vAlign w:val="bottom"/>
            <w:hideMark/>
          </w:tcPr>
          <w:p w14:paraId="6067B78F" w14:textId="4A396A9C"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1,7</w:t>
            </w:r>
          </w:p>
        </w:tc>
        <w:tc>
          <w:tcPr>
            <w:tcW w:w="733" w:type="dxa"/>
            <w:tcBorders>
              <w:top w:val="nil"/>
              <w:left w:val="nil"/>
              <w:bottom w:val="single" w:sz="4" w:space="0" w:color="auto"/>
              <w:right w:val="single" w:sz="4" w:space="0" w:color="auto"/>
            </w:tcBorders>
            <w:noWrap/>
            <w:vAlign w:val="bottom"/>
            <w:hideMark/>
          </w:tcPr>
          <w:p w14:paraId="05F9CDA8" w14:textId="244E2A9B"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104,5</w:t>
            </w:r>
          </w:p>
        </w:tc>
      </w:tr>
      <w:tr w:rsidR="00374988" w:rsidRPr="002E70D5" w14:paraId="2D6D4FB3"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285599A0" w14:textId="77777777" w:rsidR="00374988" w:rsidRPr="002E70D5" w:rsidRDefault="5E04AD7D" w:rsidP="5E04AD7D">
            <w:pPr>
              <w:spacing w:after="0"/>
              <w:rPr>
                <w:rFonts w:ascii="Times New Roman" w:hAnsi="Times New Roman" w:cs="Times New Roman"/>
                <w:b/>
                <w:bCs/>
                <w:color w:val="000000" w:themeColor="text1"/>
                <w:sz w:val="20"/>
                <w:szCs w:val="20"/>
              </w:rPr>
            </w:pPr>
            <w:r w:rsidRPr="5E04AD7D">
              <w:rPr>
                <w:rFonts w:ascii="Times New Roman" w:hAnsi="Times New Roman" w:cs="Times New Roman"/>
                <w:b/>
                <w:bCs/>
                <w:color w:val="000000" w:themeColor="text1"/>
                <w:sz w:val="20"/>
                <w:szCs w:val="20"/>
              </w:rPr>
              <w:t>Jövedelempótló és jövedelemkiegészítő szociális támogatások</w:t>
            </w:r>
          </w:p>
        </w:tc>
        <w:tc>
          <w:tcPr>
            <w:tcW w:w="944" w:type="dxa"/>
            <w:tcBorders>
              <w:top w:val="nil"/>
              <w:left w:val="single" w:sz="4" w:space="0" w:color="auto"/>
              <w:bottom w:val="single" w:sz="4" w:space="0" w:color="auto"/>
              <w:right w:val="single" w:sz="4" w:space="0" w:color="auto"/>
            </w:tcBorders>
            <w:noWrap/>
            <w:vAlign w:val="bottom"/>
            <w:hideMark/>
          </w:tcPr>
          <w:p w14:paraId="76F346F2" w14:textId="46C529F7"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54,3</w:t>
            </w:r>
          </w:p>
        </w:tc>
        <w:tc>
          <w:tcPr>
            <w:tcW w:w="991" w:type="dxa"/>
            <w:tcBorders>
              <w:top w:val="nil"/>
              <w:left w:val="nil"/>
              <w:bottom w:val="single" w:sz="4" w:space="0" w:color="auto"/>
              <w:right w:val="single" w:sz="4" w:space="0" w:color="auto"/>
            </w:tcBorders>
            <w:noWrap/>
            <w:vAlign w:val="bottom"/>
            <w:hideMark/>
          </w:tcPr>
          <w:p w14:paraId="6DF5981D" w14:textId="3E3B46B6"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67,1</w:t>
            </w:r>
          </w:p>
        </w:tc>
        <w:tc>
          <w:tcPr>
            <w:tcW w:w="850" w:type="dxa"/>
            <w:tcBorders>
              <w:top w:val="nil"/>
              <w:left w:val="nil"/>
              <w:bottom w:val="single" w:sz="4" w:space="0" w:color="auto"/>
              <w:right w:val="single" w:sz="4" w:space="0" w:color="auto"/>
            </w:tcBorders>
            <w:noWrap/>
            <w:vAlign w:val="bottom"/>
            <w:hideMark/>
          </w:tcPr>
          <w:p w14:paraId="01D98773" w14:textId="5074CD25"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12,8</w:t>
            </w:r>
          </w:p>
        </w:tc>
        <w:tc>
          <w:tcPr>
            <w:tcW w:w="733" w:type="dxa"/>
            <w:tcBorders>
              <w:top w:val="nil"/>
              <w:left w:val="nil"/>
              <w:bottom w:val="single" w:sz="4" w:space="0" w:color="auto"/>
              <w:right w:val="single" w:sz="4" w:space="0" w:color="auto"/>
            </w:tcBorders>
            <w:noWrap/>
            <w:vAlign w:val="bottom"/>
            <w:hideMark/>
          </w:tcPr>
          <w:p w14:paraId="112E0472" w14:textId="0AC2145A"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123,6</w:t>
            </w:r>
          </w:p>
        </w:tc>
      </w:tr>
      <w:tr w:rsidR="00374988" w:rsidRPr="002E70D5" w14:paraId="2F68BD6E"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55975F0B" w14:textId="77777777" w:rsidR="00374988" w:rsidRPr="002E70D5" w:rsidRDefault="5E04AD7D" w:rsidP="5E04AD7D">
            <w:pPr>
              <w:spacing w:after="0"/>
              <w:ind w:firstLineChars="100" w:firstLine="2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2B25FABF" w14:textId="45B38A6A"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6B112B61" w14:textId="62020126"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0CBA18B6" w14:textId="239631E2"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5A52A3F4" w14:textId="6097B7FA"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 </w:t>
            </w:r>
          </w:p>
        </w:tc>
      </w:tr>
      <w:tr w:rsidR="00374988" w:rsidRPr="002E70D5" w14:paraId="0E61B6E0" w14:textId="77777777" w:rsidTr="28F9800E">
        <w:trPr>
          <w:trHeight w:val="218"/>
        </w:trPr>
        <w:tc>
          <w:tcPr>
            <w:tcW w:w="5720" w:type="dxa"/>
            <w:tcBorders>
              <w:top w:val="nil"/>
              <w:left w:val="single" w:sz="4" w:space="0" w:color="auto"/>
              <w:bottom w:val="single" w:sz="4" w:space="0" w:color="auto"/>
              <w:right w:val="single" w:sz="4" w:space="0" w:color="auto"/>
            </w:tcBorders>
            <w:noWrap/>
            <w:vAlign w:val="center"/>
            <w:hideMark/>
          </w:tcPr>
          <w:p w14:paraId="6037ED1E"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Jövedelempótló és jövedelemkiegészítő ellátások</w:t>
            </w:r>
          </w:p>
        </w:tc>
        <w:tc>
          <w:tcPr>
            <w:tcW w:w="944" w:type="dxa"/>
            <w:tcBorders>
              <w:top w:val="nil"/>
              <w:left w:val="single" w:sz="4" w:space="0" w:color="auto"/>
              <w:bottom w:val="single" w:sz="4" w:space="0" w:color="auto"/>
              <w:right w:val="single" w:sz="4" w:space="0" w:color="auto"/>
            </w:tcBorders>
            <w:noWrap/>
            <w:vAlign w:val="bottom"/>
            <w:hideMark/>
          </w:tcPr>
          <w:p w14:paraId="5C906EAA" w14:textId="34FA5E97"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22,9</w:t>
            </w:r>
          </w:p>
        </w:tc>
        <w:tc>
          <w:tcPr>
            <w:tcW w:w="991" w:type="dxa"/>
            <w:tcBorders>
              <w:top w:val="nil"/>
              <w:left w:val="nil"/>
              <w:bottom w:val="single" w:sz="4" w:space="0" w:color="auto"/>
              <w:right w:val="single" w:sz="4" w:space="0" w:color="auto"/>
            </w:tcBorders>
            <w:noWrap/>
            <w:vAlign w:val="bottom"/>
            <w:hideMark/>
          </w:tcPr>
          <w:p w14:paraId="2BF256A3" w14:textId="1EAFAE63"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25,0</w:t>
            </w:r>
          </w:p>
        </w:tc>
        <w:tc>
          <w:tcPr>
            <w:tcW w:w="850" w:type="dxa"/>
            <w:tcBorders>
              <w:top w:val="nil"/>
              <w:left w:val="nil"/>
              <w:bottom w:val="single" w:sz="4" w:space="0" w:color="auto"/>
              <w:right w:val="single" w:sz="4" w:space="0" w:color="auto"/>
            </w:tcBorders>
            <w:noWrap/>
            <w:vAlign w:val="bottom"/>
            <w:hideMark/>
          </w:tcPr>
          <w:p w14:paraId="0AF26DC1" w14:textId="4D2AC39D"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2,1</w:t>
            </w:r>
          </w:p>
        </w:tc>
        <w:tc>
          <w:tcPr>
            <w:tcW w:w="733" w:type="dxa"/>
            <w:tcBorders>
              <w:top w:val="nil"/>
              <w:left w:val="nil"/>
              <w:bottom w:val="single" w:sz="4" w:space="0" w:color="auto"/>
              <w:right w:val="single" w:sz="4" w:space="0" w:color="auto"/>
            </w:tcBorders>
            <w:noWrap/>
            <w:vAlign w:val="bottom"/>
            <w:hideMark/>
          </w:tcPr>
          <w:p w14:paraId="116943FB" w14:textId="12E06898"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109,2</w:t>
            </w:r>
          </w:p>
        </w:tc>
      </w:tr>
      <w:tr w:rsidR="00374988" w:rsidRPr="002E70D5" w14:paraId="4BD7171B" w14:textId="77777777" w:rsidTr="28F9800E">
        <w:trPr>
          <w:trHeight w:val="218"/>
        </w:trPr>
        <w:tc>
          <w:tcPr>
            <w:tcW w:w="5720" w:type="dxa"/>
            <w:tcBorders>
              <w:top w:val="nil"/>
              <w:left w:val="single" w:sz="4" w:space="0" w:color="auto"/>
              <w:bottom w:val="single" w:sz="4" w:space="0" w:color="auto"/>
              <w:right w:val="single" w:sz="4" w:space="0" w:color="auto"/>
            </w:tcBorders>
            <w:noWrap/>
            <w:vAlign w:val="center"/>
            <w:hideMark/>
          </w:tcPr>
          <w:p w14:paraId="55B155D0"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Járási szociális feladatok ellátása</w:t>
            </w:r>
          </w:p>
        </w:tc>
        <w:tc>
          <w:tcPr>
            <w:tcW w:w="944" w:type="dxa"/>
            <w:tcBorders>
              <w:top w:val="nil"/>
              <w:left w:val="single" w:sz="4" w:space="0" w:color="auto"/>
              <w:bottom w:val="single" w:sz="4" w:space="0" w:color="auto"/>
              <w:right w:val="single" w:sz="4" w:space="0" w:color="auto"/>
            </w:tcBorders>
            <w:noWrap/>
            <w:vAlign w:val="bottom"/>
            <w:hideMark/>
          </w:tcPr>
          <w:p w14:paraId="0F35ED60" w14:textId="2AAE7FFA"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3</w:t>
            </w:r>
            <w:r w:rsidR="00FA52E5">
              <w:rPr>
                <w:rFonts w:ascii="Times New Roman" w:hAnsi="Times New Roman" w:cs="Times New Roman"/>
                <w:sz w:val="20"/>
                <w:szCs w:val="20"/>
              </w:rPr>
              <w:t>1</w:t>
            </w:r>
            <w:r w:rsidRPr="28F9800E">
              <w:rPr>
                <w:rFonts w:ascii="Times New Roman" w:hAnsi="Times New Roman" w:cs="Times New Roman"/>
                <w:sz w:val="20"/>
                <w:szCs w:val="20"/>
              </w:rPr>
              <w:t>,4</w:t>
            </w:r>
          </w:p>
        </w:tc>
        <w:tc>
          <w:tcPr>
            <w:tcW w:w="991" w:type="dxa"/>
            <w:tcBorders>
              <w:top w:val="nil"/>
              <w:left w:val="nil"/>
              <w:bottom w:val="single" w:sz="4" w:space="0" w:color="auto"/>
              <w:right w:val="single" w:sz="4" w:space="0" w:color="auto"/>
            </w:tcBorders>
            <w:noWrap/>
            <w:vAlign w:val="bottom"/>
            <w:hideMark/>
          </w:tcPr>
          <w:p w14:paraId="22E02311" w14:textId="195D69D9"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42,0</w:t>
            </w:r>
          </w:p>
        </w:tc>
        <w:tc>
          <w:tcPr>
            <w:tcW w:w="850" w:type="dxa"/>
            <w:tcBorders>
              <w:top w:val="nil"/>
              <w:left w:val="nil"/>
              <w:bottom w:val="single" w:sz="4" w:space="0" w:color="auto"/>
              <w:right w:val="single" w:sz="4" w:space="0" w:color="auto"/>
            </w:tcBorders>
            <w:noWrap/>
            <w:vAlign w:val="bottom"/>
            <w:hideMark/>
          </w:tcPr>
          <w:p w14:paraId="0BADF695" w14:textId="6B25B958"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10,6</w:t>
            </w:r>
          </w:p>
        </w:tc>
        <w:tc>
          <w:tcPr>
            <w:tcW w:w="733" w:type="dxa"/>
            <w:tcBorders>
              <w:top w:val="nil"/>
              <w:left w:val="nil"/>
              <w:bottom w:val="single" w:sz="4" w:space="0" w:color="auto"/>
              <w:right w:val="single" w:sz="4" w:space="0" w:color="auto"/>
            </w:tcBorders>
            <w:noWrap/>
            <w:vAlign w:val="bottom"/>
            <w:hideMark/>
          </w:tcPr>
          <w:p w14:paraId="2BD95678" w14:textId="3DC7FE79"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133,8</w:t>
            </w:r>
          </w:p>
        </w:tc>
      </w:tr>
      <w:tr w:rsidR="00374988" w:rsidRPr="002E70D5" w14:paraId="5D884F8B"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159E34A9" w14:textId="77777777" w:rsidR="00374988" w:rsidRPr="002E70D5" w:rsidRDefault="5E04AD7D" w:rsidP="5E04AD7D">
            <w:pPr>
              <w:spacing w:after="0"/>
              <w:rPr>
                <w:rFonts w:ascii="Times New Roman" w:hAnsi="Times New Roman" w:cs="Times New Roman"/>
                <w:b/>
                <w:bCs/>
                <w:color w:val="000000" w:themeColor="text1"/>
                <w:sz w:val="20"/>
                <w:szCs w:val="20"/>
              </w:rPr>
            </w:pPr>
            <w:r w:rsidRPr="5E04AD7D">
              <w:rPr>
                <w:rFonts w:ascii="Times New Roman" w:hAnsi="Times New Roman" w:cs="Times New Roman"/>
                <w:b/>
                <w:bCs/>
                <w:color w:val="000000" w:themeColor="text1"/>
                <w:sz w:val="20"/>
                <w:szCs w:val="20"/>
              </w:rPr>
              <w:t>Különféle jogcímen adott térítések</w:t>
            </w:r>
          </w:p>
        </w:tc>
        <w:tc>
          <w:tcPr>
            <w:tcW w:w="944" w:type="dxa"/>
            <w:tcBorders>
              <w:top w:val="nil"/>
              <w:left w:val="single" w:sz="4" w:space="0" w:color="auto"/>
              <w:bottom w:val="single" w:sz="4" w:space="0" w:color="auto"/>
              <w:right w:val="single" w:sz="4" w:space="0" w:color="auto"/>
            </w:tcBorders>
            <w:noWrap/>
            <w:vAlign w:val="bottom"/>
            <w:hideMark/>
          </w:tcPr>
          <w:p w14:paraId="715706AA" w14:textId="7D3E9F7A"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6,0</w:t>
            </w:r>
          </w:p>
        </w:tc>
        <w:tc>
          <w:tcPr>
            <w:tcW w:w="991" w:type="dxa"/>
            <w:tcBorders>
              <w:top w:val="nil"/>
              <w:left w:val="nil"/>
              <w:bottom w:val="single" w:sz="4" w:space="0" w:color="auto"/>
              <w:right w:val="single" w:sz="4" w:space="0" w:color="auto"/>
            </w:tcBorders>
            <w:noWrap/>
            <w:vAlign w:val="bottom"/>
            <w:hideMark/>
          </w:tcPr>
          <w:p w14:paraId="32A7AEB4" w14:textId="4CAA3CC2"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6,0</w:t>
            </w:r>
          </w:p>
        </w:tc>
        <w:tc>
          <w:tcPr>
            <w:tcW w:w="850" w:type="dxa"/>
            <w:tcBorders>
              <w:top w:val="nil"/>
              <w:left w:val="nil"/>
              <w:bottom w:val="single" w:sz="4" w:space="0" w:color="auto"/>
              <w:right w:val="single" w:sz="4" w:space="0" w:color="auto"/>
            </w:tcBorders>
            <w:noWrap/>
            <w:vAlign w:val="bottom"/>
            <w:hideMark/>
          </w:tcPr>
          <w:p w14:paraId="65E60E79" w14:textId="6EFA099E"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0,0</w:t>
            </w:r>
          </w:p>
        </w:tc>
        <w:tc>
          <w:tcPr>
            <w:tcW w:w="733" w:type="dxa"/>
            <w:tcBorders>
              <w:top w:val="nil"/>
              <w:left w:val="nil"/>
              <w:bottom w:val="single" w:sz="4" w:space="0" w:color="auto"/>
              <w:right w:val="single" w:sz="4" w:space="0" w:color="auto"/>
            </w:tcBorders>
            <w:noWrap/>
            <w:vAlign w:val="bottom"/>
            <w:hideMark/>
          </w:tcPr>
          <w:p w14:paraId="45C6250D" w14:textId="283C7AB1"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100,0</w:t>
            </w:r>
          </w:p>
        </w:tc>
      </w:tr>
      <w:tr w:rsidR="00374988" w:rsidRPr="002E70D5" w14:paraId="1F6A3088"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51606FF2" w14:textId="77777777" w:rsidR="00374988" w:rsidRPr="002E70D5" w:rsidRDefault="5E04AD7D" w:rsidP="5E04AD7D">
            <w:pPr>
              <w:spacing w:after="0"/>
              <w:ind w:firstLineChars="100" w:firstLine="2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 xml:space="preserve">Ebből: </w:t>
            </w:r>
          </w:p>
        </w:tc>
        <w:tc>
          <w:tcPr>
            <w:tcW w:w="944" w:type="dxa"/>
            <w:tcBorders>
              <w:top w:val="nil"/>
              <w:left w:val="single" w:sz="4" w:space="0" w:color="auto"/>
              <w:bottom w:val="single" w:sz="4" w:space="0" w:color="auto"/>
              <w:right w:val="single" w:sz="4" w:space="0" w:color="auto"/>
            </w:tcBorders>
            <w:noWrap/>
            <w:vAlign w:val="bottom"/>
            <w:hideMark/>
          </w:tcPr>
          <w:p w14:paraId="7BB378B1" w14:textId="32B1285D"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2F2A2014" w14:textId="0DB6691C"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7E1D69D1" w14:textId="60615FDD"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49716CDD" w14:textId="6A02F8FE"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 </w:t>
            </w:r>
          </w:p>
        </w:tc>
      </w:tr>
      <w:tr w:rsidR="00374988" w:rsidRPr="002E70D5" w14:paraId="084817F6"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47D48781" w14:textId="77777777" w:rsidR="00374988" w:rsidRPr="002E70D5" w:rsidRDefault="5E04AD7D" w:rsidP="5E04AD7D">
            <w:pPr>
              <w:spacing w:after="0"/>
              <w:ind w:firstLineChars="400" w:firstLine="800"/>
              <w:rPr>
                <w:rFonts w:ascii="Times New Roman" w:hAnsi="Times New Roman" w:cs="Times New Roman"/>
                <w:i/>
                <w:iCs/>
                <w:color w:val="000000" w:themeColor="text1"/>
                <w:sz w:val="20"/>
                <w:szCs w:val="20"/>
              </w:rPr>
            </w:pPr>
            <w:r w:rsidRPr="5E04AD7D">
              <w:rPr>
                <w:rFonts w:ascii="Times New Roman" w:hAnsi="Times New Roman" w:cs="Times New Roman"/>
                <w:i/>
                <w:iCs/>
                <w:color w:val="000000" w:themeColor="text1"/>
                <w:sz w:val="20"/>
                <w:szCs w:val="20"/>
              </w:rPr>
              <w:t>közgyógyellátás</w:t>
            </w:r>
          </w:p>
        </w:tc>
        <w:tc>
          <w:tcPr>
            <w:tcW w:w="944" w:type="dxa"/>
            <w:tcBorders>
              <w:top w:val="nil"/>
              <w:left w:val="single" w:sz="4" w:space="0" w:color="auto"/>
              <w:bottom w:val="single" w:sz="4" w:space="0" w:color="auto"/>
              <w:right w:val="single" w:sz="4" w:space="0" w:color="auto"/>
            </w:tcBorders>
            <w:noWrap/>
            <w:vAlign w:val="bottom"/>
            <w:hideMark/>
          </w:tcPr>
          <w:p w14:paraId="3F5F3F3F" w14:textId="4A707875"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4,0</w:t>
            </w:r>
          </w:p>
        </w:tc>
        <w:tc>
          <w:tcPr>
            <w:tcW w:w="991" w:type="dxa"/>
            <w:tcBorders>
              <w:top w:val="nil"/>
              <w:left w:val="nil"/>
              <w:bottom w:val="single" w:sz="4" w:space="0" w:color="auto"/>
              <w:right w:val="single" w:sz="4" w:space="0" w:color="auto"/>
            </w:tcBorders>
            <w:noWrap/>
            <w:vAlign w:val="bottom"/>
            <w:hideMark/>
          </w:tcPr>
          <w:p w14:paraId="440A367E" w14:textId="5F4384B3"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4,0</w:t>
            </w:r>
          </w:p>
        </w:tc>
        <w:tc>
          <w:tcPr>
            <w:tcW w:w="850" w:type="dxa"/>
            <w:tcBorders>
              <w:top w:val="nil"/>
              <w:left w:val="nil"/>
              <w:bottom w:val="single" w:sz="4" w:space="0" w:color="auto"/>
              <w:right w:val="single" w:sz="4" w:space="0" w:color="auto"/>
            </w:tcBorders>
            <w:noWrap/>
            <w:vAlign w:val="bottom"/>
            <w:hideMark/>
          </w:tcPr>
          <w:p w14:paraId="56D95B1C" w14:textId="0FBE93C7"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6B892B1E" w14:textId="558123F8" w:rsidR="00374988" w:rsidRPr="00374988" w:rsidRDefault="28F9800E" w:rsidP="28F9800E">
            <w:pPr>
              <w:spacing w:after="0"/>
              <w:jc w:val="right"/>
              <w:rPr>
                <w:rFonts w:ascii="Times New Roman" w:hAnsi="Times New Roman" w:cs="Times New Roman"/>
                <w:sz w:val="20"/>
                <w:szCs w:val="20"/>
              </w:rPr>
            </w:pPr>
            <w:r w:rsidRPr="28F9800E">
              <w:rPr>
                <w:rFonts w:ascii="Times New Roman" w:hAnsi="Times New Roman" w:cs="Times New Roman"/>
                <w:sz w:val="20"/>
                <w:szCs w:val="20"/>
              </w:rPr>
              <w:t>100,0</w:t>
            </w:r>
          </w:p>
        </w:tc>
      </w:tr>
      <w:tr w:rsidR="00374988" w:rsidRPr="002E70D5" w14:paraId="4A95CF06" w14:textId="77777777" w:rsidTr="28F9800E">
        <w:trPr>
          <w:trHeight w:val="218"/>
        </w:trPr>
        <w:tc>
          <w:tcPr>
            <w:tcW w:w="5720" w:type="dxa"/>
            <w:tcBorders>
              <w:top w:val="nil"/>
              <w:left w:val="single" w:sz="4" w:space="0" w:color="auto"/>
              <w:bottom w:val="single" w:sz="4" w:space="0" w:color="auto"/>
              <w:right w:val="single" w:sz="4" w:space="0" w:color="auto"/>
            </w:tcBorders>
            <w:noWrap/>
            <w:vAlign w:val="bottom"/>
            <w:hideMark/>
          </w:tcPr>
          <w:p w14:paraId="50CBE7CC" w14:textId="77777777" w:rsidR="00374988" w:rsidRPr="002E70D5" w:rsidRDefault="5E04AD7D" w:rsidP="5E04AD7D">
            <w:pPr>
              <w:spacing w:after="0"/>
              <w:rPr>
                <w:rFonts w:ascii="Times New Roman" w:hAnsi="Times New Roman" w:cs="Times New Roman"/>
                <w:b/>
                <w:bCs/>
                <w:color w:val="000000" w:themeColor="text1"/>
                <w:sz w:val="20"/>
                <w:szCs w:val="20"/>
              </w:rPr>
            </w:pPr>
            <w:r w:rsidRPr="5E04AD7D">
              <w:rPr>
                <w:rFonts w:ascii="Times New Roman" w:hAnsi="Times New Roman" w:cs="Times New Roman"/>
                <w:b/>
                <w:bCs/>
                <w:color w:val="000000" w:themeColor="text1"/>
                <w:sz w:val="20"/>
                <w:szCs w:val="20"/>
              </w:rPr>
              <w:t>Összesen</w:t>
            </w:r>
          </w:p>
        </w:tc>
        <w:tc>
          <w:tcPr>
            <w:tcW w:w="944" w:type="dxa"/>
            <w:tcBorders>
              <w:top w:val="nil"/>
              <w:left w:val="single" w:sz="4" w:space="0" w:color="auto"/>
              <w:bottom w:val="single" w:sz="4" w:space="0" w:color="auto"/>
              <w:right w:val="single" w:sz="4" w:space="0" w:color="auto"/>
            </w:tcBorders>
            <w:noWrap/>
            <w:vAlign w:val="bottom"/>
            <w:hideMark/>
          </w:tcPr>
          <w:p w14:paraId="39885620" w14:textId="6930E0BF"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200,9</w:t>
            </w:r>
          </w:p>
        </w:tc>
        <w:tc>
          <w:tcPr>
            <w:tcW w:w="991" w:type="dxa"/>
            <w:tcBorders>
              <w:top w:val="nil"/>
              <w:left w:val="nil"/>
              <w:bottom w:val="single" w:sz="4" w:space="0" w:color="auto"/>
              <w:right w:val="single" w:sz="4" w:space="0" w:color="auto"/>
            </w:tcBorders>
            <w:noWrap/>
            <w:vAlign w:val="bottom"/>
            <w:hideMark/>
          </w:tcPr>
          <w:p w14:paraId="3E5CDB5F" w14:textId="136227B4"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214,3</w:t>
            </w:r>
          </w:p>
        </w:tc>
        <w:tc>
          <w:tcPr>
            <w:tcW w:w="850" w:type="dxa"/>
            <w:tcBorders>
              <w:top w:val="nil"/>
              <w:left w:val="nil"/>
              <w:bottom w:val="single" w:sz="4" w:space="0" w:color="auto"/>
              <w:right w:val="single" w:sz="4" w:space="0" w:color="auto"/>
            </w:tcBorders>
            <w:noWrap/>
            <w:vAlign w:val="bottom"/>
            <w:hideMark/>
          </w:tcPr>
          <w:p w14:paraId="0B58ABDF" w14:textId="521C6C41"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13,4</w:t>
            </w:r>
          </w:p>
        </w:tc>
        <w:tc>
          <w:tcPr>
            <w:tcW w:w="733" w:type="dxa"/>
            <w:tcBorders>
              <w:top w:val="nil"/>
              <w:left w:val="nil"/>
              <w:bottom w:val="single" w:sz="4" w:space="0" w:color="auto"/>
              <w:right w:val="single" w:sz="4" w:space="0" w:color="auto"/>
            </w:tcBorders>
            <w:noWrap/>
            <w:vAlign w:val="bottom"/>
            <w:hideMark/>
          </w:tcPr>
          <w:p w14:paraId="63C6541D" w14:textId="68CDC90E" w:rsidR="00374988" w:rsidRPr="00374988" w:rsidRDefault="28F9800E" w:rsidP="28F9800E">
            <w:pPr>
              <w:spacing w:after="0"/>
              <w:jc w:val="right"/>
              <w:rPr>
                <w:rFonts w:ascii="Times New Roman" w:hAnsi="Times New Roman" w:cs="Times New Roman"/>
                <w:b/>
                <w:bCs/>
                <w:sz w:val="20"/>
                <w:szCs w:val="20"/>
              </w:rPr>
            </w:pPr>
            <w:r w:rsidRPr="28F9800E">
              <w:rPr>
                <w:rFonts w:ascii="Times New Roman" w:hAnsi="Times New Roman" w:cs="Times New Roman"/>
                <w:b/>
                <w:bCs/>
                <w:sz w:val="20"/>
                <w:szCs w:val="20"/>
              </w:rPr>
              <w:t>106,7</w:t>
            </w:r>
          </w:p>
        </w:tc>
      </w:tr>
    </w:tbl>
    <w:p w14:paraId="750459B8" w14:textId="514742A9" w:rsidR="136379A9" w:rsidRDefault="5E04AD7D" w:rsidP="00527154">
      <w:pPr>
        <w:spacing w:before="240"/>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családi támogatásokra</w:t>
      </w:r>
      <w:r w:rsidRPr="5E04AD7D">
        <w:rPr>
          <w:rFonts w:ascii="Times New Roman" w:eastAsia="Times New Roman" w:hAnsi="Times New Roman" w:cs="Times New Roman"/>
          <w:sz w:val="26"/>
          <w:szCs w:val="26"/>
        </w:rPr>
        <w:t xml:space="preserve"> 2026 első három hónapjában összesen 101,7 milliárd forintot fizettek ki, amely 1,2 milliárd forinttal volt alacsonyabb az előző évi teljesítésnél.</w:t>
      </w:r>
    </w:p>
    <w:p w14:paraId="09AD0BD6" w14:textId="20E7403D" w:rsidR="136379A9" w:rsidRDefault="28F9800E" w:rsidP="136379A9">
      <w:pPr>
        <w:jc w:val="both"/>
      </w:pPr>
      <w:r w:rsidRPr="28F9800E">
        <w:rPr>
          <w:rFonts w:ascii="Times New Roman" w:eastAsia="Times New Roman" w:hAnsi="Times New Roman" w:cs="Times New Roman"/>
          <w:sz w:val="26"/>
          <w:szCs w:val="26"/>
        </w:rPr>
        <w:t xml:space="preserve">A </w:t>
      </w:r>
      <w:r w:rsidRPr="28F9800E">
        <w:rPr>
          <w:rFonts w:ascii="Times New Roman" w:eastAsia="Times New Roman" w:hAnsi="Times New Roman" w:cs="Times New Roman"/>
          <w:b/>
          <w:bCs/>
          <w:sz w:val="26"/>
          <w:szCs w:val="26"/>
        </w:rPr>
        <w:t>korhatár alatti ellátások</w:t>
      </w:r>
      <w:r w:rsidRPr="28F9800E">
        <w:rPr>
          <w:rFonts w:ascii="Times New Roman" w:eastAsia="Times New Roman" w:hAnsi="Times New Roman" w:cs="Times New Roman"/>
          <w:sz w:val="26"/>
          <w:szCs w:val="26"/>
        </w:rPr>
        <w:t xml:space="preserve"> esetében a kiadás 1,7 milliárd forinttal magasabb volt az előző év azonos időszakához képest. A kiadások növekedését elsősorban az okozta, hogy februárban a korhatár előtti ellátásban részesülő személyek is részesültek 13. havi ellátásban és 14. havi ellátás 25%-ában. Ezen túlmenően januárban sor került – az öregségi nyugdíjakhoz hasonlóan – az ellátások 3,6%-os emelésére is.</w:t>
      </w:r>
    </w:p>
    <w:p w14:paraId="4FDC183B" w14:textId="393862B8" w:rsidR="136379A9" w:rsidRDefault="5E04AD7D" w:rsidP="136379A9">
      <w:pPr>
        <w:jc w:val="both"/>
      </w:pPr>
      <w:r w:rsidRPr="5E04AD7D">
        <w:rPr>
          <w:rFonts w:ascii="Times New Roman" w:eastAsia="Times New Roman" w:hAnsi="Times New Roman" w:cs="Times New Roman"/>
          <w:sz w:val="26"/>
          <w:szCs w:val="26"/>
        </w:rPr>
        <w:t xml:space="preserve">2026 március végéig a </w:t>
      </w:r>
      <w:r w:rsidRPr="00E5741E">
        <w:rPr>
          <w:rFonts w:ascii="Times New Roman" w:eastAsia="Times New Roman" w:hAnsi="Times New Roman" w:cs="Times New Roman"/>
          <w:b/>
          <w:bCs/>
          <w:sz w:val="26"/>
          <w:szCs w:val="26"/>
        </w:rPr>
        <w:t>jövedelempótló és jövedelemkiegészítő szociális támogatásokra</w:t>
      </w:r>
      <w:r w:rsidRPr="5E04AD7D">
        <w:rPr>
          <w:rFonts w:ascii="Times New Roman" w:eastAsia="Times New Roman" w:hAnsi="Times New Roman" w:cs="Times New Roman"/>
          <w:sz w:val="26"/>
          <w:szCs w:val="26"/>
        </w:rPr>
        <w:t xml:space="preserve"> biztosított kiadásokon belül a </w:t>
      </w:r>
      <w:r w:rsidRPr="00E5741E">
        <w:rPr>
          <w:rFonts w:ascii="Times New Roman" w:eastAsia="Times New Roman" w:hAnsi="Times New Roman" w:cs="Times New Roman"/>
          <w:sz w:val="26"/>
          <w:szCs w:val="26"/>
        </w:rPr>
        <w:t>járási szociális feladatok ellátására</w:t>
      </w:r>
      <w:r w:rsidRPr="5E04AD7D">
        <w:rPr>
          <w:rFonts w:ascii="Times New Roman" w:eastAsia="Times New Roman" w:hAnsi="Times New Roman" w:cs="Times New Roman"/>
          <w:sz w:val="26"/>
          <w:szCs w:val="26"/>
        </w:rPr>
        <w:t xml:space="preserve"> (gyermekek otthongondozási díja, ápolási díj, időskorúak járadéka, foglalkoztatást helyettesítő támogatás, egészségkárosodási és gyermekfelügyeleti támogatás) 42,0 milliárd forintot </w:t>
      </w:r>
      <w:r w:rsidRPr="5E04AD7D">
        <w:rPr>
          <w:rFonts w:ascii="Times New Roman" w:eastAsia="Times New Roman" w:hAnsi="Times New Roman" w:cs="Times New Roman"/>
          <w:sz w:val="26"/>
          <w:szCs w:val="26"/>
        </w:rPr>
        <w:lastRenderedPageBreak/>
        <w:t>fordítottak, mely 10,6 milliárd forinttal magasabb az előző évi adatnál. A növekedést az</w:t>
      </w:r>
      <w:r w:rsidR="0002125B">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 xml:space="preserve">okozza, hogy 2026. januártól a gyermekek otthongondozási díj összege a minimálbér emelkedése miatt (290 800 forintról 322 800 forintra) emelkedett, az ápolási díj összege pedig 3,6%-kal nőtt. </w:t>
      </w:r>
    </w:p>
    <w:p w14:paraId="469DDFF9" w14:textId="64722887" w:rsidR="136379A9" w:rsidRDefault="28F9800E" w:rsidP="136379A9">
      <w:pPr>
        <w:jc w:val="both"/>
      </w:pPr>
      <w:r w:rsidRPr="28F9800E">
        <w:rPr>
          <w:rFonts w:ascii="Times New Roman" w:eastAsia="Times New Roman" w:hAnsi="Times New Roman" w:cs="Times New Roman"/>
          <w:sz w:val="26"/>
          <w:szCs w:val="26"/>
        </w:rPr>
        <w:t xml:space="preserve">A </w:t>
      </w:r>
      <w:r w:rsidRPr="28F9800E">
        <w:rPr>
          <w:rFonts w:ascii="Times New Roman" w:eastAsia="Times New Roman" w:hAnsi="Times New Roman" w:cs="Times New Roman"/>
          <w:b/>
          <w:bCs/>
          <w:sz w:val="26"/>
          <w:szCs w:val="26"/>
        </w:rPr>
        <w:t>Jövedelempótló és jövedelemkiegészítő ellátások</w:t>
      </w:r>
      <w:r w:rsidRPr="28F9800E">
        <w:rPr>
          <w:rFonts w:ascii="Times New Roman" w:eastAsia="Times New Roman" w:hAnsi="Times New Roman" w:cs="Times New Roman"/>
          <w:sz w:val="26"/>
          <w:szCs w:val="26"/>
        </w:rPr>
        <w:t xml:space="preserve"> előirányzat tartalmazza a</w:t>
      </w:r>
      <w:r w:rsidR="0002125B">
        <w:rPr>
          <w:rFonts w:ascii="Times New Roman" w:eastAsia="Times New Roman" w:hAnsi="Times New Roman" w:cs="Times New Roman"/>
          <w:sz w:val="26"/>
          <w:szCs w:val="26"/>
        </w:rPr>
        <w:t> </w:t>
      </w:r>
      <w:r w:rsidRPr="28F9800E">
        <w:rPr>
          <w:rFonts w:ascii="Times New Roman" w:eastAsia="Times New Roman" w:hAnsi="Times New Roman" w:cs="Times New Roman"/>
          <w:sz w:val="26"/>
          <w:szCs w:val="26"/>
        </w:rPr>
        <w:t>fogyatékossági támogatás, a vakok személyi járadéka, az átmeneti bányászjáradék és számos további, jellemzően kifutó jellegű ellátás (pl. mezőgazdasági járadék, politikai rehabilitációs és más nyugdíj-kiegészítések, házastársi pótlék) forrását. A jövedelempótló és jövedelemkiegészítő ellátásokra 25,0</w:t>
      </w:r>
      <w:r w:rsidR="00B97040">
        <w:rPr>
          <w:rFonts w:ascii="Times New Roman" w:eastAsia="Times New Roman" w:hAnsi="Times New Roman" w:cs="Times New Roman"/>
          <w:sz w:val="26"/>
          <w:szCs w:val="26"/>
        </w:rPr>
        <w:t> </w:t>
      </w:r>
      <w:r w:rsidRPr="28F9800E">
        <w:rPr>
          <w:rFonts w:ascii="Times New Roman" w:eastAsia="Times New Roman" w:hAnsi="Times New Roman" w:cs="Times New Roman"/>
          <w:sz w:val="26"/>
          <w:szCs w:val="26"/>
        </w:rPr>
        <w:t>milliárd forintot fizettek ki, mely az előző évi kifizetésnél 2,1</w:t>
      </w:r>
      <w:r w:rsidR="00B97040">
        <w:rPr>
          <w:rFonts w:ascii="Times New Roman" w:eastAsia="Times New Roman" w:hAnsi="Times New Roman" w:cs="Times New Roman"/>
          <w:sz w:val="26"/>
          <w:szCs w:val="26"/>
        </w:rPr>
        <w:t> </w:t>
      </w:r>
      <w:r w:rsidRPr="28F9800E">
        <w:rPr>
          <w:rFonts w:ascii="Times New Roman" w:eastAsia="Times New Roman" w:hAnsi="Times New Roman" w:cs="Times New Roman"/>
          <w:sz w:val="26"/>
          <w:szCs w:val="26"/>
        </w:rPr>
        <w:t>milliárd forinttal magasabb. A kiadások növekedését egyes ellátások januárban végrehajtott 3,6%-os emelésének, valamint a 2026. februárjában kifizetett 13.</w:t>
      </w:r>
      <w:r w:rsidR="0002125B">
        <w:rPr>
          <w:rFonts w:ascii="Times New Roman" w:eastAsia="Times New Roman" w:hAnsi="Times New Roman" w:cs="Times New Roman"/>
          <w:sz w:val="26"/>
          <w:szCs w:val="26"/>
        </w:rPr>
        <w:t> </w:t>
      </w:r>
      <w:r w:rsidRPr="28F9800E">
        <w:rPr>
          <w:rFonts w:ascii="Times New Roman" w:eastAsia="Times New Roman" w:hAnsi="Times New Roman" w:cs="Times New Roman"/>
          <w:sz w:val="26"/>
          <w:szCs w:val="26"/>
        </w:rPr>
        <w:t xml:space="preserve">havi ellátásnak és 14. havi ellátás 25%-ának hatása okozza. </w:t>
      </w:r>
    </w:p>
    <w:p w14:paraId="381C1DA0" w14:textId="6C162523" w:rsidR="136379A9" w:rsidRDefault="5E04AD7D" w:rsidP="136379A9">
      <w:pPr>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különféle jogcímen adott térítések</w:t>
      </w:r>
      <w:r w:rsidRPr="5E04AD7D">
        <w:rPr>
          <w:rFonts w:ascii="Times New Roman" w:eastAsia="Times New Roman" w:hAnsi="Times New Roman" w:cs="Times New Roman"/>
          <w:sz w:val="26"/>
          <w:szCs w:val="26"/>
        </w:rPr>
        <w:t xml:space="preserve"> 2026</w:t>
      </w:r>
      <w:r w:rsidR="002B6AEE">
        <w:rPr>
          <w:rFonts w:ascii="Times New Roman" w:eastAsia="Times New Roman" w:hAnsi="Times New Roman" w:cs="Times New Roman"/>
          <w:sz w:val="26"/>
          <w:szCs w:val="26"/>
        </w:rPr>
        <w:t>.</w:t>
      </w:r>
      <w:r w:rsidRPr="5E04AD7D">
        <w:rPr>
          <w:rFonts w:ascii="Times New Roman" w:eastAsia="Times New Roman" w:hAnsi="Times New Roman" w:cs="Times New Roman"/>
          <w:sz w:val="26"/>
          <w:szCs w:val="26"/>
        </w:rPr>
        <w:t xml:space="preserve"> március végéig kifizetett összege az előző év azonos időszakával megegyező. A térítéseken belül a legnagyobb összeget, 4,0 milliárd forintot a közgyógyellátásra fizették ki.</w:t>
      </w:r>
    </w:p>
    <w:p w14:paraId="2BBDBEB3" w14:textId="7517FA61" w:rsidR="0032261D" w:rsidRPr="005C3ECD" w:rsidRDefault="28F9800E" w:rsidP="28F9800E">
      <w:pPr>
        <w:pStyle w:val="NormlWeb"/>
        <w:spacing w:before="0" w:beforeAutospacing="0" w:after="160" w:afterAutospacing="0" w:line="259" w:lineRule="auto"/>
        <w:jc w:val="both"/>
        <w:rPr>
          <w:sz w:val="26"/>
          <w:szCs w:val="26"/>
        </w:rPr>
      </w:pPr>
      <w:r w:rsidRPr="28F9800E">
        <w:rPr>
          <w:sz w:val="26"/>
          <w:szCs w:val="26"/>
        </w:rPr>
        <w:t xml:space="preserve">A </w:t>
      </w:r>
      <w:r w:rsidRPr="28F9800E">
        <w:rPr>
          <w:b/>
          <w:bCs/>
          <w:sz w:val="26"/>
          <w:szCs w:val="26"/>
        </w:rPr>
        <w:t>babaváró támogatásokra</w:t>
      </w:r>
      <w:r w:rsidRPr="28F9800E">
        <w:rPr>
          <w:sz w:val="26"/>
          <w:szCs w:val="26"/>
        </w:rPr>
        <w:t xml:space="preserve"> fordított kiadások összege 2026.</w:t>
      </w:r>
      <w:r w:rsidR="002B6AEE">
        <w:rPr>
          <w:sz w:val="26"/>
          <w:szCs w:val="26"/>
        </w:rPr>
        <w:t> </w:t>
      </w:r>
      <w:r w:rsidRPr="28F9800E">
        <w:rPr>
          <w:sz w:val="26"/>
          <w:szCs w:val="26"/>
        </w:rPr>
        <w:t>március végéig 69,3 milliárd forintot tett ki, amely a törvényi előirányzat 25,1%-ának felel meg, és a 2025. év azonos időszakához viszonyítva 14,6 milliárd forinttal teljesült magasabban.</w:t>
      </w:r>
    </w:p>
    <w:p w14:paraId="7052350E" w14:textId="1FD37B37" w:rsidR="003E05FC" w:rsidRDefault="28F9800E" w:rsidP="28F9800E">
      <w:pPr>
        <w:pStyle w:val="NormlWeb"/>
        <w:spacing w:before="0" w:beforeAutospacing="0" w:after="160" w:afterAutospacing="0" w:line="259" w:lineRule="auto"/>
        <w:jc w:val="both"/>
        <w:rPr>
          <w:sz w:val="26"/>
          <w:szCs w:val="26"/>
        </w:rPr>
      </w:pPr>
      <w:bookmarkStart w:id="4" w:name="_Hlk202786542"/>
      <w:r w:rsidRPr="28F9800E">
        <w:rPr>
          <w:sz w:val="26"/>
          <w:szCs w:val="26"/>
        </w:rPr>
        <w:t xml:space="preserve">A </w:t>
      </w:r>
      <w:r w:rsidRPr="28F9800E">
        <w:rPr>
          <w:b/>
          <w:bCs/>
          <w:sz w:val="26"/>
          <w:szCs w:val="26"/>
        </w:rPr>
        <w:t>helyi önkormányzatok</w:t>
      </w:r>
      <w:r w:rsidRPr="28F9800E">
        <w:rPr>
          <w:sz w:val="26"/>
          <w:szCs w:val="26"/>
        </w:rPr>
        <w:t xml:space="preserve"> 2026. évi feladataihoz a hatályos költségvetési törvény alapján 1419,4 milliárd forint állami támogatás került megállapításra. A március havi tényadat alapján összesen 444,9 milliárd forint kifizetés történt, ami az eredeti előirányzat 31,3%-át teszi ki. Az előző év azonos időszakához viszonyított 77,4 milliárd forint (21,1%-os) növekedés közel 60%-a a hivatali dolgozók és tanárok béremeléséből, valamint a</w:t>
      </w:r>
      <w:r w:rsidR="0002125B">
        <w:rPr>
          <w:sz w:val="26"/>
          <w:szCs w:val="26"/>
        </w:rPr>
        <w:t> </w:t>
      </w:r>
      <w:r w:rsidRPr="28F9800E">
        <w:rPr>
          <w:sz w:val="26"/>
          <w:szCs w:val="26"/>
        </w:rPr>
        <w:t>minimálbér, garantált bérminimum emeléséből fakad, a többi az év közben létrejött egyedi önkormányzati támogatások többletéből adódik. A jelentősebb tételek alakulását a következő táblázat mutatja:</w:t>
      </w:r>
    </w:p>
    <w:p w14:paraId="2723D8B3" w14:textId="34B7D713" w:rsidR="00C24948" w:rsidRPr="00B32682" w:rsidRDefault="5E04AD7D" w:rsidP="5E04AD7D">
      <w:pPr>
        <w:pStyle w:val="NormlWeb"/>
        <w:spacing w:before="0" w:beforeAutospacing="0" w:after="160" w:afterAutospacing="0" w:line="259" w:lineRule="auto"/>
        <w:jc w:val="center"/>
      </w:pPr>
      <w:r w:rsidRPr="5E04AD7D">
        <w:rPr>
          <w:b/>
          <w:bCs/>
        </w:rPr>
        <w:t>A helyi önkormányzatok támogatásának alakulása (milliárd forint)</w:t>
      </w:r>
    </w:p>
    <w:tbl>
      <w:tblPr>
        <w:tblpPr w:leftFromText="141" w:rightFromText="141" w:vertAnchor="text" w:horzAnchor="margin" w:tblpY="20"/>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1134"/>
        <w:gridCol w:w="1134"/>
        <w:gridCol w:w="850"/>
        <w:gridCol w:w="771"/>
      </w:tblGrid>
      <w:tr w:rsidR="00081A16" w:rsidRPr="00377D59" w14:paraId="6741B982" w14:textId="77777777" w:rsidTr="28F9800E">
        <w:trPr>
          <w:trHeight w:val="340"/>
        </w:trPr>
        <w:tc>
          <w:tcPr>
            <w:tcW w:w="5382" w:type="dxa"/>
            <w:vMerge w:val="restart"/>
            <w:shd w:val="clear" w:color="auto" w:fill="BDD6EE" w:themeFill="accent1" w:themeFillTint="66"/>
            <w:noWrap/>
            <w:vAlign w:val="center"/>
            <w:hideMark/>
          </w:tcPr>
          <w:p w14:paraId="07514BAA" w14:textId="77777777" w:rsidR="00081A16" w:rsidRPr="00EB7ACF"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Megnevezés</w:t>
            </w:r>
          </w:p>
        </w:tc>
        <w:tc>
          <w:tcPr>
            <w:tcW w:w="1134" w:type="dxa"/>
            <w:vMerge w:val="restart"/>
            <w:shd w:val="clear" w:color="auto" w:fill="BDD6EE" w:themeFill="accent1" w:themeFillTint="66"/>
            <w:vAlign w:val="center"/>
            <w:hideMark/>
          </w:tcPr>
          <w:p w14:paraId="5DC080D6" w14:textId="0AFE4B00" w:rsidR="00081A16" w:rsidRPr="00EB7ACF" w:rsidRDefault="5E04AD7D" w:rsidP="5E04AD7D">
            <w:pPr>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 xml:space="preserve">2025. </w:t>
            </w:r>
            <w:r w:rsidR="1FABBDF6">
              <w:br/>
            </w:r>
            <w:r w:rsidRPr="5E04AD7D">
              <w:rPr>
                <w:rFonts w:ascii="Times New Roman" w:hAnsi="Times New Roman" w:cs="Times New Roman"/>
                <w:b/>
                <w:bCs/>
              </w:rPr>
              <w:t>I-III. hó</w:t>
            </w:r>
          </w:p>
        </w:tc>
        <w:tc>
          <w:tcPr>
            <w:tcW w:w="1134" w:type="dxa"/>
            <w:vMerge w:val="restart"/>
            <w:shd w:val="clear" w:color="auto" w:fill="BDD6EE" w:themeFill="accent1" w:themeFillTint="66"/>
            <w:vAlign w:val="center"/>
            <w:hideMark/>
          </w:tcPr>
          <w:p w14:paraId="626AC8BC" w14:textId="588FEBBB" w:rsidR="00081A16" w:rsidRPr="00EB7ACF" w:rsidRDefault="5E04AD7D" w:rsidP="5E04AD7D">
            <w:pPr>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 xml:space="preserve">2026. </w:t>
            </w:r>
            <w:r w:rsidR="1FABBDF6">
              <w:br/>
            </w:r>
            <w:r w:rsidRPr="5E04AD7D">
              <w:rPr>
                <w:rFonts w:ascii="Times New Roman" w:eastAsia="Times New Roman" w:hAnsi="Times New Roman" w:cs="Times New Roman"/>
                <w:b/>
                <w:bCs/>
                <w:lang w:eastAsia="hu-HU"/>
              </w:rPr>
              <w:t>I-III. hó</w:t>
            </w:r>
          </w:p>
        </w:tc>
        <w:tc>
          <w:tcPr>
            <w:tcW w:w="1621" w:type="dxa"/>
            <w:gridSpan w:val="2"/>
            <w:shd w:val="clear" w:color="auto" w:fill="BDD6EE" w:themeFill="accent1" w:themeFillTint="66"/>
            <w:noWrap/>
            <w:vAlign w:val="center"/>
            <w:hideMark/>
          </w:tcPr>
          <w:p w14:paraId="35A3C823" w14:textId="77777777" w:rsidR="00081A16" w:rsidRPr="00EB7ACF"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Eltérés</w:t>
            </w:r>
          </w:p>
        </w:tc>
      </w:tr>
      <w:tr w:rsidR="00C24948" w:rsidRPr="00377D59" w14:paraId="2DD9A798" w14:textId="77777777" w:rsidTr="28F9800E">
        <w:trPr>
          <w:trHeight w:val="340"/>
        </w:trPr>
        <w:tc>
          <w:tcPr>
            <w:tcW w:w="5382" w:type="dxa"/>
            <w:vMerge/>
            <w:shd w:val="clear" w:color="auto" w:fill="BDD6EE" w:themeFill="accent1" w:themeFillTint="66"/>
            <w:vAlign w:val="center"/>
            <w:hideMark/>
          </w:tcPr>
          <w:p w14:paraId="5F76A56A" w14:textId="77777777" w:rsidR="00C24948" w:rsidRPr="00EB7ACF" w:rsidRDefault="00C24948" w:rsidP="00C24948">
            <w:pPr>
              <w:keepNext/>
              <w:keepLines/>
              <w:spacing w:after="0" w:line="240" w:lineRule="auto"/>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65B4B0A4"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5FE97B50"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850" w:type="dxa"/>
            <w:tcBorders>
              <w:bottom w:val="single" w:sz="4" w:space="0" w:color="auto"/>
            </w:tcBorders>
            <w:shd w:val="clear" w:color="auto" w:fill="BDD6EE" w:themeFill="accent1" w:themeFillTint="66"/>
            <w:noWrap/>
            <w:vAlign w:val="center"/>
            <w:hideMark/>
          </w:tcPr>
          <w:p w14:paraId="1B2C8FF2" w14:textId="77777777" w:rsidR="00C24948" w:rsidRPr="00EB7ACF"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Mrd Ft</w:t>
            </w:r>
          </w:p>
        </w:tc>
        <w:tc>
          <w:tcPr>
            <w:tcW w:w="771" w:type="dxa"/>
            <w:tcBorders>
              <w:bottom w:val="single" w:sz="4" w:space="0" w:color="auto"/>
            </w:tcBorders>
            <w:shd w:val="clear" w:color="auto" w:fill="BDD6EE" w:themeFill="accent1" w:themeFillTint="66"/>
            <w:noWrap/>
            <w:vAlign w:val="center"/>
            <w:hideMark/>
          </w:tcPr>
          <w:p w14:paraId="179AEF43" w14:textId="77777777" w:rsidR="00C24948" w:rsidRPr="00EB7ACF" w:rsidRDefault="5E04AD7D" w:rsidP="5E04AD7D">
            <w:pPr>
              <w:keepNext/>
              <w:keepLines/>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w:t>
            </w:r>
          </w:p>
        </w:tc>
      </w:tr>
      <w:tr w:rsidR="00856A91" w:rsidRPr="00377D59" w14:paraId="5CF52B9C" w14:textId="77777777" w:rsidTr="00B97040">
        <w:trPr>
          <w:trHeight w:val="510"/>
        </w:trPr>
        <w:tc>
          <w:tcPr>
            <w:tcW w:w="5382" w:type="dxa"/>
            <w:vAlign w:val="center"/>
            <w:hideMark/>
          </w:tcPr>
          <w:p w14:paraId="11FF4C49" w14:textId="77777777" w:rsidR="00856A91" w:rsidRPr="00EB7ACF" w:rsidRDefault="5E04AD7D" w:rsidP="5E04AD7D">
            <w:pPr>
              <w:keepNext/>
              <w:keepLines/>
              <w:spacing w:after="0" w:line="240" w:lineRule="auto"/>
              <w:rPr>
                <w:rFonts w:ascii="Times New Roman" w:eastAsia="Times New Roman" w:hAnsi="Times New Roman" w:cs="Times New Roman"/>
                <w:b/>
                <w:bCs/>
                <w:sz w:val="20"/>
                <w:szCs w:val="20"/>
                <w:lang w:eastAsia="hu-HU"/>
              </w:rPr>
            </w:pPr>
            <w:r w:rsidRPr="5E04AD7D">
              <w:rPr>
                <w:rFonts w:ascii="Times New Roman" w:eastAsia="Times New Roman" w:hAnsi="Times New Roman" w:cs="Times New Roman"/>
                <w:b/>
                <w:bCs/>
                <w:sz w:val="20"/>
                <w:szCs w:val="20"/>
                <w:lang w:eastAsia="hu-HU"/>
              </w:rPr>
              <w:t>A helyi önkormányzatok általános működésének és ágazati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1E4CBD" w14:textId="15E4A254"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333,5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29553" w14:textId="0D5B8433"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378,1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76081" w14:textId="01BDFDCC"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44,6</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DF60E" w14:textId="483F627F"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113,4</w:t>
            </w:r>
          </w:p>
        </w:tc>
      </w:tr>
      <w:tr w:rsidR="00856A91" w:rsidRPr="00377D59" w14:paraId="66D88640" w14:textId="77777777" w:rsidTr="00B97040">
        <w:trPr>
          <w:trHeight w:val="340"/>
        </w:trPr>
        <w:tc>
          <w:tcPr>
            <w:tcW w:w="5382" w:type="dxa"/>
            <w:vAlign w:val="center"/>
            <w:hideMark/>
          </w:tcPr>
          <w:p w14:paraId="4496E62C" w14:textId="77777777" w:rsidR="00856A91" w:rsidRPr="00EB7ACF" w:rsidRDefault="5E04AD7D" w:rsidP="5E04AD7D">
            <w:pPr>
              <w:keepNext/>
              <w:keepLines/>
              <w:spacing w:after="0" w:line="240" w:lineRule="auto"/>
              <w:rPr>
                <w:rFonts w:ascii="Times New Roman" w:eastAsia="Times New Roman" w:hAnsi="Times New Roman" w:cs="Times New Roman"/>
                <w:i/>
                <w:iCs/>
                <w:sz w:val="20"/>
                <w:szCs w:val="20"/>
                <w:lang w:eastAsia="hu-HU"/>
              </w:rPr>
            </w:pPr>
            <w:r w:rsidRPr="5E04AD7D">
              <w:rPr>
                <w:rFonts w:ascii="Times New Roman" w:eastAsia="Times New Roman" w:hAnsi="Times New Roman" w:cs="Times New Roman"/>
                <w:i/>
                <w:iCs/>
                <w:sz w:val="20"/>
                <w:szCs w:val="20"/>
                <w:lang w:eastAsia="hu-HU"/>
              </w:rPr>
              <w:t>A helyi önkormányzatok működésének általános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091267" w14:textId="56DA5A01"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86,9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3F341" w14:textId="6B8A65B6"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103,2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7C594" w14:textId="68A3EA31"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16,3</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384BF" w14:textId="3612EB46"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118,8</w:t>
            </w:r>
          </w:p>
        </w:tc>
      </w:tr>
      <w:tr w:rsidR="00856A91" w:rsidRPr="00377D59" w14:paraId="644FC967" w14:textId="77777777" w:rsidTr="00B97040">
        <w:trPr>
          <w:trHeight w:val="510"/>
        </w:trPr>
        <w:tc>
          <w:tcPr>
            <w:tcW w:w="5382" w:type="dxa"/>
            <w:vAlign w:val="center"/>
            <w:hideMark/>
          </w:tcPr>
          <w:p w14:paraId="1BA330A0" w14:textId="77777777" w:rsidR="00856A91" w:rsidRPr="00EB7ACF" w:rsidRDefault="5E04AD7D" w:rsidP="5E04AD7D">
            <w:pPr>
              <w:keepNext/>
              <w:keepLines/>
              <w:spacing w:after="0" w:line="240" w:lineRule="auto"/>
              <w:rPr>
                <w:rFonts w:ascii="Times New Roman" w:eastAsia="Times New Roman" w:hAnsi="Times New Roman" w:cs="Times New Roman"/>
                <w:i/>
                <w:iCs/>
                <w:sz w:val="20"/>
                <w:szCs w:val="20"/>
                <w:lang w:eastAsia="hu-HU"/>
              </w:rPr>
            </w:pPr>
            <w:r w:rsidRPr="5E04AD7D">
              <w:rPr>
                <w:rFonts w:ascii="Times New Roman" w:eastAsia="Times New Roman" w:hAnsi="Times New Roman" w:cs="Times New Roman"/>
                <w:i/>
                <w:iCs/>
                <w:sz w:val="20"/>
                <w:szCs w:val="20"/>
                <w:lang w:eastAsia="hu-HU"/>
              </w:rPr>
              <w:t>A települési önkormányzatok egyes köznevelési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8D28C3" w14:textId="4019C71C"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112</w:t>
            </w:r>
            <w:r w:rsidR="00B97040" w:rsidRPr="00B97040">
              <w:rPr>
                <w:rFonts w:ascii="Times New Roman" w:hAnsi="Times New Roman" w:cs="Times New Roman"/>
                <w:i/>
                <w:i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1BB58" w14:textId="3E45292E"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122,5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D1E80" w14:textId="67738828"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10,5</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7CDD1" w14:textId="3AD945E8"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109,4</w:t>
            </w:r>
          </w:p>
        </w:tc>
      </w:tr>
      <w:tr w:rsidR="00856A91" w:rsidRPr="00377D59" w14:paraId="11F06AEB" w14:textId="77777777" w:rsidTr="00B97040">
        <w:trPr>
          <w:trHeight w:val="510"/>
        </w:trPr>
        <w:tc>
          <w:tcPr>
            <w:tcW w:w="5382" w:type="dxa"/>
            <w:vAlign w:val="center"/>
            <w:hideMark/>
          </w:tcPr>
          <w:p w14:paraId="63EE65A2" w14:textId="77777777" w:rsidR="00856A91" w:rsidRPr="00EB7ACF" w:rsidRDefault="5E04AD7D" w:rsidP="5E04AD7D">
            <w:pPr>
              <w:keepNext/>
              <w:keepLines/>
              <w:spacing w:after="0" w:line="240" w:lineRule="auto"/>
              <w:rPr>
                <w:rFonts w:ascii="Times New Roman" w:eastAsia="Times New Roman" w:hAnsi="Times New Roman" w:cs="Times New Roman"/>
                <w:i/>
                <w:iCs/>
                <w:sz w:val="20"/>
                <w:szCs w:val="20"/>
                <w:lang w:eastAsia="hu-HU"/>
              </w:rPr>
            </w:pPr>
            <w:r w:rsidRPr="5E04AD7D">
              <w:rPr>
                <w:rFonts w:ascii="Times New Roman" w:eastAsia="Times New Roman" w:hAnsi="Times New Roman" w:cs="Times New Roman"/>
                <w:i/>
                <w:iCs/>
                <w:sz w:val="20"/>
                <w:szCs w:val="20"/>
                <w:lang w:eastAsia="hu-HU"/>
              </w:rPr>
              <w:t>A települési önkormányzatok egyes szociális, gyermekjóléti és gyermekétkeztetési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BDE34C" w14:textId="2500C26F"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128,3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5C695" w14:textId="2E9F0AF8"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146,1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01228" w14:textId="60150147"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17,8</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53BB5" w14:textId="208D497E"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113,9</w:t>
            </w:r>
          </w:p>
        </w:tc>
      </w:tr>
      <w:tr w:rsidR="00856A91" w:rsidRPr="00377D59" w14:paraId="1FC403F4" w14:textId="77777777" w:rsidTr="00B97040">
        <w:trPr>
          <w:trHeight w:val="340"/>
        </w:trPr>
        <w:tc>
          <w:tcPr>
            <w:tcW w:w="5382" w:type="dxa"/>
            <w:vAlign w:val="center"/>
            <w:hideMark/>
          </w:tcPr>
          <w:p w14:paraId="4F427CE2" w14:textId="77777777" w:rsidR="00856A91" w:rsidRPr="00EB7ACF" w:rsidRDefault="5E04AD7D" w:rsidP="5E04AD7D">
            <w:pPr>
              <w:keepNext/>
              <w:keepLines/>
              <w:spacing w:after="0" w:line="240" w:lineRule="auto"/>
              <w:rPr>
                <w:rFonts w:ascii="Times New Roman" w:eastAsia="Times New Roman" w:hAnsi="Times New Roman" w:cs="Times New Roman"/>
                <w:i/>
                <w:iCs/>
                <w:sz w:val="20"/>
                <w:szCs w:val="20"/>
                <w:lang w:eastAsia="hu-HU"/>
              </w:rPr>
            </w:pPr>
            <w:r w:rsidRPr="5E04AD7D">
              <w:rPr>
                <w:rFonts w:ascii="Times New Roman" w:eastAsia="Times New Roman" w:hAnsi="Times New Roman" w:cs="Times New Roman"/>
                <w:i/>
                <w:iCs/>
                <w:sz w:val="20"/>
                <w:szCs w:val="20"/>
                <w:lang w:eastAsia="hu-HU"/>
              </w:rPr>
              <w:t>A települési önkormányzatok kulturális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BDB6D4" w14:textId="7B3E9262"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BBCDB" w14:textId="73896C4E"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8EF3A" w14:textId="5B73EC1E"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0,0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E83D2" w14:textId="7F443499" w:rsidR="00856A91" w:rsidRPr="00B97040" w:rsidRDefault="28F9800E" w:rsidP="28F9800E">
            <w:pPr>
              <w:keepNext/>
              <w:keepLines/>
              <w:spacing w:after="0" w:line="240" w:lineRule="auto"/>
              <w:jc w:val="right"/>
              <w:rPr>
                <w:rFonts w:ascii="Times New Roman" w:eastAsia="Times New Roman" w:hAnsi="Times New Roman" w:cs="Times New Roman"/>
                <w:i/>
                <w:iCs/>
                <w:sz w:val="20"/>
                <w:szCs w:val="20"/>
                <w:lang w:eastAsia="hu-HU"/>
              </w:rPr>
            </w:pPr>
            <w:r w:rsidRPr="00B97040">
              <w:rPr>
                <w:rFonts w:ascii="Times New Roman" w:hAnsi="Times New Roman" w:cs="Times New Roman"/>
                <w:i/>
                <w:iCs/>
                <w:sz w:val="20"/>
                <w:szCs w:val="20"/>
              </w:rPr>
              <w:t>100,0</w:t>
            </w:r>
          </w:p>
        </w:tc>
      </w:tr>
      <w:tr w:rsidR="00856A91" w:rsidRPr="00377D59" w14:paraId="44EF96BF" w14:textId="77777777" w:rsidTr="00B97040">
        <w:trPr>
          <w:trHeight w:val="340"/>
        </w:trPr>
        <w:tc>
          <w:tcPr>
            <w:tcW w:w="5382" w:type="dxa"/>
            <w:vAlign w:val="center"/>
            <w:hideMark/>
          </w:tcPr>
          <w:p w14:paraId="3DD87A70" w14:textId="766307B5" w:rsidR="00856A91" w:rsidRPr="00EB7ACF" w:rsidRDefault="5E04AD7D" w:rsidP="5E04AD7D">
            <w:pPr>
              <w:keepNext/>
              <w:keepLines/>
              <w:spacing w:after="0" w:line="240" w:lineRule="auto"/>
              <w:rPr>
                <w:rFonts w:ascii="Times New Roman" w:eastAsia="Times New Roman" w:hAnsi="Times New Roman" w:cs="Times New Roman"/>
                <w:b/>
                <w:bCs/>
                <w:sz w:val="20"/>
                <w:szCs w:val="20"/>
                <w:lang w:eastAsia="hu-HU"/>
              </w:rPr>
            </w:pPr>
            <w:r w:rsidRPr="5E04AD7D">
              <w:rPr>
                <w:rFonts w:ascii="Times New Roman" w:eastAsia="Times New Roman" w:hAnsi="Times New Roman" w:cs="Times New Roman"/>
                <w:b/>
                <w:bCs/>
                <w:sz w:val="20"/>
                <w:szCs w:val="20"/>
                <w:lang w:eastAsia="hu-HU"/>
              </w:rPr>
              <w:t>Helyi önkormányzatok kiegészítő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DDE983" w14:textId="5F739C79"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423BA" w14:textId="3F2FC851"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B67F0" w14:textId="41B18CB9"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2,8</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6C6E" w14:textId="1BA02E30"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108,4</w:t>
            </w:r>
          </w:p>
        </w:tc>
      </w:tr>
      <w:tr w:rsidR="00856A91" w:rsidRPr="00377D59" w14:paraId="648C3F54" w14:textId="77777777" w:rsidTr="00B97040">
        <w:trPr>
          <w:trHeight w:val="340"/>
        </w:trPr>
        <w:tc>
          <w:tcPr>
            <w:tcW w:w="5382" w:type="dxa"/>
            <w:vAlign w:val="center"/>
            <w:hideMark/>
          </w:tcPr>
          <w:p w14:paraId="3676EE9C" w14:textId="4925EF27" w:rsidR="00856A91" w:rsidRPr="00EB7ACF" w:rsidRDefault="5E04AD7D" w:rsidP="5E04AD7D">
            <w:pPr>
              <w:keepNext/>
              <w:keepLines/>
              <w:spacing w:after="0" w:line="240" w:lineRule="auto"/>
              <w:rPr>
                <w:rFonts w:ascii="Times New Roman" w:eastAsia="Times New Roman" w:hAnsi="Times New Roman" w:cs="Times New Roman"/>
                <w:b/>
                <w:bCs/>
                <w:sz w:val="20"/>
                <w:szCs w:val="20"/>
                <w:lang w:eastAsia="hu-HU"/>
              </w:rPr>
            </w:pPr>
            <w:r w:rsidRPr="5E04AD7D">
              <w:rPr>
                <w:rFonts w:ascii="Times New Roman" w:eastAsia="Times New Roman" w:hAnsi="Times New Roman" w:cs="Times New Roman"/>
                <w:b/>
                <w:bCs/>
                <w:sz w:val="20"/>
                <w:szCs w:val="20"/>
                <w:lang w:eastAsia="hu-HU"/>
              </w:rPr>
              <w:t>Év közben létrejött új jogcímek kiadásai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ACAC9E" w14:textId="2D93AB4C"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6E9FC" w14:textId="6CF712CB"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B586A" w14:textId="505F7A2E"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30,0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BBBB0" w14:textId="7C6E2FB2"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4385,7</w:t>
            </w:r>
          </w:p>
        </w:tc>
      </w:tr>
      <w:tr w:rsidR="00856A91" w:rsidRPr="00377D59" w14:paraId="60064293" w14:textId="77777777" w:rsidTr="00B97040">
        <w:trPr>
          <w:trHeight w:val="340"/>
        </w:trPr>
        <w:tc>
          <w:tcPr>
            <w:tcW w:w="5382" w:type="dxa"/>
            <w:noWrap/>
            <w:vAlign w:val="center"/>
            <w:hideMark/>
          </w:tcPr>
          <w:p w14:paraId="73666509" w14:textId="770E1DDA" w:rsidR="00856A91" w:rsidRPr="00EB7ACF" w:rsidRDefault="5E04AD7D" w:rsidP="5E04AD7D">
            <w:pPr>
              <w:widowControl w:val="0"/>
              <w:spacing w:after="0" w:line="240" w:lineRule="auto"/>
              <w:rPr>
                <w:rFonts w:ascii="Times New Roman" w:eastAsia="Times New Roman" w:hAnsi="Times New Roman" w:cs="Times New Roman"/>
                <w:b/>
                <w:bCs/>
                <w:sz w:val="20"/>
                <w:szCs w:val="20"/>
                <w:lang w:eastAsia="hu-HU"/>
              </w:rPr>
            </w:pPr>
            <w:r w:rsidRPr="5E04AD7D">
              <w:rPr>
                <w:rFonts w:ascii="Times New Roman" w:eastAsia="Times New Roman" w:hAnsi="Times New Roman" w:cs="Times New Roman"/>
                <w:b/>
                <w:bCs/>
                <w:sz w:val="20"/>
                <w:szCs w:val="20"/>
                <w:lang w:eastAsia="hu-HU"/>
              </w:rPr>
              <w:t>Összesen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3EFD36" w14:textId="762D9239"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367,5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4CCAC" w14:textId="7FE2AE0B"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444,9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A3FA" w14:textId="2F5C1ACB"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77,4</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B57DC" w14:textId="789EFE0D" w:rsidR="00856A91" w:rsidRPr="00B97040" w:rsidRDefault="28F9800E" w:rsidP="28F9800E">
            <w:pPr>
              <w:keepNext/>
              <w:keepLines/>
              <w:spacing w:after="0" w:line="240" w:lineRule="auto"/>
              <w:jc w:val="right"/>
              <w:rPr>
                <w:rFonts w:ascii="Times New Roman" w:eastAsia="Times New Roman" w:hAnsi="Times New Roman" w:cs="Times New Roman"/>
                <w:b/>
                <w:bCs/>
                <w:sz w:val="20"/>
                <w:szCs w:val="20"/>
                <w:lang w:eastAsia="hu-HU"/>
              </w:rPr>
            </w:pPr>
            <w:r w:rsidRPr="00B97040">
              <w:rPr>
                <w:rFonts w:ascii="Times New Roman" w:hAnsi="Times New Roman" w:cs="Times New Roman"/>
                <w:b/>
                <w:bCs/>
                <w:sz w:val="20"/>
                <w:szCs w:val="20"/>
              </w:rPr>
              <w:t>121,1</w:t>
            </w:r>
          </w:p>
        </w:tc>
      </w:tr>
      <w:bookmarkEnd w:id="4"/>
    </w:tbl>
    <w:p w14:paraId="1F795CA4" w14:textId="77777777" w:rsidR="00527154" w:rsidRDefault="0052715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068B27F" w14:textId="770F2E3A" w:rsidR="74B9DF17" w:rsidRPr="00CD1AC2" w:rsidRDefault="5E04AD7D" w:rsidP="5E04AD7D">
      <w:pPr>
        <w:spacing w:before="160"/>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lastRenderedPageBreak/>
        <w:t xml:space="preserve">Az </w:t>
      </w:r>
      <w:r w:rsidRPr="5E04AD7D">
        <w:rPr>
          <w:rFonts w:ascii="Times New Roman" w:eastAsia="Times New Roman" w:hAnsi="Times New Roman" w:cs="Times New Roman"/>
          <w:b/>
          <w:bCs/>
          <w:sz w:val="26"/>
          <w:szCs w:val="26"/>
        </w:rPr>
        <w:t>Uniós programok kiadásai</w:t>
      </w:r>
      <w:r w:rsidRPr="5E04AD7D">
        <w:rPr>
          <w:rFonts w:ascii="Times New Roman" w:eastAsia="Times New Roman" w:hAnsi="Times New Roman" w:cs="Times New Roman"/>
          <w:i/>
          <w:iCs/>
          <w:sz w:val="26"/>
          <w:szCs w:val="26"/>
        </w:rPr>
        <w:t xml:space="preserve"> </w:t>
      </w:r>
      <w:r w:rsidRPr="5E04AD7D">
        <w:rPr>
          <w:rFonts w:ascii="Times New Roman" w:eastAsia="Times New Roman" w:hAnsi="Times New Roman" w:cs="Times New Roman"/>
          <w:sz w:val="26"/>
          <w:szCs w:val="26"/>
        </w:rPr>
        <w:t>mérlegsoron 2026. március végéig 613,7 milliárd forint összegű kifizetés történt, amely a törvényi előirányzat (2761,2 milliárd forint) 22,2%-os teljesítését jelenti. A felmerült kiadások túlnyomó részét a 2021-2027-es Széchenyi Plusz programjai adták.</w:t>
      </w:r>
    </w:p>
    <w:p w14:paraId="6ABC464B" w14:textId="60303D0D" w:rsidR="74B9DF17" w:rsidRDefault="5E04AD7D" w:rsidP="5E04AD7D">
      <w:pPr>
        <w:spacing w:before="240" w:after="120"/>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A legnagyobb összegű kifizetéseket ezen időszakban a Széchenyi Terv Plusz operatív programok közül a Terület- és Településfejlesztési OP (TOP Plusz) és a Gazdaságfejlesztési és Innovációs OP Plusz (GINOP Plusz) teljesítette. Kiemelkedők továbbá a Vidékfejlesztési Program és a KAP Stratégiai Terv Vidékfejlesztési Intézkedéseinek kifizetése.</w:t>
      </w:r>
    </w:p>
    <w:p w14:paraId="0EE0B389" w14:textId="09E783AF" w:rsidR="029C2633" w:rsidRPr="00CD1AC2" w:rsidRDefault="0002125B" w:rsidP="0002125B">
      <w:pPr>
        <w:spacing w:before="240" w:after="120"/>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állami vagyonnal kapcsolatos kiadások</w:t>
      </w:r>
      <w:r w:rsidRPr="5E04AD7D">
        <w:rPr>
          <w:rFonts w:ascii="Times New Roman" w:eastAsia="Times New Roman" w:hAnsi="Times New Roman" w:cs="Times New Roman"/>
          <w:sz w:val="26"/>
          <w:szCs w:val="26"/>
        </w:rPr>
        <w:t xml:space="preserve"> márciusi összege 58,1 milliárd forint volt, amelynek meghatározó része az ingatlanokkal kapcsolatos kiadásokra kerültek kifizetésre</w:t>
      </w:r>
      <w:r>
        <w:rPr>
          <w:rFonts w:ascii="Times New Roman" w:eastAsia="Times New Roman" w:hAnsi="Times New Roman" w:cs="Times New Roman"/>
          <w:sz w:val="26"/>
          <w:szCs w:val="26"/>
        </w:rPr>
        <w:t>.</w:t>
      </w:r>
    </w:p>
    <w:p w14:paraId="030326D3" w14:textId="452C5464" w:rsidR="5B67C7D7" w:rsidRPr="00A37FE5" w:rsidRDefault="00527154" w:rsidP="00505767">
      <w:pPr>
        <w:jc w:val="both"/>
        <w:rPr>
          <w:rFonts w:ascii="Times New Roman" w:eastAsia="Times New Roman" w:hAnsi="Times New Roman" w:cs="Times New Roman"/>
          <w:sz w:val="26"/>
          <w:szCs w:val="26"/>
        </w:rPr>
      </w:pPr>
      <w:r w:rsidRPr="00527154">
        <w:rPr>
          <w:rFonts w:ascii="Times New Roman" w:eastAsia="Times New Roman" w:hAnsi="Times New Roman" w:cs="Times New Roman"/>
          <w:b/>
          <w:bCs/>
          <w:noProof/>
          <w:sz w:val="26"/>
          <w:szCs w:val="26"/>
        </w:rPr>
        <w:drawing>
          <wp:inline distT="0" distB="0" distL="0" distR="0" wp14:anchorId="1E918DEF" wp14:editId="11901A9D">
            <wp:extent cx="5940425" cy="3802380"/>
            <wp:effectExtent l="0" t="0" r="3175" b="7620"/>
            <wp:docPr id="1288732976"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32976" name="Kép 1" descr="A képen szöveg, képernyőkép, sor, Diagram látható&#10;&#10;Előfordulhat, hogy a mesterséges intelligencia által létrehozott tartalom helytelen."/>
                    <pic:cNvPicPr/>
                  </pic:nvPicPr>
                  <pic:blipFill>
                    <a:blip r:embed="rId19"/>
                    <a:stretch>
                      <a:fillRect/>
                    </a:stretch>
                  </pic:blipFill>
                  <pic:spPr>
                    <a:xfrm>
                      <a:off x="0" y="0"/>
                      <a:ext cx="5940425" cy="3802380"/>
                    </a:xfrm>
                    <a:prstGeom prst="rect">
                      <a:avLst/>
                    </a:prstGeom>
                  </pic:spPr>
                </pic:pic>
              </a:graphicData>
            </a:graphic>
          </wp:inline>
        </w:drawing>
      </w:r>
      <w:r w:rsidR="5E04AD7D" w:rsidRPr="5E04AD7D">
        <w:rPr>
          <w:rFonts w:ascii="Times New Roman" w:eastAsia="Times New Roman" w:hAnsi="Times New Roman" w:cs="Times New Roman"/>
          <w:sz w:val="26"/>
          <w:szCs w:val="26"/>
        </w:rPr>
        <w:t xml:space="preserve">Az </w:t>
      </w:r>
      <w:r w:rsidR="5E04AD7D" w:rsidRPr="5E04AD7D">
        <w:rPr>
          <w:rFonts w:ascii="Times New Roman" w:eastAsia="Times New Roman" w:hAnsi="Times New Roman" w:cs="Times New Roman"/>
          <w:b/>
          <w:bCs/>
          <w:sz w:val="26"/>
          <w:szCs w:val="26"/>
        </w:rPr>
        <w:t xml:space="preserve">állami beruházási fejezet kiadásait </w:t>
      </w:r>
      <w:r w:rsidR="5E04AD7D" w:rsidRPr="5E04AD7D">
        <w:rPr>
          <w:rFonts w:ascii="Times New Roman" w:eastAsia="Times New Roman" w:hAnsi="Times New Roman" w:cs="Times New Roman"/>
          <w:sz w:val="26"/>
          <w:szCs w:val="26"/>
        </w:rPr>
        <w:t>alapvetően az egyes projektek előrehaladása határozza meg. 2026 első három hónapjában összesen 115,4 milliárd forint kiadás teljesült, amely magasabb a 2025 azonos időszakában teljesültekhez képest, amelyet az állami közútfejlesztési beruházások előző évihez képest magasabb teljesítménye okoz. A kifizetések nagy része az állami közútfejlesztési beruházásokhoz (79,6 milliárd forint) és az uniós kiadásokhoz (25,1 milliárd forint) kapcsolódtak.</w:t>
      </w:r>
    </w:p>
    <w:p w14:paraId="598CEA5E" w14:textId="63A8ABED" w:rsidR="00C224F5" w:rsidRPr="00A37FE5"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egyéb kiadások</w:t>
      </w:r>
      <w:r w:rsidRPr="5E04AD7D">
        <w:rPr>
          <w:rFonts w:ascii="Times New Roman" w:eastAsia="Times New Roman" w:hAnsi="Times New Roman" w:cs="Times New Roman"/>
          <w:sz w:val="26"/>
          <w:szCs w:val="26"/>
        </w:rPr>
        <w:t xml:space="preserve"> 2026. évi </w:t>
      </w:r>
      <w:r w:rsidR="00432BDD">
        <w:rPr>
          <w:rFonts w:ascii="Times New Roman" w:eastAsia="Times New Roman" w:hAnsi="Times New Roman" w:cs="Times New Roman"/>
          <w:sz w:val="26"/>
          <w:szCs w:val="26"/>
        </w:rPr>
        <w:t>március</w:t>
      </w:r>
      <w:r w:rsidRPr="5E04AD7D">
        <w:rPr>
          <w:rFonts w:ascii="Times New Roman" w:eastAsia="Times New Roman" w:hAnsi="Times New Roman" w:cs="Times New Roman"/>
          <w:sz w:val="26"/>
          <w:szCs w:val="26"/>
        </w:rPr>
        <w:t xml:space="preserve"> havi teljesítése </w:t>
      </w:r>
      <w:r w:rsidR="00432BDD">
        <w:rPr>
          <w:rFonts w:ascii="Times New Roman" w:eastAsia="Times New Roman" w:hAnsi="Times New Roman" w:cs="Times New Roman"/>
          <w:sz w:val="26"/>
          <w:szCs w:val="26"/>
        </w:rPr>
        <w:t>155,1</w:t>
      </w:r>
      <w:r w:rsidRPr="5E04AD7D">
        <w:rPr>
          <w:rFonts w:ascii="Times New Roman" w:eastAsia="Times New Roman" w:hAnsi="Times New Roman" w:cs="Times New Roman"/>
          <w:sz w:val="26"/>
          <w:szCs w:val="26"/>
        </w:rPr>
        <w:t xml:space="preserve"> milliárd forint lett, ami </w:t>
      </w:r>
      <w:r w:rsidR="00432BDD">
        <w:rPr>
          <w:rFonts w:ascii="Times New Roman" w:eastAsia="Times New Roman" w:hAnsi="Times New Roman" w:cs="Times New Roman"/>
          <w:sz w:val="26"/>
          <w:szCs w:val="26"/>
        </w:rPr>
        <w:t>22,9</w:t>
      </w:r>
      <w:r w:rsidRPr="5E04AD7D">
        <w:rPr>
          <w:rFonts w:ascii="Times New Roman" w:eastAsia="Times New Roman" w:hAnsi="Times New Roman" w:cs="Times New Roman"/>
          <w:sz w:val="26"/>
          <w:szCs w:val="26"/>
        </w:rPr>
        <w:t> milliárd forinttal magasabban alakult az előző év azonos időszakához képest.</w:t>
      </w:r>
    </w:p>
    <w:p w14:paraId="15F013A7" w14:textId="127BC4F6" w:rsidR="74B9DF17" w:rsidRPr="00A37FE5"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Hozzájárulás az EU költségvetéséhez</w:t>
      </w:r>
      <w:r w:rsidRPr="5E04AD7D">
        <w:rPr>
          <w:rFonts w:ascii="Times New Roman" w:eastAsia="Times New Roman" w:hAnsi="Times New Roman" w:cs="Times New Roman"/>
          <w:sz w:val="26"/>
          <w:szCs w:val="26"/>
        </w:rPr>
        <w:t xml:space="preserve"> mérlegsoron 2026. március végéig 190,9</w:t>
      </w:r>
      <w:r w:rsidR="00527154">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milliárd forint kiadás teljesült, ami a törvényi előirányzat 24,2%-a. E hozzájárulás 5,</w:t>
      </w:r>
      <w:r w:rsidR="00C81C27">
        <w:rPr>
          <w:rFonts w:ascii="Times New Roman" w:eastAsia="Times New Roman" w:hAnsi="Times New Roman" w:cs="Times New Roman"/>
          <w:sz w:val="26"/>
          <w:szCs w:val="26"/>
        </w:rPr>
        <w:t>1</w:t>
      </w:r>
      <w:r w:rsidRPr="5E04AD7D">
        <w:rPr>
          <w:rFonts w:ascii="Times New Roman" w:eastAsia="Times New Roman" w:hAnsi="Times New Roman" w:cs="Times New Roman"/>
          <w:sz w:val="26"/>
          <w:szCs w:val="26"/>
        </w:rPr>
        <w:t xml:space="preserve"> milliárd forinttal marad el a 2025. év azonos időszakában teljesített kiadások</w:t>
      </w:r>
      <w:r w:rsidR="002B6AEE">
        <w:rPr>
          <w:rFonts w:ascii="Times New Roman" w:eastAsia="Times New Roman" w:hAnsi="Times New Roman" w:cs="Times New Roman"/>
          <w:sz w:val="26"/>
          <w:szCs w:val="26"/>
        </w:rPr>
        <w:t>tól</w:t>
      </w:r>
      <w:r w:rsidRPr="5E04AD7D">
        <w:rPr>
          <w:rFonts w:ascii="Times New Roman" w:eastAsia="Times New Roman" w:hAnsi="Times New Roman" w:cs="Times New Roman"/>
          <w:sz w:val="26"/>
          <w:szCs w:val="26"/>
        </w:rPr>
        <w:t>.</w:t>
      </w:r>
    </w:p>
    <w:p w14:paraId="0F5A0F03" w14:textId="13261811" w:rsidR="6462B5A6" w:rsidRPr="00A37FE5"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lastRenderedPageBreak/>
        <w:t xml:space="preserve">A </w:t>
      </w:r>
      <w:r w:rsidRPr="5E04AD7D">
        <w:rPr>
          <w:rFonts w:ascii="Times New Roman" w:eastAsia="Times New Roman" w:hAnsi="Times New Roman" w:cs="Times New Roman"/>
          <w:b/>
          <w:bCs/>
          <w:sz w:val="26"/>
          <w:szCs w:val="26"/>
        </w:rPr>
        <w:t>Nemzeti Kutatási, Fejlesztési és Innovációs Alapból</w:t>
      </w:r>
      <w:r w:rsidRPr="5E04AD7D">
        <w:rPr>
          <w:rFonts w:ascii="Times New Roman" w:eastAsia="Times New Roman" w:hAnsi="Times New Roman" w:cs="Times New Roman"/>
          <w:sz w:val="26"/>
          <w:szCs w:val="26"/>
        </w:rPr>
        <w:t xml:space="preserve"> (NKFI Alap) 2026. március végéig 59,2 milliárd forint kiadás teljesült.</w:t>
      </w:r>
    </w:p>
    <w:p w14:paraId="17605E21" w14:textId="7D4DE485" w:rsidR="6462B5A6" w:rsidRPr="00A37FE5"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Nemzeti Foglalkoztatási Alap</w:t>
      </w:r>
      <w:r w:rsidRPr="5E04AD7D">
        <w:rPr>
          <w:rFonts w:ascii="Times New Roman" w:eastAsia="Times New Roman" w:hAnsi="Times New Roman" w:cs="Times New Roman"/>
          <w:sz w:val="26"/>
          <w:szCs w:val="26"/>
        </w:rPr>
        <w:t xml:space="preserve"> (NFA) kiadásai esetében a Start-munkaprogramra összesen 36,2 milliárd forint teljesült. Az uniós elő- és társfinanszírozásra 10,8 milliárd forintot fordítottak.</w:t>
      </w:r>
    </w:p>
    <w:p w14:paraId="76B18BB1" w14:textId="027A358A" w:rsidR="123EFD2F" w:rsidRPr="00A37FE5"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A</w:t>
      </w:r>
      <w:r w:rsidRPr="5E04AD7D">
        <w:rPr>
          <w:rFonts w:ascii="Times New Roman" w:eastAsia="Times New Roman" w:hAnsi="Times New Roman" w:cs="Times New Roman"/>
          <w:b/>
          <w:bCs/>
          <w:sz w:val="26"/>
          <w:szCs w:val="26"/>
        </w:rPr>
        <w:t xml:space="preserve"> Bethlen Gábor Alapból</w:t>
      </w:r>
      <w:r w:rsidRPr="5E04AD7D">
        <w:rPr>
          <w:rFonts w:ascii="Times New Roman" w:eastAsia="Times New Roman" w:hAnsi="Times New Roman" w:cs="Times New Roman"/>
          <w:sz w:val="26"/>
          <w:szCs w:val="26"/>
        </w:rPr>
        <w:t xml:space="preserve"> (BGA) </w:t>
      </w:r>
      <w:r w:rsidR="00C81C27">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sz w:val="26"/>
          <w:szCs w:val="26"/>
        </w:rPr>
        <w:t>2026. év első három hónapjában 32,2 milliárd forint kiadás teljesült. Az alapból nyújtott támogatások a BGA irányítását ellátó Bizottság döntései alapján, ütemezetten kerültek kifizetésre.</w:t>
      </w:r>
    </w:p>
    <w:p w14:paraId="29A20A18" w14:textId="4990D8C5" w:rsidR="00D72777" w:rsidRDefault="5E04AD7D" w:rsidP="00505767">
      <w:pPr>
        <w:jc w:val="both"/>
      </w:pPr>
      <w:r w:rsidRPr="5E04AD7D">
        <w:rPr>
          <w:rFonts w:ascii="Times New Roman" w:eastAsia="Times New Roman" w:hAnsi="Times New Roman" w:cs="Times New Roman"/>
          <w:sz w:val="26"/>
          <w:szCs w:val="26"/>
        </w:rPr>
        <w:t xml:space="preserve">A </w:t>
      </w:r>
      <w:r w:rsidRPr="5E04AD7D">
        <w:rPr>
          <w:rFonts w:ascii="Times New Roman" w:eastAsia="Times New Roman" w:hAnsi="Times New Roman" w:cs="Times New Roman"/>
          <w:b/>
          <w:bCs/>
          <w:sz w:val="26"/>
          <w:szCs w:val="26"/>
        </w:rPr>
        <w:t xml:space="preserve">Nyugdíjbiztosítási Alap </w:t>
      </w:r>
      <w:r w:rsidRPr="5E04AD7D">
        <w:rPr>
          <w:rFonts w:ascii="Times New Roman" w:eastAsia="Times New Roman" w:hAnsi="Times New Roman" w:cs="Times New Roman"/>
          <w:sz w:val="26"/>
          <w:szCs w:val="26"/>
        </w:rPr>
        <w:t xml:space="preserve">nyugellátási kiadásai március végéig 2291,5 milliárd forintban teljesültek, ami 301,1 milliárd forinttal haladta meg az előző év azonos időszakának teljesítési adatait. </w:t>
      </w:r>
    </w:p>
    <w:p w14:paraId="70AB0063" w14:textId="0A1E1AFC" w:rsidR="00D72777"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 15,1%-os kiadásnövekedést az előző év novemberében végrehajtott 1,6%-os kiegészítő nyugdíjemelés, a tárgyév január hónapban végrehajtott 3,6%-os inflációkövető nyugdíjemelés, a 2026. évtől bevezetésre kerülő 14. havi nyugdíj nyugellátási kiadásokra gyakorolt hatása, valamint az eltelt időszakban bekövetkezett létszámváltozás és cserélődés együttes hatása okozta. </w:t>
      </w:r>
    </w:p>
    <w:p w14:paraId="67E390F1" w14:textId="1F792A42" w:rsidR="00D72777"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2026. februárjában mintegy 2 millió öregségi nyugdíjban és hozzátartozói nyugellátásban részesülő személy rész</w:t>
      </w:r>
      <w:r w:rsidR="00EE691F">
        <w:rPr>
          <w:rFonts w:ascii="Times New Roman" w:eastAsia="Times New Roman" w:hAnsi="Times New Roman" w:cs="Times New Roman"/>
          <w:sz w:val="26"/>
          <w:szCs w:val="26"/>
        </w:rPr>
        <w:t>é</w:t>
      </w:r>
      <w:r w:rsidRPr="5E04AD7D">
        <w:rPr>
          <w:rFonts w:ascii="Times New Roman" w:eastAsia="Times New Roman" w:hAnsi="Times New Roman" w:cs="Times New Roman"/>
          <w:sz w:val="26"/>
          <w:szCs w:val="26"/>
        </w:rPr>
        <w:t xml:space="preserve">re folyósítottak 13. és 14. havi nyugdíjat. A 13. havi nyugdíj Nyugdíjbiztosítási Alapot terhelő kiadása március végéig 534,8 milliárd forint volt, ami 41,5 milliárd forinttal haladta meg az előző év azonos időszakában ezen a jogcímen teljesített kiadások összegét. A 14. havi nyugdíj bevezetésére vonatkozó szabályok szerint 2026. február hónapban a havi ellátás negyedének megfelelő összegben kaptak az érintettek 14. havi nyugdíjat, összesen 133,3 milliárd forint összegben. </w:t>
      </w:r>
    </w:p>
    <w:p w14:paraId="168226B1" w14:textId="2F05C910" w:rsidR="00D72777" w:rsidRDefault="5E04AD7D" w:rsidP="00505767">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A 14. havi nyugdíj kiadásnövelő hatását leszámítva a nyugellátási kiadásokon belül a korbetöltött öregségi nyugdíjak 8,8%-kal, a nők 40 év jogosultsági idővel igénybe vehető öregségi nyugdíja („nők 40”) pedig 9,2%-kal haladta meg az előző év azonos időszakának kiadásait.</w:t>
      </w:r>
    </w:p>
    <w:p w14:paraId="636BCB9D" w14:textId="1B370715" w:rsidR="00AA22CB" w:rsidRDefault="00527154" w:rsidP="00527154">
      <w:pPr>
        <w:ind w:right="-1"/>
        <w:jc w:val="center"/>
        <w:rPr>
          <w:rFonts w:ascii="Times New Roman" w:eastAsia="Times New Roman" w:hAnsi="Times New Roman" w:cs="Times New Roman"/>
          <w:sz w:val="26"/>
          <w:szCs w:val="26"/>
        </w:rPr>
      </w:pPr>
      <w:r w:rsidRPr="00527154">
        <w:rPr>
          <w:rFonts w:ascii="Times New Roman" w:eastAsia="Times New Roman" w:hAnsi="Times New Roman" w:cs="Times New Roman"/>
          <w:noProof/>
          <w:sz w:val="26"/>
          <w:szCs w:val="26"/>
        </w:rPr>
        <w:drawing>
          <wp:inline distT="0" distB="0" distL="0" distR="0" wp14:anchorId="29177065" wp14:editId="5FD6CAF4">
            <wp:extent cx="5940425" cy="2691765"/>
            <wp:effectExtent l="0" t="0" r="3175" b="0"/>
            <wp:docPr id="1698246601"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46601" name="Kép 1" descr="A képen szöveg, diagram, képernyőkép, kör látható&#10;&#10;Előfordulhat, hogy a mesterséges intelligencia által létrehozott tartalom helytelen."/>
                    <pic:cNvPicPr/>
                  </pic:nvPicPr>
                  <pic:blipFill>
                    <a:blip r:embed="rId20"/>
                    <a:stretch>
                      <a:fillRect/>
                    </a:stretch>
                  </pic:blipFill>
                  <pic:spPr>
                    <a:xfrm>
                      <a:off x="0" y="0"/>
                      <a:ext cx="5940425" cy="2691765"/>
                    </a:xfrm>
                    <a:prstGeom prst="rect">
                      <a:avLst/>
                    </a:prstGeom>
                  </pic:spPr>
                </pic:pic>
              </a:graphicData>
            </a:graphic>
          </wp:inline>
        </w:drawing>
      </w:r>
    </w:p>
    <w:p w14:paraId="7BDB967D" w14:textId="4667C743" w:rsidR="3E75DAF6" w:rsidRDefault="5E04AD7D" w:rsidP="00E36865">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lastRenderedPageBreak/>
        <w:t xml:space="preserve">Az öregségi nyugdíjban részesülők 2026. március havi </w:t>
      </w:r>
      <w:r w:rsidRPr="5E04AD7D">
        <w:rPr>
          <w:rFonts w:ascii="Times New Roman" w:eastAsia="Times New Roman" w:hAnsi="Times New Roman" w:cs="Times New Roman"/>
          <w:b/>
          <w:bCs/>
          <w:sz w:val="26"/>
          <w:szCs w:val="26"/>
        </w:rPr>
        <w:t>átlagos statisztikai állományi létszáma</w:t>
      </w:r>
      <w:r w:rsidRPr="5E04AD7D">
        <w:rPr>
          <w:rFonts w:ascii="Times New Roman" w:eastAsia="Times New Roman" w:hAnsi="Times New Roman" w:cs="Times New Roman"/>
          <w:sz w:val="26"/>
          <w:szCs w:val="26"/>
        </w:rPr>
        <w:t xml:space="preserve"> az előző év azonos időszakához képest 16 215 fővel nőtt, ezen belül a korbetöltött öregségi nyugdíjban részesülők létszáma 15 969 fővel, a nők kedvezményes nyugdíjában részesülők létszáma 246 fővel lett magasabb. Jelenleg 142 010 fő veszi igénybe a „nők 40” kedvezményes nyugdíját. A nők kedvezményes nyugdíjában részesülők (korhatár alattiak) létszámát az új ellátások megállapításán és az elhalálozottak állományi létszámból való kivezetésén túl a korhatár betöltések is befolyásolják.</w:t>
      </w:r>
    </w:p>
    <w:p w14:paraId="11F8A96C" w14:textId="3186F9BF" w:rsidR="3E75DAF6" w:rsidRDefault="5E04AD7D" w:rsidP="00E36865">
      <w:pPr>
        <w:jc w:val="both"/>
      </w:pPr>
      <w:r w:rsidRPr="5E04AD7D">
        <w:rPr>
          <w:rFonts w:ascii="Times New Roman" w:eastAsia="Times New Roman" w:hAnsi="Times New Roman" w:cs="Times New Roman"/>
          <w:sz w:val="26"/>
          <w:szCs w:val="26"/>
        </w:rPr>
        <w:t>Az előző évhez viszonyítottan kiugró létszámnövekedés oka, hogy 2026. január 1-jétől az</w:t>
      </w:r>
      <w:r w:rsidR="0002125B">
        <w:rPr>
          <w:rFonts w:ascii="Times New Roman" w:eastAsia="Times New Roman" w:hAnsi="Times New Roman" w:cs="Times New Roman"/>
          <w:sz w:val="26"/>
          <w:szCs w:val="26"/>
        </w:rPr>
        <w:t> </w:t>
      </w:r>
      <w:r w:rsidRPr="5E04AD7D">
        <w:rPr>
          <w:rFonts w:ascii="Times New Roman" w:eastAsia="Times New Roman" w:hAnsi="Times New Roman" w:cs="Times New Roman"/>
          <w:sz w:val="26"/>
          <w:szCs w:val="26"/>
        </w:rPr>
        <w:t>egészségügyi ágazatban foglalkoztatottak – a szociális, gyermekvédelmi és köznevelési intézményekben foglalkoztatottakhoz hasonlóan – mentesülnek az öregségi nyugdíjuk szüneteltetése alól, részükre januártól ismét folyósításra kerülnek a Nyugdíjbiztosítási Alapból az öregségi nyugellátások. A jogszabálymódosítás mintegy 10 ezer főt érintett.</w:t>
      </w:r>
    </w:p>
    <w:p w14:paraId="52250089" w14:textId="27D48FA2" w:rsidR="3E75DAF6" w:rsidRDefault="5E04AD7D" w:rsidP="00E36865">
      <w:pPr>
        <w:jc w:val="both"/>
      </w:pPr>
      <w:r w:rsidRPr="5E04AD7D">
        <w:rPr>
          <w:rFonts w:ascii="Times New Roman" w:eastAsia="Times New Roman" w:hAnsi="Times New Roman" w:cs="Times New Roman"/>
          <w:sz w:val="26"/>
          <w:szCs w:val="26"/>
        </w:rPr>
        <w:t>Az öregségi nyugdíjak átlagos havi összege egy év alatt 18 789 forinttal emelkedett, 2026. márciusban 261 842 forint volt.</w:t>
      </w:r>
    </w:p>
    <w:p w14:paraId="725BF303" w14:textId="174F7D04" w:rsidR="7BF38582" w:rsidRDefault="5E04AD7D" w:rsidP="00E36865">
      <w:pPr>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Az ellátások egy főre jutó havi átlagos összege az egyes ellátotti jogcímeken belül az előző év azonos időszakával összehasonlítva az alábbiak szerint alakult.</w:t>
      </w:r>
    </w:p>
    <w:p w14:paraId="503DFEB7" w14:textId="426AD0B7" w:rsidR="00EF1F5B" w:rsidRDefault="00527154" w:rsidP="002D6802">
      <w:pPr>
        <w:pStyle w:val="NormlWeb"/>
        <w:spacing w:before="0" w:beforeAutospacing="0" w:after="0" w:afterAutospacing="0"/>
        <w:jc w:val="center"/>
      </w:pPr>
      <w:r w:rsidRPr="00527154">
        <w:rPr>
          <w:noProof/>
        </w:rPr>
        <w:drawing>
          <wp:inline distT="0" distB="0" distL="0" distR="0" wp14:anchorId="16D5D533" wp14:editId="52C942F0">
            <wp:extent cx="5236464" cy="3569550"/>
            <wp:effectExtent l="0" t="0" r="2540" b="0"/>
            <wp:docPr id="1942303262" name="Kép 1" descr="A képen szöveg, képernyőkép, szám, Betűtípu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03262" name="Kép 1" descr="A képen szöveg, képernyőkép, szám, Betűtípus látható&#10;&#10;Előfordulhat, hogy a mesterséges intelligencia által létrehozott tartalom helytelen."/>
                    <pic:cNvPicPr/>
                  </pic:nvPicPr>
                  <pic:blipFill>
                    <a:blip r:embed="rId21"/>
                    <a:stretch>
                      <a:fillRect/>
                    </a:stretch>
                  </pic:blipFill>
                  <pic:spPr>
                    <a:xfrm>
                      <a:off x="0" y="0"/>
                      <a:ext cx="5261781" cy="3586808"/>
                    </a:xfrm>
                    <a:prstGeom prst="rect">
                      <a:avLst/>
                    </a:prstGeom>
                  </pic:spPr>
                </pic:pic>
              </a:graphicData>
            </a:graphic>
          </wp:inline>
        </w:drawing>
      </w:r>
    </w:p>
    <w:p w14:paraId="3779DB9C" w14:textId="2227DC2C" w:rsidR="0022104D" w:rsidRDefault="5E04AD7D" w:rsidP="00A31F84">
      <w:pPr>
        <w:widowControl w:val="0"/>
        <w:spacing w:before="240"/>
        <w:jc w:val="both"/>
      </w:pPr>
      <w:r w:rsidRPr="5E04AD7D">
        <w:rPr>
          <w:rFonts w:ascii="Times New Roman" w:eastAsia="Times New Roman" w:hAnsi="Times New Roman" w:cs="Times New Roman"/>
          <w:sz w:val="26"/>
          <w:szCs w:val="26"/>
        </w:rPr>
        <w:t xml:space="preserve">Az öregségi nyugdíjban, hozzátartozói nyugellátásban részesülők jogcím szerinti megoszlásának összehasonlítását a korábbi adatokkal az alábbi ábrák mutatják. </w:t>
      </w:r>
    </w:p>
    <w:p w14:paraId="6E229341" w14:textId="01FB7099" w:rsidR="00EF1F5B" w:rsidRDefault="00366838" w:rsidP="00E36865">
      <w:pPr>
        <w:pStyle w:val="NormlWeb"/>
        <w:widowControl w:val="0"/>
        <w:ind w:right="-1"/>
        <w:jc w:val="center"/>
      </w:pPr>
      <w:r w:rsidRPr="00366838">
        <w:rPr>
          <w:noProof/>
        </w:rPr>
        <w:lastRenderedPageBreak/>
        <w:drawing>
          <wp:inline distT="0" distB="0" distL="0" distR="0" wp14:anchorId="261B6045" wp14:editId="1C5CC635">
            <wp:extent cx="5001371" cy="2351121"/>
            <wp:effectExtent l="0" t="0" r="0" b="0"/>
            <wp:docPr id="637464140" name="Kép 1" descr="A képen szöveg, képernyőkép, diagram, Betűtípu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64140" name="Kép 1" descr="A képen szöveg, képernyőkép, diagram, Betűtípus látható&#10;&#10;Előfordulhat, hogy a mesterséges intelligencia által létrehozott tartalom helytelen."/>
                    <pic:cNvPicPr/>
                  </pic:nvPicPr>
                  <pic:blipFill>
                    <a:blip r:embed="rId22"/>
                    <a:stretch>
                      <a:fillRect/>
                    </a:stretch>
                  </pic:blipFill>
                  <pic:spPr>
                    <a:xfrm>
                      <a:off x="0" y="0"/>
                      <a:ext cx="5038726" cy="2368682"/>
                    </a:xfrm>
                    <a:prstGeom prst="rect">
                      <a:avLst/>
                    </a:prstGeom>
                  </pic:spPr>
                </pic:pic>
              </a:graphicData>
            </a:graphic>
          </wp:inline>
        </w:drawing>
      </w:r>
    </w:p>
    <w:p w14:paraId="2A4F88FB" w14:textId="0DFE69E9" w:rsidR="00D4148C" w:rsidRPr="002B492B" w:rsidRDefault="5E04AD7D" w:rsidP="5E04AD7D">
      <w:pPr>
        <w:widowControl w:val="0"/>
        <w:rPr>
          <w:rFonts w:ascii="Times New Roman" w:eastAsia="Times New Roman" w:hAnsi="Times New Roman" w:cs="Times New Roman"/>
          <w:b/>
          <w:bCs/>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Egészségbiztosítási Alap kiadásainak</w:t>
      </w:r>
      <w:r w:rsidRPr="5E04AD7D">
        <w:rPr>
          <w:rFonts w:ascii="Times New Roman" w:eastAsia="Times New Roman" w:hAnsi="Times New Roman" w:cs="Times New Roman"/>
          <w:sz w:val="26"/>
          <w:szCs w:val="26"/>
        </w:rPr>
        <w:t xml:space="preserve"> összetételét a következő ábra mutatja be:</w:t>
      </w:r>
      <w:r w:rsidRPr="5E04AD7D">
        <w:rPr>
          <w:rFonts w:ascii="Times New Roman" w:eastAsia="Times New Roman" w:hAnsi="Times New Roman" w:cs="Times New Roman"/>
          <w:b/>
          <w:bCs/>
          <w:sz w:val="26"/>
          <w:szCs w:val="26"/>
        </w:rPr>
        <w:t xml:space="preserve"> </w:t>
      </w:r>
    </w:p>
    <w:p w14:paraId="57C38B59" w14:textId="4DEFDCE2" w:rsidR="00D4148C" w:rsidRDefault="00902461" w:rsidP="00E36865">
      <w:pPr>
        <w:widowControl w:val="0"/>
        <w:spacing w:after="240"/>
        <w:jc w:val="center"/>
        <w:rPr>
          <w:rFonts w:ascii="Times New Roman" w:eastAsia="Times New Roman" w:hAnsi="Times New Roman" w:cs="Times New Roman"/>
          <w:sz w:val="26"/>
          <w:szCs w:val="26"/>
        </w:rPr>
      </w:pPr>
      <w:r w:rsidRPr="00902461">
        <w:rPr>
          <w:rFonts w:ascii="Times New Roman" w:eastAsia="Times New Roman" w:hAnsi="Times New Roman" w:cs="Times New Roman"/>
          <w:noProof/>
          <w:sz w:val="26"/>
          <w:szCs w:val="26"/>
        </w:rPr>
        <w:drawing>
          <wp:inline distT="0" distB="0" distL="0" distR="0" wp14:anchorId="05F996AF" wp14:editId="5F0E53ED">
            <wp:extent cx="4862904" cy="2146852"/>
            <wp:effectExtent l="0" t="0" r="0" b="6350"/>
            <wp:docPr id="186428970"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8970" name="Kép 1" descr="A képen szöveg, diagram, képernyőkép, kör látható&#10;&#10;Előfordulhat, hogy a mesterséges intelligencia által létrehozott tartalom helytelen."/>
                    <pic:cNvPicPr/>
                  </pic:nvPicPr>
                  <pic:blipFill>
                    <a:blip r:embed="rId23"/>
                    <a:stretch>
                      <a:fillRect/>
                    </a:stretch>
                  </pic:blipFill>
                  <pic:spPr>
                    <a:xfrm>
                      <a:off x="0" y="0"/>
                      <a:ext cx="4887535" cy="2157726"/>
                    </a:xfrm>
                    <a:prstGeom prst="rect">
                      <a:avLst/>
                    </a:prstGeom>
                  </pic:spPr>
                </pic:pic>
              </a:graphicData>
            </a:graphic>
          </wp:inline>
        </w:drawing>
      </w:r>
    </w:p>
    <w:p w14:paraId="19FDF989" w14:textId="083D3837" w:rsidR="00CA3468" w:rsidRDefault="5E04AD7D" w:rsidP="5E04AD7D">
      <w:pPr>
        <w:widowControl w:val="0"/>
        <w:spacing w:after="120"/>
        <w:jc w:val="both"/>
        <w:rPr>
          <w:rFonts w:ascii="Times New Roman" w:eastAsia="Times New Roman" w:hAnsi="Times New Roman" w:cs="Times New Roman"/>
          <w:sz w:val="26"/>
          <w:szCs w:val="26"/>
        </w:rPr>
      </w:pPr>
      <w:r w:rsidRPr="5E04AD7D">
        <w:rPr>
          <w:rFonts w:ascii="Times New Roman" w:eastAsia="Times New Roman" w:hAnsi="Times New Roman" w:cs="Times New Roman"/>
          <w:sz w:val="26"/>
          <w:szCs w:val="26"/>
        </w:rPr>
        <w:t xml:space="preserve">Az </w:t>
      </w:r>
      <w:r w:rsidRPr="5E04AD7D">
        <w:rPr>
          <w:rFonts w:ascii="Times New Roman" w:eastAsia="Times New Roman" w:hAnsi="Times New Roman" w:cs="Times New Roman"/>
          <w:b/>
          <w:bCs/>
          <w:sz w:val="26"/>
          <w:szCs w:val="26"/>
        </w:rPr>
        <w:t>Egészségbiztosítási Alap</w:t>
      </w:r>
      <w:r w:rsidRPr="5E04AD7D">
        <w:rPr>
          <w:rFonts w:ascii="Times New Roman" w:eastAsia="Times New Roman" w:hAnsi="Times New Roman" w:cs="Times New Roman"/>
          <w:sz w:val="26"/>
          <w:szCs w:val="26"/>
        </w:rPr>
        <w:t xml:space="preserve"> összes kiadásának 27,2%-át a </w:t>
      </w:r>
      <w:r w:rsidRPr="5E04AD7D">
        <w:rPr>
          <w:rFonts w:ascii="Times New Roman" w:eastAsia="Times New Roman" w:hAnsi="Times New Roman" w:cs="Times New Roman"/>
          <w:b/>
          <w:bCs/>
          <w:sz w:val="26"/>
          <w:szCs w:val="26"/>
        </w:rPr>
        <w:t>pénzbeli ellátásokra</w:t>
      </w:r>
      <w:r w:rsidRPr="5E04AD7D">
        <w:rPr>
          <w:rFonts w:ascii="Times New Roman" w:eastAsia="Times New Roman" w:hAnsi="Times New Roman" w:cs="Times New Roman"/>
          <w:sz w:val="26"/>
          <w:szCs w:val="26"/>
        </w:rPr>
        <w:t xml:space="preserve"> fordított összeg adta. Az ellátások részletes bemutatását a következő táblázat tartalmazza:</w:t>
      </w:r>
    </w:p>
    <w:p w14:paraId="1D31F2C8" w14:textId="3F5AAC59" w:rsidR="00DA4FBC" w:rsidRPr="001074A1" w:rsidRDefault="5E04AD7D" w:rsidP="5E04AD7D">
      <w:pPr>
        <w:widowControl w:val="0"/>
        <w:spacing w:after="240"/>
        <w:jc w:val="center"/>
        <w:rPr>
          <w:rFonts w:ascii="Times New Roman" w:eastAsia="Times New Roman" w:hAnsi="Times New Roman" w:cs="Times New Roman"/>
          <w:b/>
          <w:bCs/>
        </w:rPr>
      </w:pPr>
      <w:r w:rsidRPr="5E04AD7D">
        <w:rPr>
          <w:rFonts w:ascii="Times New Roman" w:eastAsia="Times New Roman" w:hAnsi="Times New Roman" w:cs="Times New Roman"/>
          <w:b/>
          <w:bCs/>
        </w:rPr>
        <w:t>Az Egészségbiztosítási Alap pénzbeli ellátásokra fordított kiadásainak alakulása (milliárd forint)</w:t>
      </w:r>
    </w:p>
    <w:tbl>
      <w:tblPr>
        <w:tblpPr w:leftFromText="141" w:rightFromText="141" w:vertAnchor="text" w:tblpXSpec="center" w:tblpY="1"/>
        <w:tblOverlap w:val="never"/>
        <w:tblW w:w="8718" w:type="dxa"/>
        <w:tblLayout w:type="fixed"/>
        <w:tblCellMar>
          <w:left w:w="70" w:type="dxa"/>
          <w:right w:w="70" w:type="dxa"/>
        </w:tblCellMar>
        <w:tblLook w:val="04A0" w:firstRow="1" w:lastRow="0" w:firstColumn="1" w:lastColumn="0" w:noHBand="0" w:noVBand="1"/>
      </w:tblPr>
      <w:tblGrid>
        <w:gridCol w:w="4248"/>
        <w:gridCol w:w="1276"/>
        <w:gridCol w:w="1209"/>
        <w:gridCol w:w="992"/>
        <w:gridCol w:w="993"/>
      </w:tblGrid>
      <w:tr w:rsidR="00E601EF" w:rsidRPr="00377D59" w14:paraId="06E6BC15" w14:textId="77777777" w:rsidTr="28F9800E">
        <w:trPr>
          <w:trHeight w:val="340"/>
        </w:trPr>
        <w:tc>
          <w:tcPr>
            <w:tcW w:w="4248" w:type="dxa"/>
            <w:vMerge w:val="restart"/>
            <w:tcBorders>
              <w:top w:val="single" w:sz="4" w:space="0" w:color="auto"/>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510863DA" w14:textId="77777777" w:rsidR="00E601EF" w:rsidRPr="00377D59" w:rsidRDefault="5E04AD7D" w:rsidP="5E04AD7D">
            <w:pPr>
              <w:widowControl w:val="0"/>
              <w:spacing w:after="0" w:line="240" w:lineRule="auto"/>
              <w:jc w:val="center"/>
              <w:rPr>
                <w:rFonts w:ascii="Times New Roman" w:eastAsia="Times New Roman" w:hAnsi="Times New Roman" w:cs="Times New Roman"/>
                <w:b/>
                <w:bCs/>
              </w:rPr>
            </w:pPr>
            <w:r w:rsidRPr="5E04AD7D">
              <w:rPr>
                <w:rFonts w:ascii="Times New Roman" w:eastAsia="Times New Roman" w:hAnsi="Times New Roman" w:cs="Times New Roman"/>
                <w:b/>
                <w:bCs/>
              </w:rPr>
              <w:t>Megnevezés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A7FE5D" w14:textId="77777777" w:rsidR="005F7B25" w:rsidRDefault="28F9800E" w:rsidP="28F9800E">
            <w:pPr>
              <w:widowControl w:val="0"/>
              <w:spacing w:after="0" w:line="240" w:lineRule="auto"/>
              <w:jc w:val="center"/>
              <w:rPr>
                <w:rFonts w:ascii="Times New Roman" w:eastAsia="Times New Roman" w:hAnsi="Times New Roman" w:cs="Times New Roman"/>
                <w:b/>
                <w:bCs/>
              </w:rPr>
            </w:pPr>
            <w:r w:rsidRPr="28F9800E">
              <w:rPr>
                <w:rFonts w:ascii="Times New Roman" w:eastAsia="Times New Roman" w:hAnsi="Times New Roman" w:cs="Times New Roman"/>
                <w:b/>
                <w:bCs/>
              </w:rPr>
              <w:t xml:space="preserve">2025. </w:t>
            </w:r>
          </w:p>
          <w:p w14:paraId="6BB44369" w14:textId="2F788945" w:rsidR="00E601EF" w:rsidRPr="00377D59" w:rsidRDefault="5E04AD7D" w:rsidP="5E04AD7D">
            <w:pPr>
              <w:widowControl w:val="0"/>
              <w:spacing w:after="0" w:line="240" w:lineRule="auto"/>
              <w:jc w:val="center"/>
              <w:rPr>
                <w:rFonts w:ascii="Times New Roman" w:eastAsia="Times New Roman" w:hAnsi="Times New Roman" w:cs="Times New Roman"/>
                <w:b/>
                <w:bCs/>
              </w:rPr>
            </w:pPr>
            <w:r w:rsidRPr="5E04AD7D">
              <w:rPr>
                <w:rFonts w:ascii="Times New Roman" w:eastAsia="Times New Roman" w:hAnsi="Times New Roman" w:cs="Times New Roman"/>
                <w:b/>
                <w:bCs/>
              </w:rPr>
              <w:t>I-III. hó</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6BDEFD" w14:textId="77777777" w:rsidR="005F7B25" w:rsidRDefault="28F9800E" w:rsidP="28F9800E">
            <w:pPr>
              <w:widowControl w:val="0"/>
              <w:spacing w:after="0" w:line="240" w:lineRule="auto"/>
              <w:jc w:val="center"/>
              <w:rPr>
                <w:rFonts w:ascii="Times New Roman" w:eastAsia="Times New Roman" w:hAnsi="Times New Roman" w:cs="Times New Roman"/>
                <w:b/>
                <w:bCs/>
              </w:rPr>
            </w:pPr>
            <w:r w:rsidRPr="28F9800E">
              <w:rPr>
                <w:rFonts w:ascii="Times New Roman" w:eastAsia="Times New Roman" w:hAnsi="Times New Roman" w:cs="Times New Roman"/>
                <w:b/>
                <w:bCs/>
              </w:rPr>
              <w:t xml:space="preserve">2026. </w:t>
            </w:r>
          </w:p>
          <w:p w14:paraId="5A1BFE64" w14:textId="350674F1" w:rsidR="00E601EF" w:rsidRPr="004E5F60" w:rsidRDefault="5E04AD7D" w:rsidP="5E04AD7D">
            <w:pPr>
              <w:widowControl w:val="0"/>
              <w:spacing w:after="0" w:line="240" w:lineRule="auto"/>
              <w:jc w:val="center"/>
              <w:rPr>
                <w:rFonts w:ascii="Times New Roman" w:eastAsia="Times New Roman" w:hAnsi="Times New Roman" w:cs="Times New Roman"/>
                <w:b/>
                <w:bCs/>
              </w:rPr>
            </w:pPr>
            <w:r w:rsidRPr="5E04AD7D">
              <w:rPr>
                <w:rFonts w:ascii="Times New Roman" w:eastAsia="Times New Roman" w:hAnsi="Times New Roman" w:cs="Times New Roman"/>
                <w:b/>
                <w:bCs/>
              </w:rPr>
              <w:t>I-III. hó</w:t>
            </w:r>
          </w:p>
        </w:tc>
        <w:tc>
          <w:tcPr>
            <w:tcW w:w="198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FB39D6" w14:textId="77777777" w:rsidR="00E601EF" w:rsidRPr="00377D59" w:rsidRDefault="5E04AD7D" w:rsidP="5E04AD7D">
            <w:pPr>
              <w:widowControl w:val="0"/>
              <w:spacing w:after="0" w:line="240" w:lineRule="auto"/>
              <w:jc w:val="center"/>
              <w:rPr>
                <w:rFonts w:ascii="Times New Roman" w:eastAsia="Times New Roman" w:hAnsi="Times New Roman" w:cs="Times New Roman"/>
                <w:b/>
                <w:bCs/>
              </w:rPr>
            </w:pPr>
            <w:r w:rsidRPr="5E04AD7D">
              <w:rPr>
                <w:rFonts w:ascii="Times New Roman" w:eastAsia="Times New Roman" w:hAnsi="Times New Roman" w:cs="Times New Roman"/>
                <w:b/>
                <w:bCs/>
              </w:rPr>
              <w:t>Eltérés</w:t>
            </w:r>
          </w:p>
        </w:tc>
      </w:tr>
      <w:tr w:rsidR="00E601EF" w:rsidRPr="00377D59" w14:paraId="67C6C54B" w14:textId="77777777" w:rsidTr="28F9800E">
        <w:trPr>
          <w:trHeight w:val="340"/>
        </w:trPr>
        <w:tc>
          <w:tcPr>
            <w:tcW w:w="4248"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CCA367D" w14:textId="77777777" w:rsidR="00E601EF" w:rsidRPr="00377D59" w:rsidRDefault="00E601EF" w:rsidP="00A31F84">
            <w:pPr>
              <w:widowControl w:val="0"/>
              <w:spacing w:after="0" w:line="240" w:lineRule="auto"/>
              <w:rPr>
                <w:rFonts w:ascii="Times New Roman" w:eastAsia="Times New Roman" w:hAnsi="Times New Roman" w:cs="Times New Roman"/>
                <w:b/>
                <w:bCs/>
                <w:lang w:eastAsia="hu-HU"/>
              </w:rPr>
            </w:pPr>
          </w:p>
        </w:tc>
        <w:tc>
          <w:tcPr>
            <w:tcW w:w="127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99307A"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12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594B6"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9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986BC2B" w14:textId="77777777" w:rsidR="00E601EF" w:rsidRPr="00377D59" w:rsidRDefault="5E04AD7D" w:rsidP="5E04AD7D">
            <w:pPr>
              <w:widowControl w:val="0"/>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Mrd Ft</w:t>
            </w:r>
          </w:p>
        </w:tc>
        <w:tc>
          <w:tcPr>
            <w:tcW w:w="99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EDA458" w14:textId="77777777" w:rsidR="00E601EF" w:rsidRPr="00377D59" w:rsidRDefault="5E04AD7D" w:rsidP="5E04AD7D">
            <w:pPr>
              <w:widowControl w:val="0"/>
              <w:spacing w:after="0" w:line="240" w:lineRule="auto"/>
              <w:jc w:val="center"/>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w:t>
            </w:r>
          </w:p>
        </w:tc>
      </w:tr>
      <w:tr w:rsidR="00494D4B" w:rsidRPr="00377D59" w14:paraId="0F7FB8C0" w14:textId="77777777" w:rsidTr="28F9800E">
        <w:trPr>
          <w:trHeight w:val="340"/>
        </w:trPr>
        <w:tc>
          <w:tcPr>
            <w:tcW w:w="4248" w:type="dxa"/>
            <w:tcBorders>
              <w:top w:val="nil"/>
              <w:left w:val="single" w:sz="4" w:space="0" w:color="auto"/>
              <w:bottom w:val="single" w:sz="4" w:space="0" w:color="auto"/>
              <w:right w:val="single" w:sz="4" w:space="0" w:color="auto"/>
            </w:tcBorders>
            <w:noWrap/>
            <w:vAlign w:val="center"/>
            <w:hideMark/>
          </w:tcPr>
          <w:p w14:paraId="4F8BBBDE" w14:textId="77777777" w:rsidR="00494D4B" w:rsidRPr="00377D59" w:rsidRDefault="5E04AD7D" w:rsidP="5E04AD7D">
            <w:pPr>
              <w:widowControl w:val="0"/>
              <w:spacing w:after="0" w:line="240" w:lineRule="auto"/>
              <w:ind w:firstLine="67"/>
              <w:rPr>
                <w:rFonts w:ascii="Times New Roman" w:eastAsia="Times New Roman" w:hAnsi="Times New Roman" w:cs="Times New Roman"/>
                <w:b/>
                <w:bCs/>
                <w:lang w:eastAsia="hu-HU"/>
              </w:rPr>
            </w:pPr>
            <w:r w:rsidRPr="5E04AD7D">
              <w:rPr>
                <w:rFonts w:ascii="Times New Roman" w:eastAsia="Times New Roman" w:hAnsi="Times New Roman" w:cs="Times New Roman"/>
                <w:b/>
                <w:bCs/>
                <w:lang w:eastAsia="hu-HU"/>
              </w:rPr>
              <w:t>Pénzbeli ellátások</w:t>
            </w:r>
          </w:p>
        </w:tc>
        <w:tc>
          <w:tcPr>
            <w:tcW w:w="1276" w:type="dxa"/>
            <w:tcBorders>
              <w:top w:val="single" w:sz="4" w:space="0" w:color="auto"/>
              <w:left w:val="nil"/>
              <w:bottom w:val="single" w:sz="4" w:space="0" w:color="auto"/>
              <w:right w:val="single" w:sz="4" w:space="0" w:color="auto"/>
            </w:tcBorders>
            <w:vAlign w:val="center"/>
          </w:tcPr>
          <w:p w14:paraId="3EB30386" w14:textId="34472CFC" w:rsidR="00494D4B" w:rsidRPr="001074A1" w:rsidRDefault="28F9800E" w:rsidP="28F9800E">
            <w:pPr>
              <w:widowControl w:val="0"/>
              <w:spacing w:after="0"/>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328,7</w:t>
            </w:r>
          </w:p>
        </w:tc>
        <w:tc>
          <w:tcPr>
            <w:tcW w:w="1209" w:type="dxa"/>
            <w:tcBorders>
              <w:top w:val="single" w:sz="4" w:space="0" w:color="auto"/>
              <w:left w:val="nil"/>
              <w:bottom w:val="single" w:sz="4" w:space="0" w:color="auto"/>
              <w:right w:val="single" w:sz="4" w:space="0" w:color="auto"/>
            </w:tcBorders>
            <w:vAlign w:val="center"/>
          </w:tcPr>
          <w:p w14:paraId="749AF748" w14:textId="4299C69D" w:rsidR="00494D4B" w:rsidRPr="001074A1" w:rsidRDefault="28F9800E" w:rsidP="28F9800E">
            <w:pPr>
              <w:widowControl w:val="0"/>
              <w:spacing w:after="0"/>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367,3</w:t>
            </w:r>
          </w:p>
        </w:tc>
        <w:tc>
          <w:tcPr>
            <w:tcW w:w="992" w:type="dxa"/>
            <w:tcBorders>
              <w:top w:val="single" w:sz="4" w:space="0" w:color="auto"/>
              <w:left w:val="nil"/>
              <w:bottom w:val="single" w:sz="4" w:space="0" w:color="auto"/>
              <w:right w:val="single" w:sz="4" w:space="0" w:color="auto"/>
            </w:tcBorders>
            <w:noWrap/>
            <w:vAlign w:val="center"/>
          </w:tcPr>
          <w:p w14:paraId="780D698F" w14:textId="2433A1BF" w:rsidR="00494D4B" w:rsidRPr="001074A1" w:rsidRDefault="28F9800E" w:rsidP="28F9800E">
            <w:pPr>
              <w:widowControl w:val="0"/>
              <w:spacing w:after="0"/>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38,6</w:t>
            </w:r>
          </w:p>
        </w:tc>
        <w:tc>
          <w:tcPr>
            <w:tcW w:w="993" w:type="dxa"/>
            <w:tcBorders>
              <w:top w:val="single" w:sz="4" w:space="0" w:color="auto"/>
              <w:left w:val="nil"/>
              <w:bottom w:val="single" w:sz="4" w:space="0" w:color="auto"/>
              <w:right w:val="single" w:sz="4" w:space="0" w:color="auto"/>
            </w:tcBorders>
            <w:noWrap/>
            <w:vAlign w:val="center"/>
          </w:tcPr>
          <w:p w14:paraId="35977C13" w14:textId="036A316C" w:rsidR="00494D4B" w:rsidRPr="001074A1" w:rsidRDefault="28F9800E" w:rsidP="28F9800E">
            <w:pPr>
              <w:widowControl w:val="0"/>
              <w:spacing w:after="0"/>
              <w:jc w:val="right"/>
              <w:rPr>
                <w:rFonts w:ascii="Times New Roman" w:eastAsia="Times New Roman" w:hAnsi="Times New Roman" w:cs="Times New Roman"/>
                <w:b/>
                <w:bCs/>
                <w:lang w:eastAsia="hu-HU"/>
              </w:rPr>
            </w:pPr>
            <w:r w:rsidRPr="28F9800E">
              <w:rPr>
                <w:rFonts w:ascii="Times New Roman" w:eastAsia="Times New Roman" w:hAnsi="Times New Roman" w:cs="Times New Roman"/>
                <w:b/>
                <w:bCs/>
                <w:lang w:eastAsia="hu-HU"/>
              </w:rPr>
              <w:t>111,7</w:t>
            </w:r>
          </w:p>
        </w:tc>
      </w:tr>
      <w:tr w:rsidR="00494D4B" w:rsidRPr="00377D59" w14:paraId="07715518" w14:textId="77777777" w:rsidTr="28F9800E">
        <w:trPr>
          <w:trHeight w:val="284"/>
        </w:trPr>
        <w:tc>
          <w:tcPr>
            <w:tcW w:w="4248" w:type="dxa"/>
            <w:tcBorders>
              <w:top w:val="nil"/>
              <w:left w:val="single" w:sz="4" w:space="0" w:color="auto"/>
              <w:bottom w:val="single" w:sz="4" w:space="0" w:color="auto"/>
              <w:right w:val="single" w:sz="4" w:space="0" w:color="auto"/>
            </w:tcBorders>
            <w:noWrap/>
            <w:vAlign w:val="center"/>
            <w:hideMark/>
          </w:tcPr>
          <w:p w14:paraId="31DF5B0B" w14:textId="77777777" w:rsidR="00494D4B" w:rsidRPr="003D21B5" w:rsidRDefault="5E04AD7D" w:rsidP="5E04AD7D">
            <w:pPr>
              <w:widowControl w:val="0"/>
              <w:spacing w:after="0" w:line="240" w:lineRule="auto"/>
              <w:ind w:firstLine="285"/>
              <w:rPr>
                <w:rFonts w:ascii="Times New Roman" w:eastAsia="Times New Roman" w:hAnsi="Times New Roman" w:cs="Times New Roman"/>
                <w:i/>
                <w:iCs/>
                <w:lang w:eastAsia="hu-HU"/>
              </w:rPr>
            </w:pPr>
            <w:r w:rsidRPr="5E04AD7D">
              <w:rPr>
                <w:rFonts w:ascii="Times New Roman" w:eastAsia="Times New Roman" w:hAnsi="Times New Roman" w:cs="Times New Roman"/>
                <w:i/>
                <w:iCs/>
                <w:lang w:eastAsia="hu-HU"/>
              </w:rPr>
              <w:t>Ebből:</w:t>
            </w:r>
          </w:p>
        </w:tc>
        <w:tc>
          <w:tcPr>
            <w:tcW w:w="4470" w:type="dxa"/>
            <w:gridSpan w:val="4"/>
            <w:tcBorders>
              <w:top w:val="single" w:sz="4" w:space="0" w:color="auto"/>
              <w:left w:val="nil"/>
              <w:bottom w:val="single" w:sz="4" w:space="0" w:color="auto"/>
              <w:right w:val="single" w:sz="4" w:space="0" w:color="auto"/>
            </w:tcBorders>
            <w:vAlign w:val="center"/>
          </w:tcPr>
          <w:p w14:paraId="60B47ECC" w14:textId="007D4839" w:rsidR="00494D4B" w:rsidRPr="003D21B5" w:rsidRDefault="28F9800E" w:rsidP="28F9800E">
            <w:pPr>
              <w:widowControl w:val="0"/>
              <w:spacing w:after="0" w:line="240" w:lineRule="auto"/>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 </w:t>
            </w:r>
          </w:p>
        </w:tc>
      </w:tr>
      <w:tr w:rsidR="00494D4B" w:rsidRPr="00377D59" w14:paraId="72B9616A" w14:textId="77777777" w:rsidTr="28F9800E">
        <w:trPr>
          <w:trHeight w:val="340"/>
        </w:trPr>
        <w:tc>
          <w:tcPr>
            <w:tcW w:w="4248" w:type="dxa"/>
            <w:tcBorders>
              <w:top w:val="nil"/>
              <w:left w:val="single" w:sz="4" w:space="0" w:color="auto"/>
              <w:bottom w:val="single" w:sz="4" w:space="0" w:color="auto"/>
              <w:right w:val="single" w:sz="4" w:space="0" w:color="auto"/>
            </w:tcBorders>
            <w:noWrap/>
            <w:vAlign w:val="center"/>
            <w:hideMark/>
          </w:tcPr>
          <w:p w14:paraId="21DA2C4C" w14:textId="77777777" w:rsidR="00494D4B" w:rsidRPr="003D21B5" w:rsidRDefault="5E04AD7D" w:rsidP="5E04AD7D">
            <w:pPr>
              <w:widowControl w:val="0"/>
              <w:spacing w:after="0" w:line="240" w:lineRule="auto"/>
              <w:ind w:firstLine="67"/>
              <w:rPr>
                <w:rFonts w:ascii="Times New Roman" w:eastAsia="Times New Roman" w:hAnsi="Times New Roman" w:cs="Times New Roman"/>
                <w:lang w:eastAsia="hu-HU"/>
              </w:rPr>
            </w:pPr>
            <w:r w:rsidRPr="5E04AD7D">
              <w:rPr>
                <w:rFonts w:ascii="Times New Roman" w:eastAsia="Times New Roman" w:hAnsi="Times New Roman" w:cs="Times New Roman"/>
                <w:lang w:eastAsia="hu-HU"/>
              </w:rPr>
              <w:t>Rokkantsági, rehabilitációs ellátások</w:t>
            </w:r>
          </w:p>
        </w:tc>
        <w:tc>
          <w:tcPr>
            <w:tcW w:w="1276" w:type="dxa"/>
            <w:tcBorders>
              <w:top w:val="single" w:sz="4" w:space="0" w:color="auto"/>
              <w:left w:val="nil"/>
              <w:bottom w:val="single" w:sz="4" w:space="0" w:color="auto"/>
              <w:right w:val="single" w:sz="4" w:space="0" w:color="auto"/>
            </w:tcBorders>
            <w:noWrap/>
            <w:vAlign w:val="center"/>
          </w:tcPr>
          <w:p w14:paraId="49E22A63" w14:textId="0DFB9DCB"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126,9</w:t>
            </w:r>
          </w:p>
        </w:tc>
        <w:tc>
          <w:tcPr>
            <w:tcW w:w="1209" w:type="dxa"/>
            <w:tcBorders>
              <w:top w:val="single" w:sz="4" w:space="0" w:color="auto"/>
              <w:left w:val="nil"/>
              <w:bottom w:val="single" w:sz="4" w:space="0" w:color="auto"/>
              <w:right w:val="single" w:sz="4" w:space="0" w:color="auto"/>
            </w:tcBorders>
            <w:noWrap/>
            <w:vAlign w:val="center"/>
          </w:tcPr>
          <w:p w14:paraId="0480FC73" w14:textId="2D37840B"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145,0</w:t>
            </w:r>
          </w:p>
        </w:tc>
        <w:tc>
          <w:tcPr>
            <w:tcW w:w="992" w:type="dxa"/>
            <w:tcBorders>
              <w:top w:val="single" w:sz="4" w:space="0" w:color="auto"/>
              <w:left w:val="nil"/>
              <w:bottom w:val="single" w:sz="4" w:space="0" w:color="auto"/>
              <w:right w:val="single" w:sz="4" w:space="0" w:color="auto"/>
            </w:tcBorders>
            <w:noWrap/>
            <w:vAlign w:val="center"/>
          </w:tcPr>
          <w:p w14:paraId="63616B24" w14:textId="4407950B"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18,1</w:t>
            </w:r>
          </w:p>
        </w:tc>
        <w:tc>
          <w:tcPr>
            <w:tcW w:w="993" w:type="dxa"/>
            <w:tcBorders>
              <w:top w:val="single" w:sz="4" w:space="0" w:color="auto"/>
              <w:left w:val="nil"/>
              <w:bottom w:val="single" w:sz="4" w:space="0" w:color="auto"/>
              <w:right w:val="single" w:sz="4" w:space="0" w:color="auto"/>
            </w:tcBorders>
            <w:noWrap/>
            <w:vAlign w:val="center"/>
          </w:tcPr>
          <w:p w14:paraId="2B583A17" w14:textId="61E053C9"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114,3</w:t>
            </w:r>
          </w:p>
        </w:tc>
      </w:tr>
      <w:tr w:rsidR="00494D4B" w:rsidRPr="00377D59" w14:paraId="778FD915" w14:textId="77777777" w:rsidTr="28F9800E">
        <w:trPr>
          <w:trHeight w:val="340"/>
        </w:trPr>
        <w:tc>
          <w:tcPr>
            <w:tcW w:w="4248" w:type="dxa"/>
            <w:tcBorders>
              <w:top w:val="nil"/>
              <w:left w:val="single" w:sz="4" w:space="0" w:color="auto"/>
              <w:bottom w:val="single" w:sz="4" w:space="0" w:color="auto"/>
              <w:right w:val="single" w:sz="4" w:space="0" w:color="auto"/>
            </w:tcBorders>
            <w:noWrap/>
            <w:vAlign w:val="center"/>
            <w:hideMark/>
          </w:tcPr>
          <w:p w14:paraId="4CDB1046" w14:textId="4891E4FD" w:rsidR="00494D4B" w:rsidRPr="003D21B5" w:rsidRDefault="5E04AD7D" w:rsidP="5E04AD7D">
            <w:pPr>
              <w:widowControl w:val="0"/>
              <w:spacing w:after="0" w:line="240" w:lineRule="auto"/>
              <w:ind w:firstLine="67"/>
              <w:rPr>
                <w:rFonts w:ascii="Times New Roman" w:eastAsia="Times New Roman" w:hAnsi="Times New Roman" w:cs="Times New Roman"/>
                <w:lang w:eastAsia="hu-HU"/>
              </w:rPr>
            </w:pPr>
            <w:r w:rsidRPr="5E04AD7D">
              <w:rPr>
                <w:rFonts w:ascii="Times New Roman" w:eastAsia="Times New Roman" w:hAnsi="Times New Roman" w:cs="Times New Roman"/>
                <w:lang w:eastAsia="hu-HU"/>
              </w:rPr>
              <w:t>Gyermekgondozási díj és örökbefogadói díj</w:t>
            </w:r>
          </w:p>
        </w:tc>
        <w:tc>
          <w:tcPr>
            <w:tcW w:w="1276" w:type="dxa"/>
            <w:tcBorders>
              <w:top w:val="single" w:sz="4" w:space="0" w:color="auto"/>
              <w:left w:val="nil"/>
              <w:bottom w:val="single" w:sz="4" w:space="0" w:color="auto"/>
              <w:right w:val="single" w:sz="4" w:space="0" w:color="auto"/>
            </w:tcBorders>
            <w:noWrap/>
            <w:vAlign w:val="center"/>
          </w:tcPr>
          <w:p w14:paraId="0B0C3582" w14:textId="794E72E8"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98,1</w:t>
            </w:r>
          </w:p>
        </w:tc>
        <w:tc>
          <w:tcPr>
            <w:tcW w:w="1209" w:type="dxa"/>
            <w:tcBorders>
              <w:top w:val="single" w:sz="4" w:space="0" w:color="auto"/>
              <w:left w:val="nil"/>
              <w:bottom w:val="single" w:sz="4" w:space="0" w:color="auto"/>
              <w:right w:val="single" w:sz="4" w:space="0" w:color="auto"/>
            </w:tcBorders>
            <w:noWrap/>
            <w:vAlign w:val="center"/>
          </w:tcPr>
          <w:p w14:paraId="6E6D7B2A" w14:textId="04483C11"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101,9</w:t>
            </w:r>
          </w:p>
        </w:tc>
        <w:tc>
          <w:tcPr>
            <w:tcW w:w="992" w:type="dxa"/>
            <w:tcBorders>
              <w:top w:val="single" w:sz="4" w:space="0" w:color="auto"/>
              <w:left w:val="nil"/>
              <w:bottom w:val="single" w:sz="4" w:space="0" w:color="auto"/>
              <w:right w:val="single" w:sz="4" w:space="0" w:color="auto"/>
            </w:tcBorders>
            <w:noWrap/>
            <w:vAlign w:val="center"/>
          </w:tcPr>
          <w:p w14:paraId="791AEA46" w14:textId="55299D32"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3,8</w:t>
            </w:r>
          </w:p>
        </w:tc>
        <w:tc>
          <w:tcPr>
            <w:tcW w:w="993" w:type="dxa"/>
            <w:tcBorders>
              <w:top w:val="single" w:sz="4" w:space="0" w:color="auto"/>
              <w:left w:val="nil"/>
              <w:bottom w:val="single" w:sz="4" w:space="0" w:color="auto"/>
              <w:right w:val="single" w:sz="4" w:space="0" w:color="auto"/>
            </w:tcBorders>
            <w:noWrap/>
            <w:vAlign w:val="center"/>
          </w:tcPr>
          <w:p w14:paraId="189A6E8D" w14:textId="796E8342"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103,9</w:t>
            </w:r>
          </w:p>
        </w:tc>
      </w:tr>
      <w:tr w:rsidR="00494D4B" w:rsidRPr="00377D59" w14:paraId="7D62EFFD" w14:textId="77777777" w:rsidTr="28F9800E">
        <w:trPr>
          <w:trHeight w:val="34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87EDDE" w14:textId="77777777" w:rsidR="00494D4B" w:rsidRPr="003D21B5" w:rsidRDefault="5E04AD7D" w:rsidP="5E04AD7D">
            <w:pPr>
              <w:widowControl w:val="0"/>
              <w:spacing w:after="0" w:line="240" w:lineRule="auto"/>
              <w:ind w:firstLine="67"/>
              <w:rPr>
                <w:rFonts w:ascii="Times New Roman" w:eastAsia="Times New Roman" w:hAnsi="Times New Roman" w:cs="Times New Roman"/>
                <w:lang w:eastAsia="hu-HU"/>
              </w:rPr>
            </w:pPr>
            <w:r w:rsidRPr="5E04AD7D">
              <w:rPr>
                <w:rFonts w:ascii="Times New Roman" w:eastAsia="Times New Roman" w:hAnsi="Times New Roman" w:cs="Times New Roman"/>
                <w:lang w:eastAsia="hu-HU"/>
              </w:rPr>
              <w:t>Táppénz</w:t>
            </w:r>
          </w:p>
        </w:tc>
        <w:tc>
          <w:tcPr>
            <w:tcW w:w="1276" w:type="dxa"/>
            <w:tcBorders>
              <w:top w:val="single" w:sz="4" w:space="0" w:color="auto"/>
              <w:left w:val="nil"/>
              <w:bottom w:val="single" w:sz="4" w:space="0" w:color="auto"/>
              <w:right w:val="single" w:sz="4" w:space="0" w:color="auto"/>
            </w:tcBorders>
            <w:noWrap/>
            <w:vAlign w:val="center"/>
          </w:tcPr>
          <w:p w14:paraId="4DBD4593" w14:textId="1CEE411A"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59,8</w:t>
            </w:r>
          </w:p>
        </w:tc>
        <w:tc>
          <w:tcPr>
            <w:tcW w:w="1209" w:type="dxa"/>
            <w:tcBorders>
              <w:top w:val="single" w:sz="4" w:space="0" w:color="auto"/>
              <w:left w:val="nil"/>
              <w:bottom w:val="single" w:sz="4" w:space="0" w:color="auto"/>
              <w:right w:val="single" w:sz="4" w:space="0" w:color="auto"/>
            </w:tcBorders>
            <w:noWrap/>
            <w:vAlign w:val="center"/>
          </w:tcPr>
          <w:p w14:paraId="7122EFC4" w14:textId="4B788371"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74,4</w:t>
            </w:r>
          </w:p>
        </w:tc>
        <w:tc>
          <w:tcPr>
            <w:tcW w:w="992" w:type="dxa"/>
            <w:tcBorders>
              <w:top w:val="single" w:sz="4" w:space="0" w:color="auto"/>
              <w:left w:val="nil"/>
              <w:bottom w:val="single" w:sz="4" w:space="0" w:color="auto"/>
              <w:right w:val="single" w:sz="4" w:space="0" w:color="auto"/>
            </w:tcBorders>
            <w:noWrap/>
            <w:vAlign w:val="center"/>
          </w:tcPr>
          <w:p w14:paraId="64552A76" w14:textId="00DF3614"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14,6</w:t>
            </w:r>
          </w:p>
        </w:tc>
        <w:tc>
          <w:tcPr>
            <w:tcW w:w="993" w:type="dxa"/>
            <w:tcBorders>
              <w:top w:val="single" w:sz="4" w:space="0" w:color="auto"/>
              <w:left w:val="nil"/>
              <w:bottom w:val="single" w:sz="4" w:space="0" w:color="auto"/>
              <w:right w:val="single" w:sz="4" w:space="0" w:color="auto"/>
            </w:tcBorders>
            <w:noWrap/>
            <w:vAlign w:val="center"/>
          </w:tcPr>
          <w:p w14:paraId="324ADF3D" w14:textId="4ED3A2AD" w:rsidR="00494D4B" w:rsidRPr="003D21B5" w:rsidRDefault="28F9800E" w:rsidP="28F9800E">
            <w:pPr>
              <w:widowControl w:val="0"/>
              <w:spacing w:after="0"/>
              <w:jc w:val="right"/>
              <w:rPr>
                <w:rFonts w:ascii="Times New Roman" w:eastAsia="Times New Roman" w:hAnsi="Times New Roman" w:cs="Times New Roman"/>
                <w:lang w:eastAsia="hu-HU"/>
              </w:rPr>
            </w:pPr>
            <w:r w:rsidRPr="28F9800E">
              <w:rPr>
                <w:rFonts w:ascii="Times New Roman" w:eastAsia="Times New Roman" w:hAnsi="Times New Roman" w:cs="Times New Roman"/>
                <w:lang w:eastAsia="hu-HU"/>
              </w:rPr>
              <w:t>124,4</w:t>
            </w:r>
          </w:p>
        </w:tc>
      </w:tr>
    </w:tbl>
    <w:p w14:paraId="7F2895FE" w14:textId="24B0BEB5" w:rsidR="001074A1" w:rsidRDefault="28F9800E" w:rsidP="28F9800E">
      <w:pPr>
        <w:widowControl w:val="0"/>
        <w:spacing w:before="240"/>
        <w:jc w:val="both"/>
        <w:rPr>
          <w:rFonts w:ascii="Times New Roman" w:eastAsia="Times New Roman" w:hAnsi="Times New Roman" w:cs="Times New Roman"/>
          <w:sz w:val="26"/>
          <w:szCs w:val="26"/>
        </w:rPr>
      </w:pPr>
      <w:bookmarkStart w:id="5" w:name="_Hlk224563843"/>
      <w:r w:rsidRPr="28F9800E">
        <w:rPr>
          <w:rFonts w:ascii="Times New Roman" w:eastAsia="Times New Roman" w:hAnsi="Times New Roman" w:cs="Times New Roman"/>
          <w:sz w:val="26"/>
          <w:szCs w:val="26"/>
        </w:rPr>
        <w:t xml:space="preserve">A </w:t>
      </w:r>
      <w:r w:rsidRPr="28F9800E">
        <w:rPr>
          <w:rFonts w:ascii="Times New Roman" w:eastAsia="Times New Roman" w:hAnsi="Times New Roman" w:cs="Times New Roman"/>
          <w:b/>
          <w:bCs/>
          <w:sz w:val="26"/>
          <w:szCs w:val="26"/>
        </w:rPr>
        <w:t>gyógyító-megelőző ellátásokra</w:t>
      </w:r>
      <w:r w:rsidRPr="28F9800E">
        <w:rPr>
          <w:rFonts w:ascii="Times New Roman" w:eastAsia="Times New Roman" w:hAnsi="Times New Roman" w:cs="Times New Roman"/>
          <w:sz w:val="26"/>
          <w:szCs w:val="26"/>
        </w:rPr>
        <w:t xml:space="preserve"> fordított kiadás 2026. március végéig 798,3 milliárd forintot tett ki, a 2025 első három hónapjában felmerült 758,</w:t>
      </w:r>
      <w:r w:rsidR="00CC7EB9">
        <w:rPr>
          <w:rFonts w:ascii="Times New Roman" w:eastAsia="Times New Roman" w:hAnsi="Times New Roman" w:cs="Times New Roman"/>
          <w:sz w:val="26"/>
          <w:szCs w:val="26"/>
        </w:rPr>
        <w:t>9</w:t>
      </w:r>
      <w:r w:rsidRPr="28F9800E">
        <w:rPr>
          <w:rFonts w:ascii="Times New Roman" w:eastAsia="Times New Roman" w:hAnsi="Times New Roman" w:cs="Times New Roman"/>
          <w:sz w:val="26"/>
          <w:szCs w:val="26"/>
        </w:rPr>
        <w:t> milliárd forint összegű kiadással szemben.</w:t>
      </w:r>
    </w:p>
    <w:bookmarkEnd w:id="5"/>
    <w:p w14:paraId="69E4940B" w14:textId="21826698" w:rsidR="001074A1" w:rsidRPr="00F1519E" w:rsidRDefault="5E04AD7D" w:rsidP="5E04AD7D">
      <w:pPr>
        <w:jc w:val="both"/>
        <w:rPr>
          <w:rFonts w:ascii="Times New Roman" w:eastAsia="Times New Roman" w:hAnsi="Times New Roman" w:cs="Times New Roman"/>
          <w:sz w:val="26"/>
          <w:szCs w:val="26"/>
        </w:rPr>
      </w:pPr>
      <w:r w:rsidRPr="00F1519E">
        <w:rPr>
          <w:rFonts w:ascii="Times New Roman" w:eastAsia="Times New Roman" w:hAnsi="Times New Roman" w:cs="Times New Roman"/>
          <w:b/>
          <w:bCs/>
          <w:sz w:val="26"/>
          <w:szCs w:val="26"/>
        </w:rPr>
        <w:t>Gyógyszertámogatásra</w:t>
      </w:r>
      <w:r w:rsidRPr="00F1519E">
        <w:rPr>
          <w:rFonts w:ascii="Times New Roman" w:eastAsia="Times New Roman" w:hAnsi="Times New Roman" w:cs="Times New Roman"/>
          <w:sz w:val="26"/>
          <w:szCs w:val="26"/>
        </w:rPr>
        <w:t xml:space="preserve"> 2026 március végéig 152,1 milliárd forint került kifizetésre, amely 11,6 milliárd forinttal magasabb az előző év azonos időszakában kifizetett összegnél.</w:t>
      </w:r>
    </w:p>
    <w:p w14:paraId="7B768C24" w14:textId="4F783F64" w:rsidR="00B155FE" w:rsidRPr="004966FE" w:rsidRDefault="5E04AD7D" w:rsidP="5E04AD7D">
      <w:pPr>
        <w:keepNext/>
        <w:pageBreakBefore/>
        <w:numPr>
          <w:ilvl w:val="0"/>
          <w:numId w:val="3"/>
        </w:numPr>
        <w:spacing w:after="120" w:line="240" w:lineRule="auto"/>
        <w:ind w:left="714" w:hanging="357"/>
        <w:jc w:val="both"/>
        <w:outlineLvl w:val="2"/>
        <w:rPr>
          <w:rFonts w:ascii="Times New Roman" w:eastAsia="Times New Roman" w:hAnsi="Times New Roman" w:cs="Times New Roman"/>
          <w:b/>
          <w:bCs/>
          <w:smallCaps/>
          <w:sz w:val="28"/>
          <w:szCs w:val="28"/>
          <w:lang w:eastAsia="hu-HU"/>
        </w:rPr>
      </w:pPr>
      <w:r w:rsidRPr="5E04AD7D">
        <w:rPr>
          <w:rFonts w:ascii="Times New Roman" w:eastAsia="Times New Roman" w:hAnsi="Times New Roman" w:cs="Times New Roman"/>
          <w:b/>
          <w:bCs/>
          <w:smallCaps/>
          <w:sz w:val="28"/>
          <w:szCs w:val="28"/>
          <w:lang w:eastAsia="hu-HU"/>
        </w:rPr>
        <w:lastRenderedPageBreak/>
        <w:t>A költségvetési szervek és fejezeti kezelésű előirányzatok alakulása</w:t>
      </w:r>
    </w:p>
    <w:p w14:paraId="41120C33" w14:textId="74C795A6" w:rsidR="00484365" w:rsidRPr="00145F79" w:rsidRDefault="5E04AD7D" w:rsidP="5E04AD7D">
      <w:pPr>
        <w:spacing w:before="240"/>
        <w:jc w:val="both"/>
        <w:rPr>
          <w:rFonts w:ascii="Times New Roman" w:eastAsia="Times New Roman" w:hAnsi="Times New Roman" w:cs="Times New Roman"/>
          <w:color w:val="000000" w:themeColor="text1"/>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költségvetési szervek bevételei</w:t>
      </w:r>
      <w:r w:rsidRPr="5E04AD7D">
        <w:rPr>
          <w:rFonts w:ascii="Times New Roman" w:eastAsia="Times New Roman" w:hAnsi="Times New Roman" w:cs="Times New Roman"/>
          <w:sz w:val="26"/>
          <w:szCs w:val="26"/>
          <w:lang w:eastAsia="hu-HU"/>
        </w:rPr>
        <w:t xml:space="preserve"> </w:t>
      </w:r>
      <w:r w:rsidR="003F0619" w:rsidRPr="003F0619">
        <w:rPr>
          <w:rFonts w:ascii="Times New Roman" w:eastAsia="Times New Roman" w:hAnsi="Times New Roman" w:cs="Times New Roman"/>
          <w:sz w:val="26"/>
          <w:szCs w:val="26"/>
          <w:lang w:eastAsia="hu-HU"/>
        </w:rPr>
        <w:t>2026 első három hónapjában 756,2 milliárd forintot tettek ki, amely 14,6%-kal magasabb az előző év azonos időszakának bevételeihez képest. Az intézmények bevételei közül 432,6 milliárd forintot tett ki a Nemzeti Egészségbiztosítási Alapkezelő által az egészségügyi intézményeknek utalt támogatás</w:t>
      </w:r>
      <w:r w:rsidRPr="5E04AD7D">
        <w:rPr>
          <w:rFonts w:ascii="Times New Roman" w:eastAsia="Times New Roman" w:hAnsi="Times New Roman" w:cs="Times New Roman"/>
          <w:color w:val="000000" w:themeColor="text1"/>
          <w:sz w:val="26"/>
          <w:szCs w:val="26"/>
          <w:lang w:eastAsia="hu-HU"/>
        </w:rPr>
        <w:t>.</w:t>
      </w:r>
    </w:p>
    <w:p w14:paraId="6C6ADA97" w14:textId="60A17445" w:rsidR="00484365" w:rsidRPr="007B6DF2" w:rsidRDefault="5E04AD7D" w:rsidP="5E04AD7D">
      <w:pPr>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szakmai fejezeti kezelésű előirányzatok bevételei</w:t>
      </w:r>
      <w:r w:rsidRPr="5E04AD7D">
        <w:rPr>
          <w:rFonts w:ascii="Times New Roman" w:eastAsia="Times New Roman" w:hAnsi="Times New Roman" w:cs="Times New Roman"/>
          <w:sz w:val="26"/>
          <w:szCs w:val="26"/>
          <w:lang w:eastAsia="hu-HU"/>
        </w:rPr>
        <w:t xml:space="preserve"> </w:t>
      </w:r>
      <w:r w:rsidR="003F0619" w:rsidRPr="003F0619">
        <w:rPr>
          <w:rFonts w:ascii="Times New Roman" w:eastAsia="Times New Roman" w:hAnsi="Times New Roman" w:cs="Times New Roman"/>
          <w:sz w:val="26"/>
          <w:szCs w:val="26"/>
          <w:lang w:eastAsia="hu-HU"/>
        </w:rPr>
        <w:t>2026 első három hónapjában 205,7</w:t>
      </w:r>
      <w:r w:rsidR="003F0619">
        <w:rPr>
          <w:rFonts w:ascii="Times New Roman" w:eastAsia="Times New Roman" w:hAnsi="Times New Roman" w:cs="Times New Roman"/>
          <w:sz w:val="26"/>
          <w:szCs w:val="26"/>
          <w:lang w:eastAsia="hu-HU"/>
        </w:rPr>
        <w:t> </w:t>
      </w:r>
      <w:r w:rsidR="003F0619" w:rsidRPr="003F0619">
        <w:rPr>
          <w:rFonts w:ascii="Times New Roman" w:eastAsia="Times New Roman" w:hAnsi="Times New Roman" w:cs="Times New Roman"/>
          <w:sz w:val="26"/>
          <w:szCs w:val="26"/>
          <w:lang w:eastAsia="hu-HU"/>
        </w:rPr>
        <w:t>milliárd forintot tettek ki, mely több mint kétszerese az előző év azonos időszakának bevételéhez képest. A bevételek jelentős részét az „Alapok alapja GINOP pénzügyi eszközök” törvényi sorra befolyt összegek teszik ki, melyek nem uniós bevételként jóváírt tételek</w:t>
      </w:r>
      <w:r w:rsidRPr="5E04AD7D">
        <w:rPr>
          <w:rFonts w:ascii="Times New Roman" w:eastAsia="Times New Roman" w:hAnsi="Times New Roman" w:cs="Times New Roman"/>
          <w:sz w:val="26"/>
          <w:szCs w:val="26"/>
          <w:lang w:eastAsia="hu-HU"/>
        </w:rPr>
        <w:t>.</w:t>
      </w:r>
    </w:p>
    <w:p w14:paraId="5A50B96E" w14:textId="6C7C4392" w:rsidR="00484365" w:rsidRPr="004966FE" w:rsidRDefault="5E04AD7D" w:rsidP="5E04AD7D">
      <w:pPr>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hAnsi="Times New Roman" w:cs="Times New Roman"/>
          <w:sz w:val="26"/>
          <w:szCs w:val="26"/>
          <w:lang w:eastAsia="hu-HU"/>
        </w:rPr>
        <w:t xml:space="preserve">2026. </w:t>
      </w:r>
      <w:r w:rsidR="003F0619" w:rsidRPr="003F0619">
        <w:rPr>
          <w:rFonts w:ascii="Times New Roman" w:hAnsi="Times New Roman" w:cs="Times New Roman"/>
          <w:sz w:val="26"/>
          <w:szCs w:val="26"/>
          <w:lang w:eastAsia="hu-HU"/>
        </w:rPr>
        <w:t>év első háromhavi, 961,9 milliárd forint összegű bevételek megoszlását a</w:t>
      </w:r>
      <w:r w:rsidR="003F0619">
        <w:rPr>
          <w:rFonts w:ascii="Times New Roman" w:hAnsi="Times New Roman" w:cs="Times New Roman"/>
          <w:sz w:val="26"/>
          <w:szCs w:val="26"/>
          <w:lang w:eastAsia="hu-HU"/>
        </w:rPr>
        <w:t> </w:t>
      </w:r>
      <w:r w:rsidR="003F0619" w:rsidRPr="003F0619">
        <w:rPr>
          <w:rFonts w:ascii="Times New Roman" w:hAnsi="Times New Roman" w:cs="Times New Roman"/>
          <w:sz w:val="26"/>
          <w:szCs w:val="26"/>
          <w:lang w:eastAsia="hu-HU"/>
        </w:rPr>
        <w:t>következő grafikon szemlélteti</w:t>
      </w:r>
      <w:r w:rsidRPr="5E04AD7D">
        <w:rPr>
          <w:rFonts w:ascii="Times New Roman" w:eastAsia="Times New Roman" w:hAnsi="Times New Roman" w:cs="Times New Roman"/>
          <w:sz w:val="26"/>
          <w:szCs w:val="26"/>
          <w:lang w:eastAsia="hu-HU"/>
        </w:rPr>
        <w:t>:</w:t>
      </w:r>
    </w:p>
    <w:p w14:paraId="576D18BB" w14:textId="3DE078C7" w:rsidR="00B056CC" w:rsidRPr="00377D59" w:rsidRDefault="00902461" w:rsidP="00C2238F">
      <w:pPr>
        <w:spacing w:before="240" w:after="120"/>
        <w:jc w:val="center"/>
        <w:rPr>
          <w:rFonts w:ascii="Times New Roman" w:eastAsia="Times New Roman" w:hAnsi="Times New Roman" w:cs="Times New Roman"/>
          <w:b/>
          <w:sz w:val="26"/>
          <w:szCs w:val="26"/>
        </w:rPr>
      </w:pPr>
      <w:r w:rsidRPr="00902461">
        <w:rPr>
          <w:rFonts w:ascii="Times New Roman" w:eastAsia="Times New Roman" w:hAnsi="Times New Roman" w:cs="Times New Roman"/>
          <w:b/>
          <w:noProof/>
          <w:sz w:val="26"/>
          <w:szCs w:val="26"/>
        </w:rPr>
        <w:drawing>
          <wp:inline distT="0" distB="0" distL="0" distR="0" wp14:anchorId="678644BB" wp14:editId="030017BD">
            <wp:extent cx="5940425" cy="3150870"/>
            <wp:effectExtent l="0" t="0" r="3175" b="0"/>
            <wp:docPr id="1742252718" name="Kép 1" descr="A képen szöveg, képernyőkép, sor, Párhuzamo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52718" name="Kép 1" descr="A képen szöveg, képernyőkép, sor, Párhuzamos látható&#10;&#10;Előfordulhat, hogy a mesterséges intelligencia által létrehozott tartalom helytelen."/>
                    <pic:cNvPicPr/>
                  </pic:nvPicPr>
                  <pic:blipFill>
                    <a:blip r:embed="rId24"/>
                    <a:stretch>
                      <a:fillRect/>
                    </a:stretch>
                  </pic:blipFill>
                  <pic:spPr>
                    <a:xfrm>
                      <a:off x="0" y="0"/>
                      <a:ext cx="5940425" cy="3150870"/>
                    </a:xfrm>
                    <a:prstGeom prst="rect">
                      <a:avLst/>
                    </a:prstGeom>
                  </pic:spPr>
                </pic:pic>
              </a:graphicData>
            </a:graphic>
          </wp:inline>
        </w:drawing>
      </w:r>
    </w:p>
    <w:p w14:paraId="1D98D1A9" w14:textId="1A67BA14" w:rsidR="00484365" w:rsidRPr="00E56F21" w:rsidRDefault="5E04AD7D" w:rsidP="5E04AD7D">
      <w:pPr>
        <w:spacing w:before="240"/>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költségvetési szervek kiadásai</w:t>
      </w:r>
      <w:r w:rsidRPr="5E04AD7D">
        <w:rPr>
          <w:rFonts w:ascii="Times New Roman" w:eastAsia="Times New Roman" w:hAnsi="Times New Roman" w:cs="Times New Roman"/>
          <w:sz w:val="26"/>
          <w:szCs w:val="26"/>
          <w:lang w:eastAsia="hu-HU"/>
        </w:rPr>
        <w:t xml:space="preserve"> </w:t>
      </w:r>
      <w:r w:rsidR="00947C58" w:rsidRPr="00947C58">
        <w:rPr>
          <w:rFonts w:ascii="Times New Roman" w:eastAsia="Times New Roman" w:hAnsi="Times New Roman" w:cs="Times New Roman"/>
          <w:sz w:val="26"/>
          <w:szCs w:val="26"/>
          <w:lang w:eastAsia="hu-HU"/>
        </w:rPr>
        <w:t>mérlegsoron 2026 első három hónapjában 2783,0</w:t>
      </w:r>
      <w:r w:rsidR="00947C58">
        <w:rPr>
          <w:rFonts w:ascii="Times New Roman" w:eastAsia="Times New Roman" w:hAnsi="Times New Roman" w:cs="Times New Roman"/>
          <w:sz w:val="26"/>
          <w:szCs w:val="26"/>
          <w:lang w:eastAsia="hu-HU"/>
        </w:rPr>
        <w:t> </w:t>
      </w:r>
      <w:r w:rsidR="00947C58" w:rsidRPr="00947C58">
        <w:rPr>
          <w:rFonts w:ascii="Times New Roman" w:eastAsia="Times New Roman" w:hAnsi="Times New Roman" w:cs="Times New Roman"/>
          <w:sz w:val="26"/>
          <w:szCs w:val="26"/>
          <w:lang w:eastAsia="hu-HU"/>
        </w:rPr>
        <w:t>milliárd forint kiadás teljesült, mely 30,4%-kal magasabb az előző év azonos időszakának kiadásaihoz képest. A kiadásból 1941,0 milliárd forint a személyi juttatásokra és munkaadókat terhelő járulékokra kifizetett összeg. Ez tartalmazza a fegyveres és a</w:t>
      </w:r>
      <w:r w:rsidR="00947C58">
        <w:rPr>
          <w:rFonts w:ascii="Times New Roman" w:eastAsia="Times New Roman" w:hAnsi="Times New Roman" w:cs="Times New Roman"/>
          <w:sz w:val="26"/>
          <w:szCs w:val="26"/>
          <w:lang w:eastAsia="hu-HU"/>
        </w:rPr>
        <w:t> </w:t>
      </w:r>
      <w:r w:rsidR="00947C58" w:rsidRPr="00947C58">
        <w:rPr>
          <w:rFonts w:ascii="Times New Roman" w:eastAsia="Times New Roman" w:hAnsi="Times New Roman" w:cs="Times New Roman"/>
          <w:sz w:val="26"/>
          <w:szCs w:val="26"/>
          <w:lang w:eastAsia="hu-HU"/>
        </w:rPr>
        <w:t>rendvédelmi feladatokat ellátó szervek részére kifizetett 2026. évi szolgálati juttatás („fegyverpénz”) összegét is</w:t>
      </w:r>
      <w:r w:rsidRPr="5E04AD7D">
        <w:rPr>
          <w:rFonts w:ascii="Times New Roman" w:eastAsia="Times New Roman" w:hAnsi="Times New Roman" w:cs="Times New Roman"/>
          <w:sz w:val="26"/>
          <w:szCs w:val="26"/>
          <w:lang w:eastAsia="hu-HU"/>
        </w:rPr>
        <w:t>.</w:t>
      </w:r>
    </w:p>
    <w:p w14:paraId="0AB00615" w14:textId="58A885D6" w:rsidR="00484365" w:rsidRPr="00947C58" w:rsidRDefault="5E04AD7D" w:rsidP="5E04AD7D">
      <w:pPr>
        <w:spacing w:before="240"/>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w:t>
      </w:r>
      <w:r w:rsidRPr="5E04AD7D">
        <w:rPr>
          <w:rFonts w:ascii="Times New Roman" w:eastAsia="Times New Roman" w:hAnsi="Times New Roman" w:cs="Times New Roman"/>
          <w:b/>
          <w:bCs/>
          <w:sz w:val="26"/>
          <w:szCs w:val="26"/>
          <w:lang w:eastAsia="hu-HU"/>
        </w:rPr>
        <w:t>szakmai fejezeti kezelésű előirányzatok kiadásai</w:t>
      </w:r>
      <w:r w:rsidRPr="5E04AD7D">
        <w:rPr>
          <w:rFonts w:ascii="Times New Roman" w:eastAsia="Times New Roman" w:hAnsi="Times New Roman" w:cs="Times New Roman"/>
          <w:sz w:val="26"/>
          <w:szCs w:val="26"/>
          <w:lang w:eastAsia="hu-HU"/>
        </w:rPr>
        <w:t xml:space="preserve"> </w:t>
      </w:r>
      <w:r w:rsidR="00947C58" w:rsidRPr="00947C58">
        <w:rPr>
          <w:rFonts w:ascii="Times New Roman" w:eastAsia="Times New Roman" w:hAnsi="Times New Roman" w:cs="Times New Roman"/>
          <w:sz w:val="26"/>
          <w:szCs w:val="26"/>
          <w:lang w:eastAsia="hu-HU"/>
        </w:rPr>
        <w:t>mérlegsoron 2026 első három hónapjában 2709,9 milliárd forint kiadás teljesült, mely több mint kétszerese, mint az előző év azonos időszakának kiadása. Ezen időszak teljesítéséből az alábbi kiadások emelhetők ki</w:t>
      </w:r>
      <w:r w:rsidRPr="5E04AD7D">
        <w:rPr>
          <w:rFonts w:ascii="Times New Roman" w:eastAsia="Times New Roman" w:hAnsi="Times New Roman" w:cs="Times New Roman"/>
          <w:sz w:val="26"/>
          <w:szCs w:val="26"/>
          <w:lang w:eastAsia="hu-HU"/>
        </w:rPr>
        <w:t>:</w:t>
      </w:r>
    </w:p>
    <w:p w14:paraId="1DE60443" w14:textId="77777777" w:rsidR="00484365" w:rsidRPr="00947C58" w:rsidRDefault="00484365" w:rsidP="00484365">
      <w:pPr>
        <w:jc w:val="both"/>
        <w:rPr>
          <w:rFonts w:ascii="Times New Roman" w:eastAsia="Times New Roman" w:hAnsi="Times New Roman" w:cs="Times New Roman"/>
          <w:sz w:val="26"/>
          <w:szCs w:val="26"/>
          <w:lang w:eastAsia="hu-HU"/>
        </w:rPr>
      </w:pPr>
      <w:r w:rsidRPr="00947C58">
        <w:rPr>
          <w:rFonts w:ascii="Times New Roman" w:eastAsia="Times New Roman" w:hAnsi="Times New Roman" w:cs="Times New Roman"/>
          <w:sz w:val="26"/>
          <w:szCs w:val="26"/>
          <w:lang w:eastAsia="hu-HU"/>
        </w:rPr>
        <w:br w:type="page"/>
      </w:r>
    </w:p>
    <w:p w14:paraId="1C3E2D66" w14:textId="77777777" w:rsidR="00484365" w:rsidRPr="008E4041" w:rsidRDefault="5E04AD7D" w:rsidP="5E04AD7D">
      <w:pPr>
        <w:spacing w:after="120" w:line="240" w:lineRule="auto"/>
        <w:jc w:val="right"/>
        <w:rPr>
          <w:rFonts w:ascii="Times New Roman" w:eastAsia="Times New Roman" w:hAnsi="Times New Roman" w:cs="Times New Roman"/>
          <w:i/>
          <w:iCs/>
          <w:sz w:val="20"/>
          <w:szCs w:val="20"/>
          <w:lang w:eastAsia="hu-HU"/>
        </w:rPr>
      </w:pPr>
      <w:r w:rsidRPr="5E04AD7D">
        <w:rPr>
          <w:rFonts w:ascii="Times New Roman" w:eastAsia="Times New Roman" w:hAnsi="Times New Roman" w:cs="Times New Roman"/>
          <w:i/>
          <w:iCs/>
          <w:sz w:val="20"/>
          <w:szCs w:val="20"/>
          <w:lang w:eastAsia="hu-HU"/>
        </w:rPr>
        <w:lastRenderedPageBreak/>
        <w:t>milliárd forint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51"/>
        <w:gridCol w:w="992"/>
      </w:tblGrid>
      <w:tr w:rsidR="00947C58" w:rsidRPr="008E4041" w14:paraId="165EDCFB" w14:textId="77777777" w:rsidTr="28F9800E">
        <w:trPr>
          <w:trHeight w:val="283"/>
        </w:trPr>
        <w:tc>
          <w:tcPr>
            <w:tcW w:w="8251" w:type="dxa"/>
            <w:tcMar>
              <w:top w:w="0" w:type="dxa"/>
              <w:left w:w="108" w:type="dxa"/>
              <w:bottom w:w="0" w:type="dxa"/>
              <w:right w:w="108" w:type="dxa"/>
            </w:tcMar>
            <w:vAlign w:val="center"/>
            <w:hideMark/>
          </w:tcPr>
          <w:p w14:paraId="6D2249A8" w14:textId="5E18E1F5"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Normatív finanszírozás (köznevelési célú humánszolgáltatás és működési támogatás, hit- és erkölcstanoktatás és tankönyvtámogatás, illetve szociális, gyermekvédelmi, gyermekjóléti és fogyatékos személyek esélyegyenlőségét elősegítő célelőirányzatok)</w:t>
            </w:r>
          </w:p>
        </w:tc>
        <w:tc>
          <w:tcPr>
            <w:tcW w:w="992" w:type="dxa"/>
            <w:noWrap/>
            <w:tcMar>
              <w:top w:w="0" w:type="dxa"/>
              <w:left w:w="108" w:type="dxa"/>
              <w:bottom w:w="0" w:type="dxa"/>
              <w:right w:w="108" w:type="dxa"/>
            </w:tcMar>
            <w:vAlign w:val="center"/>
          </w:tcPr>
          <w:p w14:paraId="57709DB4" w14:textId="7AF6F24E"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294,9</w:t>
            </w:r>
          </w:p>
        </w:tc>
      </w:tr>
      <w:tr w:rsidR="00947C58" w:rsidRPr="008E4041" w14:paraId="653C7308" w14:textId="77777777" w:rsidTr="28F9800E">
        <w:trPr>
          <w:trHeight w:val="340"/>
        </w:trPr>
        <w:tc>
          <w:tcPr>
            <w:tcW w:w="8251" w:type="dxa"/>
            <w:tcMar>
              <w:top w:w="0" w:type="dxa"/>
              <w:left w:w="108" w:type="dxa"/>
              <w:bottom w:w="0" w:type="dxa"/>
              <w:right w:w="108" w:type="dxa"/>
            </w:tcMar>
            <w:vAlign w:val="center"/>
            <w:hideMark/>
          </w:tcPr>
          <w:p w14:paraId="6E666FF1" w14:textId="0497169D" w:rsidR="00947C58" w:rsidRPr="00947C58" w:rsidRDefault="00947C58" w:rsidP="00947C58">
            <w:pPr>
              <w:spacing w:after="0" w:line="240" w:lineRule="auto"/>
              <w:rPr>
                <w:rFonts w:ascii="Times New Roman" w:hAnsi="Times New Roman" w:cs="Times New Roman"/>
                <w:sz w:val="24"/>
                <w:szCs w:val="24"/>
                <w:lang w:eastAsia="hu-HU"/>
              </w:rPr>
            </w:pPr>
            <w:r w:rsidRPr="00947C58">
              <w:rPr>
                <w:rFonts w:ascii="Times New Roman" w:hAnsi="Times New Roman" w:cs="Times New Roman"/>
              </w:rPr>
              <w:t>Nem állami felsőoktatási intézmények támogatása</w:t>
            </w:r>
          </w:p>
        </w:tc>
        <w:tc>
          <w:tcPr>
            <w:tcW w:w="992" w:type="dxa"/>
            <w:noWrap/>
            <w:tcMar>
              <w:top w:w="0" w:type="dxa"/>
              <w:left w:w="108" w:type="dxa"/>
              <w:bottom w:w="0" w:type="dxa"/>
              <w:right w:w="108" w:type="dxa"/>
            </w:tcMar>
            <w:vAlign w:val="center"/>
          </w:tcPr>
          <w:p w14:paraId="6AE16DC1" w14:textId="65EC6078"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243,0</w:t>
            </w:r>
          </w:p>
        </w:tc>
      </w:tr>
      <w:tr w:rsidR="00947C58" w:rsidRPr="008E4041" w14:paraId="3C01C8B1" w14:textId="77777777" w:rsidTr="28F9800E">
        <w:trPr>
          <w:trHeight w:val="283"/>
        </w:trPr>
        <w:tc>
          <w:tcPr>
            <w:tcW w:w="8251" w:type="dxa"/>
            <w:tcMar>
              <w:top w:w="0" w:type="dxa"/>
              <w:left w:w="108" w:type="dxa"/>
              <w:bottom w:w="0" w:type="dxa"/>
              <w:right w:w="108" w:type="dxa"/>
            </w:tcMar>
            <w:vAlign w:val="center"/>
          </w:tcPr>
          <w:p w14:paraId="4BB1C2C8" w14:textId="35E14CE8"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Turisztikai fejlesztési feladatok</w:t>
            </w:r>
          </w:p>
        </w:tc>
        <w:tc>
          <w:tcPr>
            <w:tcW w:w="992" w:type="dxa"/>
            <w:noWrap/>
            <w:tcMar>
              <w:top w:w="0" w:type="dxa"/>
              <w:left w:w="108" w:type="dxa"/>
              <w:bottom w:w="0" w:type="dxa"/>
              <w:right w:w="108" w:type="dxa"/>
            </w:tcMar>
            <w:vAlign w:val="center"/>
          </w:tcPr>
          <w:p w14:paraId="7D8A418D" w14:textId="62069DA0"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96,9</w:t>
            </w:r>
          </w:p>
        </w:tc>
      </w:tr>
      <w:tr w:rsidR="00947C58" w:rsidRPr="008E4041" w14:paraId="43EADCD2" w14:textId="77777777" w:rsidTr="28F9800E">
        <w:trPr>
          <w:trHeight w:val="283"/>
        </w:trPr>
        <w:tc>
          <w:tcPr>
            <w:tcW w:w="8251" w:type="dxa"/>
            <w:tcMar>
              <w:top w:w="0" w:type="dxa"/>
              <w:left w:w="108" w:type="dxa"/>
              <w:bottom w:w="0" w:type="dxa"/>
              <w:right w:w="108" w:type="dxa"/>
            </w:tcMar>
            <w:vAlign w:val="center"/>
          </w:tcPr>
          <w:p w14:paraId="4198CF34" w14:textId="6C0175C3"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Területfejlesztési Alap</w:t>
            </w:r>
          </w:p>
        </w:tc>
        <w:tc>
          <w:tcPr>
            <w:tcW w:w="992" w:type="dxa"/>
            <w:noWrap/>
            <w:tcMar>
              <w:top w:w="0" w:type="dxa"/>
              <w:left w:w="108" w:type="dxa"/>
              <w:bottom w:w="0" w:type="dxa"/>
              <w:right w:w="108" w:type="dxa"/>
            </w:tcMar>
            <w:vAlign w:val="center"/>
          </w:tcPr>
          <w:p w14:paraId="1E51D1D0" w14:textId="6578B6BF"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93,3</w:t>
            </w:r>
          </w:p>
        </w:tc>
      </w:tr>
      <w:tr w:rsidR="00947C58" w:rsidRPr="008E4041" w14:paraId="3B84CF10" w14:textId="77777777" w:rsidTr="28F9800E">
        <w:trPr>
          <w:trHeight w:val="283"/>
        </w:trPr>
        <w:tc>
          <w:tcPr>
            <w:tcW w:w="8251" w:type="dxa"/>
            <w:tcMar>
              <w:top w:w="0" w:type="dxa"/>
              <w:left w:w="108" w:type="dxa"/>
              <w:bottom w:w="0" w:type="dxa"/>
              <w:right w:w="108" w:type="dxa"/>
            </w:tcMar>
            <w:vAlign w:val="center"/>
          </w:tcPr>
          <w:p w14:paraId="0FD0169A" w14:textId="386ED925"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Közúthálózat fenntartás és működtetés</w:t>
            </w:r>
          </w:p>
        </w:tc>
        <w:tc>
          <w:tcPr>
            <w:tcW w:w="992" w:type="dxa"/>
            <w:noWrap/>
            <w:tcMar>
              <w:top w:w="0" w:type="dxa"/>
              <w:left w:w="108" w:type="dxa"/>
              <w:bottom w:w="0" w:type="dxa"/>
              <w:right w:w="108" w:type="dxa"/>
            </w:tcMar>
            <w:vAlign w:val="center"/>
          </w:tcPr>
          <w:p w14:paraId="3CFFC712" w14:textId="35A3291E"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71,0</w:t>
            </w:r>
          </w:p>
        </w:tc>
      </w:tr>
      <w:tr w:rsidR="00947C58" w:rsidRPr="008E4041" w14:paraId="0C4084D1" w14:textId="77777777" w:rsidTr="28F9800E">
        <w:trPr>
          <w:trHeight w:val="283"/>
        </w:trPr>
        <w:tc>
          <w:tcPr>
            <w:tcW w:w="8251" w:type="dxa"/>
            <w:tcMar>
              <w:top w:w="0" w:type="dxa"/>
              <w:left w:w="108" w:type="dxa"/>
              <w:bottom w:w="0" w:type="dxa"/>
              <w:right w:w="108" w:type="dxa"/>
            </w:tcMar>
            <w:vAlign w:val="center"/>
          </w:tcPr>
          <w:p w14:paraId="394DD88A" w14:textId="2AE98439"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Nemzeti agrárkár-enyhítés</w:t>
            </w:r>
          </w:p>
        </w:tc>
        <w:tc>
          <w:tcPr>
            <w:tcW w:w="992" w:type="dxa"/>
            <w:noWrap/>
            <w:tcMar>
              <w:top w:w="0" w:type="dxa"/>
              <w:left w:w="108" w:type="dxa"/>
              <w:bottom w:w="0" w:type="dxa"/>
              <w:right w:w="108" w:type="dxa"/>
            </w:tcMar>
            <w:vAlign w:val="center"/>
          </w:tcPr>
          <w:p w14:paraId="7A78ED9C" w14:textId="328EA467"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35,8</w:t>
            </w:r>
          </w:p>
        </w:tc>
      </w:tr>
      <w:tr w:rsidR="00947C58" w:rsidRPr="008E4041" w14:paraId="19B728EA" w14:textId="77777777" w:rsidTr="28F9800E">
        <w:trPr>
          <w:trHeight w:val="283"/>
        </w:trPr>
        <w:tc>
          <w:tcPr>
            <w:tcW w:w="8251" w:type="dxa"/>
            <w:tcMar>
              <w:top w:w="0" w:type="dxa"/>
              <w:left w:w="108" w:type="dxa"/>
              <w:bottom w:w="0" w:type="dxa"/>
              <w:right w:w="108" w:type="dxa"/>
            </w:tcMar>
            <w:vAlign w:val="center"/>
          </w:tcPr>
          <w:p w14:paraId="0E880990" w14:textId="0396A68B"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Egyházi alapintézmény működés, SZJA rendelkezés és kiegészítése</w:t>
            </w:r>
          </w:p>
        </w:tc>
        <w:tc>
          <w:tcPr>
            <w:tcW w:w="992" w:type="dxa"/>
            <w:noWrap/>
            <w:tcMar>
              <w:top w:w="0" w:type="dxa"/>
              <w:left w:w="108" w:type="dxa"/>
              <w:bottom w:w="0" w:type="dxa"/>
              <w:right w:w="108" w:type="dxa"/>
            </w:tcMar>
            <w:vAlign w:val="center"/>
          </w:tcPr>
          <w:p w14:paraId="13E38021" w14:textId="519D0185"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32,3</w:t>
            </w:r>
          </w:p>
        </w:tc>
      </w:tr>
      <w:tr w:rsidR="00947C58" w:rsidRPr="008E4041" w14:paraId="245CFEE2" w14:textId="77777777" w:rsidTr="28F9800E">
        <w:trPr>
          <w:trHeight w:val="283"/>
        </w:trPr>
        <w:tc>
          <w:tcPr>
            <w:tcW w:w="8251" w:type="dxa"/>
            <w:tcMar>
              <w:top w:w="0" w:type="dxa"/>
              <w:left w:w="108" w:type="dxa"/>
              <w:bottom w:w="0" w:type="dxa"/>
              <w:right w:w="108" w:type="dxa"/>
            </w:tcMar>
            <w:vAlign w:val="center"/>
          </w:tcPr>
          <w:p w14:paraId="575A9507" w14:textId="120451D1" w:rsidR="00947C58" w:rsidRPr="00947C58" w:rsidRDefault="00947C58" w:rsidP="00947C58">
            <w:pPr>
              <w:spacing w:after="0" w:line="240" w:lineRule="auto"/>
              <w:jc w:val="both"/>
              <w:rPr>
                <w:rFonts w:ascii="Times New Roman" w:hAnsi="Times New Roman" w:cs="Times New Roman"/>
                <w:sz w:val="24"/>
                <w:szCs w:val="24"/>
                <w:lang w:eastAsia="hu-HU"/>
              </w:rPr>
            </w:pPr>
            <w:r w:rsidRPr="00947C58">
              <w:rPr>
                <w:rFonts w:ascii="Times New Roman" w:hAnsi="Times New Roman" w:cs="Times New Roman"/>
              </w:rPr>
              <w:t>HUN-REN Magyar Kutatási Hálózat támogatása</w:t>
            </w:r>
          </w:p>
        </w:tc>
        <w:tc>
          <w:tcPr>
            <w:tcW w:w="992" w:type="dxa"/>
            <w:noWrap/>
            <w:tcMar>
              <w:top w:w="0" w:type="dxa"/>
              <w:left w:w="108" w:type="dxa"/>
              <w:bottom w:w="0" w:type="dxa"/>
              <w:right w:w="108" w:type="dxa"/>
            </w:tcMar>
            <w:vAlign w:val="center"/>
          </w:tcPr>
          <w:p w14:paraId="491421AE" w14:textId="48367D83" w:rsidR="00947C58" w:rsidRPr="00947C58" w:rsidRDefault="00947C58" w:rsidP="00947C58">
            <w:pPr>
              <w:spacing w:after="0" w:line="240" w:lineRule="auto"/>
              <w:jc w:val="right"/>
              <w:rPr>
                <w:rFonts w:ascii="Times New Roman" w:hAnsi="Times New Roman" w:cs="Times New Roman"/>
                <w:sz w:val="24"/>
                <w:szCs w:val="24"/>
                <w:lang w:eastAsia="hu-HU"/>
              </w:rPr>
            </w:pPr>
            <w:r w:rsidRPr="00947C58">
              <w:rPr>
                <w:rFonts w:ascii="Times New Roman" w:hAnsi="Times New Roman" w:cs="Times New Roman"/>
              </w:rPr>
              <w:t>27,8</w:t>
            </w:r>
          </w:p>
        </w:tc>
      </w:tr>
    </w:tbl>
    <w:p w14:paraId="032A8560" w14:textId="1151BE9C" w:rsidR="00484365" w:rsidRPr="00A61DE1" w:rsidRDefault="5E04AD7D" w:rsidP="5E04AD7D">
      <w:pPr>
        <w:spacing w:before="160" w:after="0"/>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 xml:space="preserve">A 2026. év első </w:t>
      </w:r>
      <w:r w:rsidR="00947C58" w:rsidRPr="00947C58">
        <w:rPr>
          <w:rFonts w:ascii="Times New Roman" w:eastAsia="Times New Roman" w:hAnsi="Times New Roman" w:cs="Times New Roman"/>
          <w:sz w:val="26"/>
          <w:szCs w:val="26"/>
          <w:lang w:eastAsia="hu-HU"/>
        </w:rPr>
        <w:t>háromhavi, 5492,9 milliárd forint összegű kiadásának megoszlását a</w:t>
      </w:r>
      <w:r w:rsidR="00947C58">
        <w:rPr>
          <w:rFonts w:ascii="Times New Roman" w:eastAsia="Times New Roman" w:hAnsi="Times New Roman" w:cs="Times New Roman"/>
          <w:sz w:val="26"/>
          <w:szCs w:val="26"/>
          <w:lang w:eastAsia="hu-HU"/>
        </w:rPr>
        <w:t> </w:t>
      </w:r>
      <w:r w:rsidR="00947C58" w:rsidRPr="00947C58">
        <w:rPr>
          <w:rFonts w:ascii="Times New Roman" w:eastAsia="Times New Roman" w:hAnsi="Times New Roman" w:cs="Times New Roman"/>
          <w:sz w:val="26"/>
          <w:szCs w:val="26"/>
          <w:lang w:eastAsia="hu-HU"/>
        </w:rPr>
        <w:t>következő grafikon szemlélteti</w:t>
      </w:r>
      <w:r w:rsidRPr="5E04AD7D">
        <w:rPr>
          <w:rFonts w:ascii="Times New Roman" w:eastAsia="Times New Roman" w:hAnsi="Times New Roman" w:cs="Times New Roman"/>
          <w:sz w:val="26"/>
          <w:szCs w:val="26"/>
          <w:lang w:eastAsia="hu-HU"/>
        </w:rPr>
        <w:t>:</w:t>
      </w:r>
    </w:p>
    <w:p w14:paraId="3599A16D" w14:textId="6C571AB8" w:rsidR="00B056CC" w:rsidRDefault="00902461" w:rsidP="009C33A4">
      <w:pPr>
        <w:spacing w:before="240"/>
        <w:jc w:val="center"/>
        <w:rPr>
          <w:rFonts w:ascii="Times New Roman" w:eastAsia="Times New Roman" w:hAnsi="Times New Roman" w:cs="Times New Roman"/>
          <w:b/>
          <w:sz w:val="26"/>
          <w:szCs w:val="26"/>
        </w:rPr>
      </w:pPr>
      <w:r w:rsidRPr="00902461">
        <w:rPr>
          <w:rFonts w:ascii="Times New Roman" w:eastAsia="Times New Roman" w:hAnsi="Times New Roman" w:cs="Times New Roman"/>
          <w:b/>
          <w:noProof/>
          <w:sz w:val="26"/>
          <w:szCs w:val="26"/>
        </w:rPr>
        <w:drawing>
          <wp:inline distT="0" distB="0" distL="0" distR="0" wp14:anchorId="64A8FB27" wp14:editId="5998C8D5">
            <wp:extent cx="5940425" cy="3427730"/>
            <wp:effectExtent l="0" t="0" r="3175" b="1270"/>
            <wp:docPr id="709801711"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01711" name="Kép 1" descr="A képen szöveg, képernyőkép, sor, Diagram látható&#10;&#10;Előfordulhat, hogy a mesterséges intelligencia által létrehozott tartalom helytelen."/>
                    <pic:cNvPicPr/>
                  </pic:nvPicPr>
                  <pic:blipFill>
                    <a:blip r:embed="rId25"/>
                    <a:stretch>
                      <a:fillRect/>
                    </a:stretch>
                  </pic:blipFill>
                  <pic:spPr>
                    <a:xfrm>
                      <a:off x="0" y="0"/>
                      <a:ext cx="5940425" cy="3427730"/>
                    </a:xfrm>
                    <a:prstGeom prst="rect">
                      <a:avLst/>
                    </a:prstGeom>
                  </pic:spPr>
                </pic:pic>
              </a:graphicData>
            </a:graphic>
          </wp:inline>
        </w:drawing>
      </w:r>
    </w:p>
    <w:p w14:paraId="7B768C4E" w14:textId="3E063542" w:rsidR="00B155FE" w:rsidRPr="00377D59" w:rsidRDefault="5E04AD7D" w:rsidP="5E04AD7D">
      <w:pPr>
        <w:keepNext/>
        <w:numPr>
          <w:ilvl w:val="0"/>
          <w:numId w:val="3"/>
        </w:numPr>
        <w:ind w:left="714" w:hanging="357"/>
        <w:jc w:val="both"/>
        <w:outlineLvl w:val="2"/>
        <w:rPr>
          <w:rFonts w:ascii="Times New Roman" w:eastAsia="Times New Roman" w:hAnsi="Times New Roman" w:cs="Times New Roman"/>
          <w:b/>
          <w:bCs/>
          <w:smallCaps/>
          <w:sz w:val="28"/>
          <w:szCs w:val="28"/>
          <w:lang w:eastAsia="hu-HU"/>
        </w:rPr>
      </w:pPr>
      <w:r w:rsidRPr="5E04AD7D">
        <w:rPr>
          <w:rFonts w:ascii="Times New Roman" w:eastAsia="Times New Roman" w:hAnsi="Times New Roman" w:cs="Times New Roman"/>
          <w:b/>
          <w:bCs/>
          <w:smallCaps/>
          <w:sz w:val="28"/>
          <w:szCs w:val="28"/>
          <w:lang w:eastAsia="hu-HU"/>
        </w:rPr>
        <w:t>Kamategyenleg</w:t>
      </w:r>
    </w:p>
    <w:p w14:paraId="0047F521" w14:textId="418525E9" w:rsidR="003F3151" w:rsidRDefault="5E04AD7D" w:rsidP="5E04AD7D">
      <w:pPr>
        <w:jc w:val="both"/>
        <w:rPr>
          <w:rFonts w:ascii="Times New Roman" w:hAnsi="Times New Roman" w:cs="Times New Roman"/>
          <w:sz w:val="26"/>
          <w:szCs w:val="26"/>
        </w:rPr>
      </w:pPr>
      <w:bookmarkStart w:id="6" w:name="_Hlk211416201"/>
      <w:r w:rsidRPr="5E04AD7D">
        <w:rPr>
          <w:rFonts w:ascii="Times New Roman" w:hAnsi="Times New Roman" w:cs="Times New Roman"/>
          <w:sz w:val="26"/>
          <w:szCs w:val="26"/>
          <w:lang w:eastAsia="hu-HU"/>
        </w:rPr>
        <w:t xml:space="preserve">A bevételek és kiadások egyenlegeként adódó </w:t>
      </w:r>
      <w:r w:rsidR="00902461" w:rsidRPr="00902461">
        <w:rPr>
          <w:rFonts w:ascii="Times New Roman" w:hAnsi="Times New Roman" w:cs="Times New Roman"/>
          <w:sz w:val="26"/>
          <w:szCs w:val="26"/>
          <w:lang w:eastAsia="hu-HU"/>
        </w:rPr>
        <w:t>669,5 milliárd forint összegű nettó kamatkiadás 2026</w:t>
      </w:r>
      <w:r w:rsidR="00753677">
        <w:rPr>
          <w:rFonts w:ascii="Times New Roman" w:hAnsi="Times New Roman" w:cs="Times New Roman"/>
          <w:sz w:val="26"/>
          <w:szCs w:val="26"/>
          <w:lang w:eastAsia="hu-HU"/>
        </w:rPr>
        <w:t>.</w:t>
      </w:r>
      <w:r w:rsidR="00902461" w:rsidRPr="00902461">
        <w:rPr>
          <w:rFonts w:ascii="Times New Roman" w:hAnsi="Times New Roman" w:cs="Times New Roman"/>
          <w:sz w:val="26"/>
          <w:szCs w:val="26"/>
          <w:lang w:eastAsia="hu-HU"/>
        </w:rPr>
        <w:t xml:space="preserve"> március végéig 786,1 milliárd forinttal lett alacsonyabb az előző évhez képest, mely az eltérő hozamokkal és finanszírozási szerkezettel magyarázható</w:t>
      </w:r>
      <w:r w:rsidRPr="5E04AD7D">
        <w:rPr>
          <w:rFonts w:ascii="Times New Roman" w:hAnsi="Times New Roman" w:cs="Times New Roman"/>
          <w:sz w:val="26"/>
          <w:szCs w:val="26"/>
        </w:rPr>
        <w:t>.</w:t>
      </w:r>
    </w:p>
    <w:bookmarkEnd w:id="6"/>
    <w:p w14:paraId="1475120F" w14:textId="77777777" w:rsidR="00224E67" w:rsidRDefault="00224E67" w:rsidP="716D41F4">
      <w:pPr>
        <w:jc w:val="both"/>
        <w:rPr>
          <w:rFonts w:ascii="Times New Roman" w:hAnsi="Times New Roman" w:cs="Times New Roman"/>
          <w:sz w:val="26"/>
          <w:szCs w:val="26"/>
        </w:rPr>
      </w:pPr>
    </w:p>
    <w:p w14:paraId="12833000" w14:textId="77777777" w:rsidR="00224E67" w:rsidRDefault="00224E67" w:rsidP="716D41F4">
      <w:pPr>
        <w:jc w:val="both"/>
        <w:rPr>
          <w:rFonts w:ascii="Times New Roman" w:hAnsi="Times New Roman" w:cs="Times New Roman"/>
          <w:sz w:val="26"/>
          <w:szCs w:val="26"/>
        </w:rPr>
      </w:pPr>
    </w:p>
    <w:p w14:paraId="7B768C50" w14:textId="77777777" w:rsidR="00B155FE" w:rsidRPr="00377D59" w:rsidRDefault="00B155FE" w:rsidP="00B155FE">
      <w:pPr>
        <w:tabs>
          <w:tab w:val="left" w:pos="550"/>
        </w:tabs>
        <w:spacing w:before="120" w:after="120" w:line="240" w:lineRule="auto"/>
        <w:jc w:val="both"/>
        <w:rPr>
          <w:rFonts w:ascii="Times New Roman" w:eastAsia="Times New Roman" w:hAnsi="Times New Roman" w:cs="Times New Roman"/>
          <w:caps/>
          <w:sz w:val="26"/>
          <w:szCs w:val="20"/>
          <w:lang w:eastAsia="hu-HU"/>
        </w:rPr>
      </w:pPr>
      <w:r w:rsidRPr="00377D59">
        <w:rPr>
          <w:rFonts w:ascii="Times New Roman" w:eastAsia="Times New Roman" w:hAnsi="Times New Roman" w:cs="Times New Roman"/>
          <w:caps/>
          <w:sz w:val="26"/>
          <w:szCs w:val="20"/>
          <w:lang w:eastAsia="hu-HU"/>
        </w:rPr>
        <w:br w:type="page"/>
      </w:r>
    </w:p>
    <w:p w14:paraId="688B9DA7" w14:textId="77777777" w:rsidR="00C9408B" w:rsidRDefault="5E04AD7D" w:rsidP="5E04AD7D">
      <w:pPr>
        <w:keepNext/>
        <w:spacing w:after="120" w:line="240" w:lineRule="auto"/>
        <w:jc w:val="center"/>
        <w:outlineLvl w:val="3"/>
        <w:rPr>
          <w:rFonts w:ascii="Times New Roman" w:eastAsia="Times New Roman" w:hAnsi="Times New Roman" w:cs="Times New Roman"/>
          <w:b/>
          <w:bCs/>
          <w:caps/>
          <w:sz w:val="26"/>
          <w:szCs w:val="26"/>
          <w:lang w:eastAsia="hu-HU"/>
        </w:rPr>
      </w:pPr>
      <w:r w:rsidRPr="5E04AD7D">
        <w:rPr>
          <w:rFonts w:ascii="Times New Roman" w:eastAsia="Times New Roman" w:hAnsi="Times New Roman" w:cs="Times New Roman"/>
          <w:b/>
          <w:bCs/>
          <w:caps/>
          <w:sz w:val="26"/>
          <w:szCs w:val="26"/>
          <w:lang w:eastAsia="hu-HU"/>
        </w:rPr>
        <w:lastRenderedPageBreak/>
        <w:t>II.</w:t>
      </w:r>
    </w:p>
    <w:p w14:paraId="7B768C51" w14:textId="63BB059C" w:rsidR="00B155FE" w:rsidRPr="00377D59" w:rsidRDefault="5E04AD7D" w:rsidP="5E04AD7D">
      <w:pPr>
        <w:keepNext/>
        <w:spacing w:after="240" w:line="240" w:lineRule="auto"/>
        <w:jc w:val="center"/>
        <w:outlineLvl w:val="3"/>
        <w:rPr>
          <w:rFonts w:ascii="Times New Roman" w:eastAsia="Times New Roman" w:hAnsi="Times New Roman" w:cs="Times New Roman"/>
          <w:b/>
          <w:bCs/>
          <w:caps/>
          <w:sz w:val="26"/>
          <w:szCs w:val="26"/>
          <w:lang w:eastAsia="hu-HU"/>
        </w:rPr>
      </w:pPr>
      <w:r w:rsidRPr="5E04AD7D">
        <w:rPr>
          <w:rFonts w:ascii="Times New Roman" w:eastAsia="Times New Roman" w:hAnsi="Times New Roman" w:cs="Times New Roman"/>
          <w:b/>
          <w:bCs/>
          <w:caps/>
          <w:sz w:val="26"/>
          <w:szCs w:val="26"/>
          <w:lang w:eastAsia="hu-HU"/>
        </w:rPr>
        <w:t>Az államháztartás központi alrendszerének finanszírozása</w:t>
      </w:r>
    </w:p>
    <w:p w14:paraId="401A33AB" w14:textId="2DE8BBE1" w:rsidR="00D424B8" w:rsidRPr="008E6DF0" w:rsidRDefault="5E04AD7D" w:rsidP="5E04AD7D">
      <w:pPr>
        <w:ind w:right="23"/>
        <w:jc w:val="both"/>
        <w:rPr>
          <w:rFonts w:ascii="Times New Roman" w:eastAsia="Times New Roman" w:hAnsi="Times New Roman" w:cs="Times New Roman"/>
          <w:b/>
          <w:bCs/>
          <w:sz w:val="26"/>
          <w:szCs w:val="26"/>
          <w:lang w:eastAsia="hu-HU"/>
        </w:rPr>
      </w:pPr>
      <w:r w:rsidRPr="5E04AD7D">
        <w:rPr>
          <w:rFonts w:ascii="Times New Roman" w:eastAsia="Times New Roman" w:hAnsi="Times New Roman" w:cs="Times New Roman"/>
          <w:sz w:val="26"/>
          <w:szCs w:val="26"/>
          <w:lang w:eastAsia="hu-HU"/>
        </w:rPr>
        <w:t xml:space="preserve">A központi költségvetés adóssága 2026. </w:t>
      </w:r>
      <w:r w:rsidR="00902461" w:rsidRPr="00902461">
        <w:rPr>
          <w:rFonts w:ascii="Times New Roman" w:eastAsia="Times New Roman" w:hAnsi="Times New Roman" w:cs="Times New Roman"/>
          <w:sz w:val="26"/>
          <w:szCs w:val="26"/>
          <w:lang w:eastAsia="hu-HU"/>
        </w:rPr>
        <w:t>március végéig 3977,6</w:t>
      </w:r>
      <w:r w:rsidR="00902461">
        <w:rPr>
          <w:rFonts w:ascii="Times New Roman" w:eastAsia="Times New Roman" w:hAnsi="Times New Roman" w:cs="Times New Roman"/>
          <w:sz w:val="26"/>
          <w:szCs w:val="26"/>
          <w:lang w:eastAsia="hu-HU"/>
        </w:rPr>
        <w:t> </w:t>
      </w:r>
      <w:r w:rsidR="00902461" w:rsidRPr="00902461">
        <w:rPr>
          <w:rFonts w:ascii="Times New Roman" w:eastAsia="Times New Roman" w:hAnsi="Times New Roman" w:cs="Times New Roman"/>
          <w:sz w:val="26"/>
          <w:szCs w:val="26"/>
          <w:lang w:eastAsia="hu-HU"/>
        </w:rPr>
        <w:t>milliárd forinttal növekedett a következő négy tényező eredményeképpen</w:t>
      </w:r>
      <w:r w:rsidRPr="5E04AD7D">
        <w:rPr>
          <w:rFonts w:ascii="Times New Roman" w:eastAsia="Times New Roman" w:hAnsi="Times New Roman" w:cs="Times New Roman"/>
          <w:sz w:val="26"/>
          <w:szCs w:val="26"/>
          <w:lang w:eastAsia="hu-HU"/>
        </w:rPr>
        <w:t>:</w:t>
      </w:r>
    </w:p>
    <w:p w14:paraId="4C985735" w14:textId="77777777" w:rsidR="00902461" w:rsidRPr="00902461" w:rsidRDefault="00902461" w:rsidP="00902461">
      <w:pPr>
        <w:pStyle w:val="Listaszerbekezds"/>
        <w:numPr>
          <w:ilvl w:val="0"/>
          <w:numId w:val="2"/>
        </w:numPr>
        <w:jc w:val="both"/>
        <w:rPr>
          <w:rFonts w:ascii="Times New Roman" w:eastAsia="Times New Roman" w:hAnsi="Times New Roman" w:cs="Times New Roman"/>
          <w:b/>
          <w:bCs/>
          <w:sz w:val="26"/>
          <w:szCs w:val="26"/>
          <w:lang w:eastAsia="hu-HU"/>
        </w:rPr>
      </w:pPr>
      <w:r w:rsidRPr="00902461">
        <w:rPr>
          <w:rFonts w:ascii="Times New Roman" w:eastAsia="Times New Roman" w:hAnsi="Times New Roman" w:cs="Times New Roman"/>
          <w:b/>
          <w:bCs/>
          <w:sz w:val="26"/>
          <w:szCs w:val="26"/>
          <w:lang w:eastAsia="hu-HU"/>
        </w:rPr>
        <w:t xml:space="preserve">Az első tényező a nettó forintkibocsátás, </w:t>
      </w:r>
      <w:r w:rsidRPr="00CC7EB9">
        <w:rPr>
          <w:rFonts w:ascii="Times New Roman" w:eastAsia="Times New Roman" w:hAnsi="Times New Roman" w:cs="Times New Roman"/>
          <w:sz w:val="26"/>
          <w:szCs w:val="26"/>
          <w:lang w:eastAsia="hu-HU"/>
        </w:rPr>
        <w:t>amely 2266,3 milliárd forinttal növelte</w:t>
      </w:r>
      <w:r w:rsidRPr="00902461">
        <w:rPr>
          <w:rFonts w:ascii="Times New Roman" w:eastAsia="Times New Roman" w:hAnsi="Times New Roman" w:cs="Times New Roman"/>
          <w:b/>
          <w:bCs/>
          <w:sz w:val="26"/>
          <w:szCs w:val="26"/>
          <w:lang w:eastAsia="hu-HU"/>
        </w:rPr>
        <w:t xml:space="preserve"> </w:t>
      </w:r>
      <w:r w:rsidRPr="00902461">
        <w:rPr>
          <w:rFonts w:ascii="Times New Roman" w:eastAsia="Times New Roman" w:hAnsi="Times New Roman" w:cs="Times New Roman"/>
          <w:sz w:val="26"/>
          <w:szCs w:val="26"/>
          <w:lang w:eastAsia="hu-HU"/>
        </w:rPr>
        <w:t>az adósságot, így segítette a költségvetési hiány egy részének finanszírozását.</w:t>
      </w:r>
    </w:p>
    <w:p w14:paraId="0B566366" w14:textId="145AE3C3" w:rsidR="00902461" w:rsidRPr="00902461" w:rsidRDefault="00902461" w:rsidP="00902461">
      <w:pPr>
        <w:pStyle w:val="Listaszerbekezds"/>
        <w:numPr>
          <w:ilvl w:val="0"/>
          <w:numId w:val="2"/>
        </w:numPr>
        <w:jc w:val="both"/>
        <w:rPr>
          <w:rFonts w:ascii="Times New Roman" w:eastAsia="Times New Roman" w:hAnsi="Times New Roman" w:cs="Times New Roman"/>
          <w:sz w:val="26"/>
          <w:szCs w:val="26"/>
          <w:lang w:eastAsia="hu-HU"/>
        </w:rPr>
      </w:pPr>
      <w:r w:rsidRPr="00902461">
        <w:rPr>
          <w:rFonts w:ascii="Times New Roman" w:eastAsia="Times New Roman" w:hAnsi="Times New Roman" w:cs="Times New Roman"/>
          <w:b/>
          <w:bCs/>
          <w:sz w:val="26"/>
          <w:szCs w:val="26"/>
          <w:lang w:eastAsia="hu-HU"/>
        </w:rPr>
        <w:t xml:space="preserve">A második – növelő hatású – tényező a nettó devizakibocsátás, </w:t>
      </w:r>
      <w:r w:rsidRPr="00902461">
        <w:rPr>
          <w:rFonts w:ascii="Times New Roman" w:eastAsia="Times New Roman" w:hAnsi="Times New Roman" w:cs="Times New Roman"/>
          <w:sz w:val="26"/>
          <w:szCs w:val="26"/>
          <w:lang w:eastAsia="hu-HU"/>
        </w:rPr>
        <w:t>amely 1683,</w:t>
      </w:r>
      <w:r w:rsidR="00CC7EB9">
        <w:rPr>
          <w:rFonts w:ascii="Times New Roman" w:eastAsia="Times New Roman" w:hAnsi="Times New Roman" w:cs="Times New Roman"/>
          <w:sz w:val="26"/>
          <w:szCs w:val="26"/>
          <w:lang w:eastAsia="hu-HU"/>
        </w:rPr>
        <w:t>4</w:t>
      </w:r>
      <w:r>
        <w:rPr>
          <w:rFonts w:ascii="Times New Roman" w:eastAsia="Times New Roman" w:hAnsi="Times New Roman" w:cs="Times New Roman"/>
          <w:sz w:val="26"/>
          <w:szCs w:val="26"/>
          <w:lang w:eastAsia="hu-HU"/>
        </w:rPr>
        <w:t> </w:t>
      </w:r>
      <w:r w:rsidRPr="00902461">
        <w:rPr>
          <w:rFonts w:ascii="Times New Roman" w:eastAsia="Times New Roman" w:hAnsi="Times New Roman" w:cs="Times New Roman"/>
          <w:sz w:val="26"/>
          <w:szCs w:val="26"/>
          <w:lang w:eastAsia="hu-HU"/>
        </w:rPr>
        <w:t>milliárd forint összegben hozzájárul a hiány finanszírozásához és a</w:t>
      </w:r>
      <w:r>
        <w:rPr>
          <w:rFonts w:ascii="Times New Roman" w:eastAsia="Times New Roman" w:hAnsi="Times New Roman" w:cs="Times New Roman"/>
          <w:sz w:val="26"/>
          <w:szCs w:val="26"/>
          <w:lang w:eastAsia="hu-HU"/>
        </w:rPr>
        <w:t> </w:t>
      </w:r>
      <w:r w:rsidRPr="00902461">
        <w:rPr>
          <w:rFonts w:ascii="Times New Roman" w:eastAsia="Times New Roman" w:hAnsi="Times New Roman" w:cs="Times New Roman"/>
          <w:sz w:val="26"/>
          <w:szCs w:val="26"/>
          <w:lang w:eastAsia="hu-HU"/>
        </w:rPr>
        <w:t>devizabetétállomány növekedéséhez.</w:t>
      </w:r>
    </w:p>
    <w:p w14:paraId="0C2FFD0D" w14:textId="77777777" w:rsidR="00902461" w:rsidRPr="00902461" w:rsidRDefault="00902461" w:rsidP="00902461">
      <w:pPr>
        <w:pStyle w:val="Listaszerbekezds"/>
        <w:numPr>
          <w:ilvl w:val="0"/>
          <w:numId w:val="2"/>
        </w:numPr>
        <w:jc w:val="both"/>
        <w:rPr>
          <w:rFonts w:ascii="Times New Roman" w:eastAsia="Times New Roman" w:hAnsi="Times New Roman" w:cs="Times New Roman"/>
          <w:b/>
          <w:bCs/>
          <w:sz w:val="26"/>
          <w:szCs w:val="26"/>
          <w:lang w:eastAsia="hu-HU"/>
        </w:rPr>
      </w:pPr>
      <w:r w:rsidRPr="00902461">
        <w:rPr>
          <w:rFonts w:ascii="Times New Roman" w:eastAsia="Times New Roman" w:hAnsi="Times New Roman" w:cs="Times New Roman"/>
          <w:b/>
          <w:bCs/>
          <w:sz w:val="26"/>
          <w:szCs w:val="26"/>
          <w:lang w:eastAsia="hu-HU"/>
        </w:rPr>
        <w:t xml:space="preserve">A harmadik – szintén növelő hatású – tényező </w:t>
      </w:r>
      <w:r w:rsidRPr="00902461">
        <w:rPr>
          <w:rFonts w:ascii="Times New Roman" w:eastAsia="Times New Roman" w:hAnsi="Times New Roman" w:cs="Times New Roman"/>
          <w:sz w:val="26"/>
          <w:szCs w:val="26"/>
          <w:lang w:eastAsia="hu-HU"/>
        </w:rPr>
        <w:t>a deviza-keresztárfolyamok változása és az egyéb tényezők miatt bekövetkezett mark-to-market betétállományok emelkedése 14,4 milliárd forint összegben</w:t>
      </w:r>
      <w:r w:rsidRPr="00902461">
        <w:rPr>
          <w:rFonts w:ascii="Times New Roman" w:eastAsia="Times New Roman" w:hAnsi="Times New Roman" w:cs="Times New Roman"/>
          <w:b/>
          <w:bCs/>
          <w:sz w:val="26"/>
          <w:szCs w:val="26"/>
          <w:lang w:eastAsia="hu-HU"/>
        </w:rPr>
        <w:t>.</w:t>
      </w:r>
    </w:p>
    <w:p w14:paraId="111568C6" w14:textId="280B89A8" w:rsidR="007B0B76" w:rsidRPr="002756E3" w:rsidRDefault="00902461" w:rsidP="00902461">
      <w:pPr>
        <w:pStyle w:val="Listaszerbekezds"/>
        <w:numPr>
          <w:ilvl w:val="0"/>
          <w:numId w:val="2"/>
        </w:numPr>
        <w:jc w:val="both"/>
        <w:rPr>
          <w:rFonts w:ascii="Times New Roman" w:eastAsia="Times New Roman" w:hAnsi="Times New Roman" w:cs="Times New Roman"/>
          <w:sz w:val="26"/>
          <w:szCs w:val="26"/>
          <w:lang w:eastAsia="hu-HU"/>
        </w:rPr>
      </w:pPr>
      <w:r w:rsidRPr="00902461">
        <w:rPr>
          <w:rFonts w:ascii="Times New Roman" w:eastAsia="Times New Roman" w:hAnsi="Times New Roman" w:cs="Times New Roman"/>
          <w:b/>
          <w:bCs/>
          <w:sz w:val="26"/>
          <w:szCs w:val="26"/>
          <w:lang w:eastAsia="hu-HU"/>
        </w:rPr>
        <w:t xml:space="preserve">A negyedik – további növelő hatású – tényező </w:t>
      </w:r>
      <w:r w:rsidRPr="00902461">
        <w:rPr>
          <w:rFonts w:ascii="Times New Roman" w:eastAsia="Times New Roman" w:hAnsi="Times New Roman" w:cs="Times New Roman"/>
          <w:sz w:val="26"/>
          <w:szCs w:val="26"/>
          <w:lang w:eastAsia="hu-HU"/>
        </w:rPr>
        <w:t>a forint árfolyamának az elmúlt év végéhez képest bekövetkezett gyengülése, amely az adósság devizában fennálló részének forintban számított nyilvántartási értékét 13,5 milliárd forinttal növelte</w:t>
      </w:r>
      <w:r w:rsidR="5E04AD7D" w:rsidRPr="5E04AD7D">
        <w:rPr>
          <w:rFonts w:ascii="Times New Roman" w:eastAsia="Times New Roman" w:hAnsi="Times New Roman" w:cs="Times New Roman"/>
          <w:sz w:val="26"/>
          <w:szCs w:val="26"/>
          <w:lang w:eastAsia="hu-HU"/>
        </w:rPr>
        <w:t>.</w:t>
      </w:r>
    </w:p>
    <w:p w14:paraId="157CBCF7" w14:textId="192A582E" w:rsidR="007B0B76" w:rsidRPr="007B0B76" w:rsidRDefault="007B0B76" w:rsidP="007B0B76">
      <w:pPr>
        <w:jc w:val="both"/>
        <w:rPr>
          <w:rFonts w:ascii="Times New Roman" w:eastAsia="Times New Roman" w:hAnsi="Times New Roman" w:cs="Times New Roman"/>
          <w:sz w:val="26"/>
          <w:szCs w:val="26"/>
          <w:lang w:eastAsia="hu-HU"/>
        </w:rPr>
        <w:sectPr w:rsidR="007B0B76" w:rsidRPr="007B0B76" w:rsidSect="00AB17FF">
          <w:headerReference w:type="default" r:id="rId26"/>
          <w:footerReference w:type="default" r:id="rId27"/>
          <w:footnotePr>
            <w:numRestart w:val="eachPage"/>
          </w:footnotePr>
          <w:pgSz w:w="11907" w:h="16840" w:code="9"/>
          <w:pgMar w:top="1134" w:right="1134" w:bottom="1418" w:left="1418" w:header="709" w:footer="709" w:gutter="0"/>
          <w:cols w:space="708"/>
          <w:docGrid w:linePitch="354"/>
        </w:sectPr>
      </w:pPr>
    </w:p>
    <w:p w14:paraId="7B768C5C" w14:textId="6267674B" w:rsidR="00B155FE" w:rsidRPr="00377D59" w:rsidRDefault="5E04AD7D" w:rsidP="5E04AD7D">
      <w:pPr>
        <w:spacing w:after="120" w:line="240" w:lineRule="auto"/>
        <w:ind w:right="23"/>
        <w:jc w:val="both"/>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lastRenderedPageBreak/>
        <w:t xml:space="preserve">Az előzetes adatok szerint 2026. </w:t>
      </w:r>
      <w:r w:rsidR="00902461">
        <w:rPr>
          <w:rFonts w:ascii="Times New Roman" w:eastAsia="Times New Roman" w:hAnsi="Times New Roman" w:cs="Times New Roman"/>
          <w:sz w:val="26"/>
          <w:szCs w:val="26"/>
          <w:lang w:eastAsia="hu-HU"/>
        </w:rPr>
        <w:t>március</w:t>
      </w:r>
      <w:r w:rsidRPr="5E04AD7D">
        <w:rPr>
          <w:rFonts w:ascii="Times New Roman" w:eastAsia="Times New Roman" w:hAnsi="Times New Roman" w:cs="Times New Roman"/>
          <w:sz w:val="26"/>
          <w:szCs w:val="26"/>
          <w:lang w:eastAsia="hu-HU"/>
        </w:rPr>
        <w:t xml:space="preserve"> végén a </w:t>
      </w:r>
      <w:r w:rsidRPr="5E04AD7D">
        <w:rPr>
          <w:rFonts w:ascii="Times New Roman" w:eastAsia="Times New Roman" w:hAnsi="Times New Roman" w:cs="Times New Roman"/>
          <w:b/>
          <w:bCs/>
          <w:sz w:val="26"/>
          <w:szCs w:val="26"/>
          <w:lang w:eastAsia="hu-HU"/>
        </w:rPr>
        <w:t xml:space="preserve">központi költségvetés forint- és devizaadóssága </w:t>
      </w:r>
      <w:r w:rsidRPr="5E04AD7D">
        <w:rPr>
          <w:rFonts w:ascii="Times New Roman" w:eastAsia="Times New Roman" w:hAnsi="Times New Roman" w:cs="Times New Roman"/>
          <w:sz w:val="26"/>
          <w:szCs w:val="26"/>
          <w:lang w:eastAsia="hu-HU"/>
        </w:rPr>
        <w:t>az alábbiak szerint alakult:</w:t>
      </w:r>
    </w:p>
    <w:p w14:paraId="7B768C5D" w14:textId="228E6358" w:rsidR="00B155FE" w:rsidRDefault="5E04AD7D" w:rsidP="5E04AD7D">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5E04AD7D">
        <w:rPr>
          <w:rFonts w:ascii="Times New Roman" w:eastAsia="Times New Roman" w:hAnsi="Times New Roman" w:cs="Times New Roman"/>
          <w:sz w:val="26"/>
          <w:szCs w:val="26"/>
          <w:lang w:eastAsia="hu-HU"/>
        </w:rPr>
        <w:t>A központi költségvetés adósságának alakulása 2026-ban, milliárd forint</w:t>
      </w:r>
    </w:p>
    <w:p w14:paraId="31C86ED1" w14:textId="1A5B68E2" w:rsidR="007B0B76" w:rsidRDefault="00432BDD" w:rsidP="13E847AC">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0000132E">
        <w:rPr>
          <w:noProof/>
        </w:rPr>
        <w:drawing>
          <wp:inline distT="0" distB="0" distL="0" distR="0" wp14:anchorId="3FD3536F" wp14:editId="1058E52F">
            <wp:extent cx="9072880" cy="4376928"/>
            <wp:effectExtent l="0" t="0" r="0" b="5080"/>
            <wp:docPr id="141505738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80190" cy="4380454"/>
                    </a:xfrm>
                    <a:prstGeom prst="rect">
                      <a:avLst/>
                    </a:prstGeom>
                    <a:noFill/>
                    <a:ln>
                      <a:noFill/>
                    </a:ln>
                  </pic:spPr>
                </pic:pic>
              </a:graphicData>
            </a:graphic>
          </wp:inline>
        </w:drawing>
      </w:r>
    </w:p>
    <w:p w14:paraId="7B768C5F" w14:textId="77777777" w:rsidR="00B155FE" w:rsidRPr="00377D59" w:rsidRDefault="5E04AD7D" w:rsidP="5E04AD7D">
      <w:pPr>
        <w:spacing w:after="120" w:line="240" w:lineRule="auto"/>
        <w:jc w:val="both"/>
        <w:rPr>
          <w:rFonts w:ascii="Times New Roman" w:eastAsia="Times New Roman" w:hAnsi="Times New Roman" w:cs="Times New Roman"/>
          <w:sz w:val="24"/>
          <w:szCs w:val="24"/>
          <w:lang w:eastAsia="hu-HU"/>
        </w:rPr>
      </w:pPr>
      <w:r w:rsidRPr="5E04AD7D">
        <w:rPr>
          <w:rFonts w:ascii="Times New Roman" w:eastAsia="Times New Roman" w:hAnsi="Times New Roman" w:cs="Times New Roman"/>
          <w:i/>
          <w:iCs/>
          <w:sz w:val="24"/>
          <w:szCs w:val="24"/>
          <w:lang w:eastAsia="hu-HU"/>
        </w:rPr>
        <w:t>Megjegyzés: a táblában szereplő tizedes eltérések kerekítésből adódnak.</w:t>
      </w:r>
    </w:p>
    <w:p w14:paraId="612D5E01" w14:textId="247C2A7A" w:rsidR="00617877" w:rsidRPr="00377D59" w:rsidRDefault="00617877" w:rsidP="00617877">
      <w:pPr>
        <w:rPr>
          <w:rFonts w:ascii="Times New Roman" w:eastAsia="Times New Roman" w:hAnsi="Times New Roman" w:cs="Times New Roman"/>
          <w:sz w:val="26"/>
          <w:szCs w:val="26"/>
          <w:lang w:eastAsia="hu-HU"/>
        </w:rPr>
      </w:pPr>
    </w:p>
    <w:p w14:paraId="3C11BC0D" w14:textId="77777777" w:rsidR="008D26E2" w:rsidRDefault="008D26E2" w:rsidP="008D26E2">
      <w:pPr>
        <w:rPr>
          <w:rFonts w:ascii="Times New Roman" w:eastAsia="Times New Roman" w:hAnsi="Times New Roman" w:cs="Times New Roman"/>
          <w:sz w:val="26"/>
          <w:szCs w:val="26"/>
          <w:lang w:eastAsia="hu-HU"/>
        </w:rPr>
      </w:pPr>
    </w:p>
    <w:p w14:paraId="4A764331" w14:textId="77777777" w:rsidR="008D26E2" w:rsidRPr="008D26E2" w:rsidRDefault="008D26E2" w:rsidP="008D26E2">
      <w:pPr>
        <w:rPr>
          <w:rFonts w:ascii="Times New Roman" w:eastAsia="Times New Roman" w:hAnsi="Times New Roman" w:cs="Times New Roman"/>
          <w:sz w:val="26"/>
          <w:szCs w:val="26"/>
          <w:lang w:eastAsia="hu-HU"/>
        </w:rPr>
        <w:sectPr w:rsidR="008D26E2" w:rsidRPr="008D26E2" w:rsidSect="007449BF">
          <w:headerReference w:type="default" r:id="rId29"/>
          <w:headerReference w:type="first" r:id="rId30"/>
          <w:footnotePr>
            <w:numRestart w:val="eachPage"/>
          </w:footnotePr>
          <w:pgSz w:w="16840" w:h="11907" w:orient="landscape" w:code="9"/>
          <w:pgMar w:top="993" w:right="1134" w:bottom="1134" w:left="1418" w:header="709" w:footer="709" w:gutter="0"/>
          <w:pgNumType w:start="19"/>
          <w:cols w:space="708"/>
          <w:titlePg/>
          <w:docGrid w:linePitch="299"/>
        </w:sectPr>
      </w:pPr>
    </w:p>
    <w:p w14:paraId="08287618" w14:textId="6B9C6E38" w:rsidR="00432BDD" w:rsidRPr="0000132E" w:rsidRDefault="00432BDD" w:rsidP="00432BDD">
      <w:pPr>
        <w:jc w:val="both"/>
        <w:rPr>
          <w:rFonts w:ascii="Times New Roman" w:eastAsia="Times New Roman" w:hAnsi="Times New Roman" w:cs="Times New Roman"/>
          <w:sz w:val="26"/>
          <w:szCs w:val="26"/>
          <w:lang w:eastAsia="hu-HU"/>
        </w:rPr>
      </w:pPr>
      <w:r w:rsidRPr="0000132E">
        <w:rPr>
          <w:rFonts w:ascii="Times New Roman" w:eastAsia="Times New Roman" w:hAnsi="Times New Roman" w:cs="Times New Roman"/>
          <w:b/>
          <w:bCs/>
          <w:sz w:val="26"/>
          <w:szCs w:val="26"/>
          <w:lang w:eastAsia="hu-HU"/>
        </w:rPr>
        <w:lastRenderedPageBreak/>
        <w:t>A központi költségvetés</w:t>
      </w:r>
      <w:r w:rsidRPr="0000132E">
        <w:rPr>
          <w:rFonts w:ascii="Times New Roman" w:eastAsia="Times New Roman" w:hAnsi="Times New Roman" w:cs="Times New Roman"/>
          <w:sz w:val="26"/>
          <w:szCs w:val="26"/>
          <w:lang w:eastAsia="hu-HU"/>
        </w:rPr>
        <w:t xml:space="preserve"> devizaadóssága 2026-ban 1696,8</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19</w:t>
      </w:r>
      <w:r>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506,5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forintra növekedett az elmúlt év végéhez képest. A devizaadósság részaránya a 2025. év végi 29,4%-os szintről 30,2%-os szintre emelkedett a teljes adósságon belül</w:t>
      </w:r>
      <w:r w:rsidR="5E04AD7D" w:rsidRPr="5E04AD7D">
        <w:rPr>
          <w:rFonts w:ascii="Times New Roman" w:eastAsia="Times New Roman" w:hAnsi="Times New Roman" w:cs="Times New Roman"/>
          <w:sz w:val="26"/>
          <w:szCs w:val="26"/>
          <w:lang w:eastAsia="hu-HU"/>
        </w:rPr>
        <w:t>.</w:t>
      </w:r>
      <w:r w:rsidR="0023586E">
        <w:rPr>
          <w:rFonts w:ascii="Times New Roman" w:eastAsia="Times New Roman" w:hAnsi="Times New Roman" w:cs="Times New Roman"/>
          <w:sz w:val="26"/>
          <w:szCs w:val="26"/>
          <w:lang w:eastAsia="hu-HU"/>
        </w:rPr>
        <w:t xml:space="preserve"> </w:t>
      </w:r>
      <w:r w:rsidRPr="0000132E">
        <w:rPr>
          <w:rFonts w:ascii="Times New Roman" w:eastAsia="Times New Roman" w:hAnsi="Times New Roman" w:cs="Times New Roman"/>
          <w:sz w:val="26"/>
          <w:szCs w:val="26"/>
          <w:lang w:eastAsia="hu-HU"/>
        </w:rPr>
        <w:t>A növekedés hátterében döntően a devizakötvény-kibocsátások állnak. 2026 január 7-én került sor az idei év első nemzetközi eurókötvény-kibocsátására összesen 1157,9</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(3,0</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euró) összegben. Két sorozat piacra vitele történt meg, egy 7 éves futamidejű hagyományos sorozat 771,9</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(2,0</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EUR) összegben és egy 12 éves futamidejű zöld sorozat 386,0</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(1,0</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EUR) összegben. 2026.</w:t>
      </w:r>
      <w:r w:rsidR="0002125B">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március 3-án került jóváírásra a zárt körben, befektetői megkeresésre kibocsátott, 2035.</w:t>
      </w:r>
      <w:r w:rsidR="0002125B">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szeptember 26-án lejáró dollárkötvény 382,3</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(1,2</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USD) összegű megemelése. A további devizahitel lehívások és az árfolyamgyengülés összege szintén emelte a devizaadósság részarányát.</w:t>
      </w:r>
    </w:p>
    <w:p w14:paraId="134725B4" w14:textId="36F8D3B2" w:rsidR="00432BDD" w:rsidRPr="0000132E" w:rsidRDefault="00432BDD" w:rsidP="00432BDD">
      <w:pPr>
        <w:jc w:val="both"/>
        <w:rPr>
          <w:rFonts w:ascii="Times New Roman" w:eastAsia="Times New Roman" w:hAnsi="Times New Roman" w:cs="Times New Roman"/>
          <w:sz w:val="26"/>
          <w:szCs w:val="26"/>
          <w:lang w:eastAsia="hu-HU"/>
        </w:rPr>
      </w:pPr>
      <w:r w:rsidRPr="0000132E">
        <w:rPr>
          <w:rFonts w:ascii="Times New Roman" w:eastAsia="Times New Roman" w:hAnsi="Times New Roman" w:cs="Times New Roman"/>
          <w:b/>
          <w:bCs/>
          <w:sz w:val="26"/>
          <w:szCs w:val="26"/>
          <w:lang w:eastAsia="hu-HU"/>
        </w:rPr>
        <w:t>A költségvetés forintadóssága</w:t>
      </w:r>
      <w:r w:rsidRPr="0000132E">
        <w:rPr>
          <w:rFonts w:ascii="Times New Roman" w:eastAsia="Times New Roman" w:hAnsi="Times New Roman" w:cs="Times New Roman"/>
          <w:sz w:val="26"/>
          <w:szCs w:val="26"/>
          <w:lang w:eastAsia="hu-HU"/>
        </w:rPr>
        <w:t xml:space="preserve"> március végéig 2266,3</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növekedett és 44</w:t>
      </w:r>
      <w:r>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842,3</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ért el, a forint adósság a teljes államadósság 69,5%-át teszi ki. 2025</w:t>
      </w:r>
      <w:r w:rsidR="0002125B">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 xml:space="preserve">decemberében ez az arány 70,3% volt. </w:t>
      </w:r>
    </w:p>
    <w:p w14:paraId="2B7E1999" w14:textId="77777777" w:rsidR="00432BDD" w:rsidRPr="0000132E" w:rsidRDefault="00432BDD" w:rsidP="00432BDD">
      <w:pPr>
        <w:jc w:val="both"/>
        <w:rPr>
          <w:rFonts w:ascii="Times New Roman" w:eastAsia="Times New Roman" w:hAnsi="Times New Roman" w:cs="Times New Roman"/>
          <w:sz w:val="26"/>
          <w:szCs w:val="26"/>
          <w:lang w:eastAsia="hu-HU"/>
        </w:rPr>
      </w:pPr>
      <w:r w:rsidRPr="0000132E">
        <w:rPr>
          <w:rFonts w:ascii="Times New Roman" w:eastAsia="Times New Roman" w:hAnsi="Times New Roman" w:cs="Times New Roman"/>
          <w:sz w:val="26"/>
          <w:szCs w:val="26"/>
          <w:lang w:eastAsia="hu-HU"/>
        </w:rPr>
        <w:t>2026. március végén a forint lakossági állampapírok állománya 12</w:t>
      </w:r>
      <w:r>
        <w:rPr>
          <w:rFonts w:ascii="Times New Roman" w:eastAsia="Times New Roman" w:hAnsi="Times New Roman" w:cs="Times New Roman"/>
          <w:sz w:val="26"/>
          <w:szCs w:val="26"/>
          <w:lang w:eastAsia="hu-HU"/>
        </w:rPr>
        <w:t> </w:t>
      </w:r>
      <w:r w:rsidRPr="0000132E">
        <w:rPr>
          <w:rFonts w:ascii="Times New Roman" w:eastAsia="Times New Roman" w:hAnsi="Times New Roman" w:cs="Times New Roman"/>
          <w:sz w:val="26"/>
          <w:szCs w:val="26"/>
          <w:lang w:eastAsia="hu-HU"/>
        </w:rPr>
        <w:t>144,5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tett ki, ami 418,4</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növekedést jelent 2025. december vége óta. A Fix Magyar Állampapír állománya 659,6</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növekedett és elérte a 4311,5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hó végén. A Magyar Állampapír Plusz állománya, a nyomdai kibocsátású és a korábban értékesített papírokkal együtt, 215,4</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emelkedett, így hó végén 1363,6</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volt. A Bónusz Magyar Állampapír állománya is emelkedett 8,8</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ezért hó végén 2079,4</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tett ki. A Prémium Magyar Állampapír állománya 2026. március végére 514,5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csökkent, amelynek következtében 3 195,3</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tett ki. A lakossági állampapírok közül a Fix Magyar Állampapír értékesítése volt a legmagasabb márciusban.</w:t>
      </w:r>
    </w:p>
    <w:p w14:paraId="1FA8C6B2" w14:textId="77777777" w:rsidR="00432BDD" w:rsidRPr="0000132E" w:rsidRDefault="00432BDD" w:rsidP="00432BDD">
      <w:pPr>
        <w:jc w:val="both"/>
        <w:rPr>
          <w:rFonts w:ascii="Times New Roman" w:eastAsia="Times New Roman" w:hAnsi="Times New Roman" w:cs="Times New Roman"/>
          <w:sz w:val="26"/>
          <w:szCs w:val="26"/>
          <w:lang w:eastAsia="hu-HU"/>
        </w:rPr>
      </w:pPr>
      <w:r w:rsidRPr="0000132E">
        <w:rPr>
          <w:rFonts w:ascii="Times New Roman" w:eastAsia="Times New Roman" w:hAnsi="Times New Roman" w:cs="Times New Roman"/>
          <w:sz w:val="26"/>
          <w:szCs w:val="26"/>
          <w:lang w:eastAsia="hu-HU"/>
        </w:rPr>
        <w:t>Az ÁKK Zrt. március hó folyamán összesen 13,5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összegben vásárolt vissza lakossági állampapírokat a forgalmazó bankoktól. A forgalmazóknak lehetősége van saját számlájukra került lakossági állampapírok cseréjére, amelynek keretében a lakossági állampapírokat az épp értékesítés alatt álló sorozatokra válthatják be, majd a másodpiacon tovább értékesíthetik a lakosság számára. Ennek keretében márciusban 35,7</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összegben váltották be a forgalmazók a saját számlájukra került lakossági állampapírokat.</w:t>
      </w:r>
    </w:p>
    <w:p w14:paraId="2F84FBFA" w14:textId="628B6E07" w:rsidR="002756E3" w:rsidRPr="002756E3" w:rsidRDefault="00432BDD" w:rsidP="00432BDD">
      <w:pPr>
        <w:jc w:val="both"/>
        <w:rPr>
          <w:rFonts w:ascii="Times New Roman" w:eastAsia="Times New Roman" w:hAnsi="Times New Roman" w:cs="Times New Roman"/>
          <w:sz w:val="26"/>
          <w:szCs w:val="26"/>
          <w:lang w:eastAsia="hu-HU"/>
        </w:rPr>
      </w:pPr>
      <w:r w:rsidRPr="0000132E">
        <w:rPr>
          <w:rFonts w:ascii="Times New Roman" w:eastAsia="Times New Roman" w:hAnsi="Times New Roman" w:cs="Times New Roman"/>
          <w:b/>
          <w:bCs/>
          <w:sz w:val="26"/>
          <w:szCs w:val="26"/>
          <w:lang w:eastAsia="hu-HU"/>
        </w:rPr>
        <w:t>A külföldi befektetők állampapír állománya</w:t>
      </w:r>
      <w:r w:rsidRPr="0000132E">
        <w:rPr>
          <w:rFonts w:ascii="Times New Roman" w:eastAsia="Times New Roman" w:hAnsi="Times New Roman" w:cs="Times New Roman"/>
          <w:sz w:val="26"/>
          <w:szCs w:val="26"/>
          <w:lang w:eastAsia="hu-HU"/>
        </w:rPr>
        <w:t xml:space="preserve"> márciusban 770,5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7550,2</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forintra csökkent az előző hónaphoz képest. A külföldi állomány 99,2%-a, 7492,9</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államkötvény, 0,8%-a, 57,3</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 diszkontkincstárjegy. </w:t>
      </w:r>
      <w:r w:rsidR="0023586E">
        <w:rPr>
          <w:rFonts w:ascii="Times New Roman" w:eastAsia="Times New Roman" w:hAnsi="Times New Roman" w:cs="Times New Roman"/>
          <w:sz w:val="26"/>
          <w:szCs w:val="26"/>
          <w:lang w:eastAsia="hu-HU"/>
        </w:rPr>
        <w:br/>
      </w:r>
      <w:r w:rsidRPr="0000132E">
        <w:rPr>
          <w:rFonts w:ascii="Times New Roman" w:eastAsia="Times New Roman" w:hAnsi="Times New Roman" w:cs="Times New Roman"/>
          <w:sz w:val="26"/>
          <w:szCs w:val="26"/>
          <w:lang w:eastAsia="hu-HU"/>
        </w:rPr>
        <w:t>A</w:t>
      </w:r>
      <w:r w:rsidR="0023586E">
        <w:rPr>
          <w:rFonts w:ascii="Times New Roman" w:eastAsia="Times New Roman" w:hAnsi="Times New Roman" w:cs="Times New Roman"/>
          <w:sz w:val="26"/>
          <w:szCs w:val="26"/>
          <w:lang w:eastAsia="hu-HU"/>
        </w:rPr>
        <w:t xml:space="preserve"> </w:t>
      </w:r>
      <w:r w:rsidRPr="0000132E">
        <w:rPr>
          <w:rFonts w:ascii="Times New Roman" w:eastAsia="Times New Roman" w:hAnsi="Times New Roman" w:cs="Times New Roman"/>
          <w:sz w:val="26"/>
          <w:szCs w:val="26"/>
          <w:lang w:eastAsia="hu-HU"/>
        </w:rPr>
        <w:t>külföldi állomány átlagos hátralévő futamideje március végén 6,0 év volt.</w:t>
      </w:r>
      <w:r w:rsidR="0023586E">
        <w:rPr>
          <w:rFonts w:ascii="Times New Roman" w:eastAsia="Times New Roman" w:hAnsi="Times New Roman" w:cs="Times New Roman"/>
          <w:sz w:val="26"/>
          <w:szCs w:val="26"/>
          <w:lang w:eastAsia="hu-HU"/>
        </w:rPr>
        <w:t xml:space="preserve"> </w:t>
      </w:r>
      <w:r w:rsidR="0023586E">
        <w:rPr>
          <w:rFonts w:ascii="Times New Roman" w:eastAsia="Times New Roman" w:hAnsi="Times New Roman" w:cs="Times New Roman"/>
          <w:sz w:val="26"/>
          <w:szCs w:val="26"/>
          <w:lang w:eastAsia="hu-HU"/>
        </w:rPr>
        <w:br/>
      </w:r>
      <w:r w:rsidRPr="0000132E">
        <w:rPr>
          <w:rFonts w:ascii="Times New Roman" w:eastAsia="Times New Roman" w:hAnsi="Times New Roman" w:cs="Times New Roman"/>
          <w:sz w:val="26"/>
          <w:szCs w:val="26"/>
          <w:lang w:eastAsia="hu-HU"/>
        </w:rPr>
        <w:t>A devizaállamadósság kockázatainak mérséklése érdekében az ÁKK Zrt. swapügyleteket köt. Ezen ügyletekhez kapcsolódóan az ÁKK Zrt.-nél elhelyezett fedezeti összegek (ún. mark-to-market betétek) az adósságállomány részét képezik, és az „egyéb kötelezettségek” soron kerülnek kimutatásra. A vizsgált időszakban az egyéb kötelezettségek állománya 14,4</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forinttal emelkedett. Március végén az állomány 168,5</w:t>
      </w:r>
      <w:r>
        <w:rPr>
          <w:rFonts w:ascii="Times New Roman" w:eastAsia="Times New Roman" w:hAnsi="Times New Roman" w:cs="Times New Roman"/>
          <w:sz w:val="26"/>
          <w:szCs w:val="26"/>
          <w:lang w:eastAsia="hu-HU"/>
        </w:rPr>
        <w:t> milliárd</w:t>
      </w:r>
      <w:r w:rsidRPr="0000132E">
        <w:rPr>
          <w:rFonts w:ascii="Times New Roman" w:eastAsia="Times New Roman" w:hAnsi="Times New Roman" w:cs="Times New Roman"/>
          <w:sz w:val="26"/>
          <w:szCs w:val="26"/>
          <w:lang w:eastAsia="hu-HU"/>
        </w:rPr>
        <w:t xml:space="preserve"> forintot tett ki, ami a teljes államadósság 0,3%-át jelenti</w:t>
      </w:r>
      <w:r w:rsidRPr="28F9800E">
        <w:rPr>
          <w:rFonts w:ascii="Times New Roman" w:eastAsia="Times New Roman" w:hAnsi="Times New Roman" w:cs="Times New Roman"/>
          <w:sz w:val="26"/>
          <w:szCs w:val="26"/>
          <w:lang w:eastAsia="hu-HU"/>
        </w:rPr>
        <w:t>.</w:t>
      </w:r>
    </w:p>
    <w:sectPr w:rsidR="002756E3" w:rsidRPr="002756E3" w:rsidSect="007449BF">
      <w:headerReference w:type="even" r:id="rId31"/>
      <w:footerReference w:type="default" r:id="rId32"/>
      <w:footerReference w:type="first" r:id="rId33"/>
      <w:pgSz w:w="11906" w:h="16838"/>
      <w:pgMar w:top="1418" w:right="1134" w:bottom="1418" w:left="1134" w:header="708"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043E" w14:textId="77777777" w:rsidR="00482CC1" w:rsidRDefault="00482CC1" w:rsidP="00B155FE">
      <w:pPr>
        <w:spacing w:after="0" w:line="240" w:lineRule="auto"/>
      </w:pPr>
      <w:r>
        <w:separator/>
      </w:r>
    </w:p>
  </w:endnote>
  <w:endnote w:type="continuationSeparator" w:id="0">
    <w:p w14:paraId="320DAFF2" w14:textId="77777777" w:rsidR="00482CC1" w:rsidRDefault="00482CC1" w:rsidP="00B155FE">
      <w:pPr>
        <w:spacing w:after="0" w:line="240" w:lineRule="auto"/>
      </w:pPr>
      <w:r>
        <w:continuationSeparator/>
      </w:r>
    </w:p>
  </w:endnote>
  <w:endnote w:type="continuationNotice" w:id="1">
    <w:p w14:paraId="3B696E81" w14:textId="77777777" w:rsidR="00482CC1" w:rsidRDefault="004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D1F" w14:textId="4DE2DC1D" w:rsidR="00473AC1" w:rsidRDefault="00473AC1">
    <w:pPr>
      <w:pStyle w:val="llb"/>
      <w:jc w:val="center"/>
    </w:pPr>
  </w:p>
  <w:p w14:paraId="41773F2F" w14:textId="77777777" w:rsidR="00473AC1" w:rsidRDefault="00473AC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4736" w14:textId="0BDF3ABB" w:rsidR="00473AC1" w:rsidRDefault="00E02619" w:rsidP="00E02619">
    <w:pPr>
      <w:pStyle w:val="llb"/>
      <w:jc w:val="center"/>
    </w:pPr>
    <w:r>
      <w:rPr>
        <w:rFonts w:ascii="Times New Roman" w:hAnsi="Times New Roman" w:cs="Times New Roman"/>
        <w:sz w:val="24"/>
        <w:szCs w:val="24"/>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58895"/>
      <w:docPartObj>
        <w:docPartGallery w:val="Page Numbers (Bottom of Page)"/>
        <w:docPartUnique/>
      </w:docPartObj>
    </w:sdtPr>
    <w:sdtEndPr>
      <w:rPr>
        <w:rFonts w:ascii="Times New Roman" w:hAnsi="Times New Roman" w:cs="Times New Roman"/>
        <w:sz w:val="24"/>
      </w:rPr>
    </w:sdtEndPr>
    <w:sdtContent>
      <w:p w14:paraId="10FD5F29" w14:textId="5A7BA186" w:rsidR="00473AC1" w:rsidRPr="00470868" w:rsidRDefault="00473AC1">
        <w:pPr>
          <w:pStyle w:val="llb"/>
          <w:jc w:val="center"/>
          <w:rPr>
            <w:rFonts w:ascii="Times New Roman" w:hAnsi="Times New Roman" w:cs="Times New Roman"/>
            <w:sz w:val="24"/>
          </w:rPr>
        </w:pPr>
        <w:r w:rsidRPr="00470868">
          <w:rPr>
            <w:rFonts w:ascii="Times New Roman" w:hAnsi="Times New Roman" w:cs="Times New Roman"/>
            <w:sz w:val="24"/>
          </w:rPr>
          <w:fldChar w:fldCharType="begin"/>
        </w:r>
        <w:r w:rsidRPr="00470868">
          <w:rPr>
            <w:rFonts w:ascii="Times New Roman" w:hAnsi="Times New Roman" w:cs="Times New Roman"/>
            <w:sz w:val="24"/>
          </w:rPr>
          <w:instrText>PAGE   \* MERGEFORMAT</w:instrText>
        </w:r>
        <w:r w:rsidRPr="00470868">
          <w:rPr>
            <w:rFonts w:ascii="Times New Roman" w:hAnsi="Times New Roman" w:cs="Times New Roman"/>
            <w:sz w:val="24"/>
          </w:rPr>
          <w:fldChar w:fldCharType="separate"/>
        </w:r>
        <w:r w:rsidR="00A948A8">
          <w:rPr>
            <w:rFonts w:ascii="Times New Roman" w:hAnsi="Times New Roman" w:cs="Times New Roman"/>
            <w:noProof/>
            <w:sz w:val="24"/>
          </w:rPr>
          <w:t>8</w:t>
        </w:r>
        <w:r w:rsidRPr="00470868">
          <w:rPr>
            <w:rFonts w:ascii="Times New Roman" w:hAnsi="Times New Roman" w:cs="Times New Roman"/>
            <w:sz w:val="24"/>
          </w:rPr>
          <w:fldChar w:fldCharType="end"/>
        </w:r>
      </w:p>
    </w:sdtContent>
  </w:sdt>
  <w:p w14:paraId="17329691" w14:textId="773A5D5E" w:rsidR="00473AC1" w:rsidRPr="00556984" w:rsidRDefault="00473AC1" w:rsidP="00556984">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99"/>
      <w:docPartObj>
        <w:docPartGallery w:val="Page Numbers (Bottom of Page)"/>
        <w:docPartUnique/>
      </w:docPartObj>
    </w:sdtPr>
    <w:sdtEndPr>
      <w:rPr>
        <w:rFonts w:ascii="Times New Roman" w:hAnsi="Times New Roman" w:cs="Times New Roman"/>
        <w:sz w:val="24"/>
      </w:rPr>
    </w:sdtEndPr>
    <w:sdtContent>
      <w:p w14:paraId="7ADCE6C8" w14:textId="1E2D2D65" w:rsidR="00473AC1" w:rsidRPr="00D4148C" w:rsidRDefault="00473AC1">
        <w:pPr>
          <w:pStyle w:val="llb"/>
          <w:jc w:val="center"/>
          <w:rPr>
            <w:rFonts w:ascii="Times New Roman" w:hAnsi="Times New Roman" w:cs="Times New Roman"/>
            <w:sz w:val="24"/>
          </w:rPr>
        </w:pPr>
        <w:r>
          <w:rPr>
            <w:rFonts w:ascii="Times New Roman" w:hAnsi="Times New Roman" w:cs="Times New Roman"/>
            <w:sz w:val="24"/>
          </w:rPr>
          <w:t>2</w:t>
        </w:r>
        <w:r w:rsidR="00432BDD">
          <w:rPr>
            <w:rFonts w:ascii="Times New Roman" w:hAnsi="Times New Roman" w:cs="Times New Roman"/>
            <w:sz w:val="24"/>
          </w:rPr>
          <w:t>2</w:t>
        </w:r>
      </w:p>
    </w:sdtContent>
  </w:sdt>
  <w:p w14:paraId="078E8FA1" w14:textId="77777777" w:rsidR="00473AC1" w:rsidRDefault="00473AC1" w:rsidP="00C74E0F">
    <w:pPr>
      <w:pStyle w:val="llb"/>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40D1" w14:textId="583E2A93" w:rsidR="00473AC1" w:rsidRDefault="28F9800E" w:rsidP="004A3001">
    <w:pPr>
      <w:pStyle w:val="llb"/>
      <w:jc w:val="center"/>
    </w:pPr>
    <w:r w:rsidRPr="28F9800E">
      <w:rPr>
        <w:rFonts w:ascii="Times New Roman" w:hAnsi="Times New Roman" w:cs="Times New Roman"/>
        <w:sz w:val="24"/>
        <w:szCs w:val="24"/>
      </w:rPr>
      <w:t>2</w:t>
    </w:r>
    <w:r w:rsidR="00E02619">
      <w:rPr>
        <w:rFonts w:ascii="Times New Roman" w:hAnsi="Times New Roman" w:cs="Times New Roman"/>
        <w:sz w:val="24"/>
        <w:szCs w:val="2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7C081" w14:textId="77777777" w:rsidR="00482CC1" w:rsidRDefault="00482CC1" w:rsidP="00B155FE">
      <w:pPr>
        <w:spacing w:after="0" w:line="240" w:lineRule="auto"/>
      </w:pPr>
      <w:r>
        <w:separator/>
      </w:r>
    </w:p>
  </w:footnote>
  <w:footnote w:type="continuationSeparator" w:id="0">
    <w:p w14:paraId="023B5D0F" w14:textId="77777777" w:rsidR="00482CC1" w:rsidRDefault="00482CC1" w:rsidP="00B155FE">
      <w:pPr>
        <w:spacing w:after="0" w:line="240" w:lineRule="auto"/>
      </w:pPr>
      <w:r>
        <w:continuationSeparator/>
      </w:r>
    </w:p>
  </w:footnote>
  <w:footnote w:type="continuationNotice" w:id="1">
    <w:p w14:paraId="1CDB1B47" w14:textId="77777777" w:rsidR="00482CC1" w:rsidRDefault="004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00473AC1" w14:paraId="1027336C" w14:textId="77777777" w:rsidTr="75E7E8C2">
      <w:tc>
        <w:tcPr>
          <w:tcW w:w="3118" w:type="dxa"/>
        </w:tcPr>
        <w:p w14:paraId="4C837DDD" w14:textId="79A8EEFC" w:rsidR="00473AC1" w:rsidRDefault="00473AC1" w:rsidP="75E7E8C2">
          <w:pPr>
            <w:pStyle w:val="lfej"/>
            <w:ind w:left="-115"/>
          </w:pPr>
        </w:p>
      </w:tc>
      <w:tc>
        <w:tcPr>
          <w:tcW w:w="3118" w:type="dxa"/>
        </w:tcPr>
        <w:p w14:paraId="215A5B55" w14:textId="4B5EFC16" w:rsidR="00473AC1" w:rsidRDefault="00473AC1" w:rsidP="75E7E8C2">
          <w:pPr>
            <w:pStyle w:val="lfej"/>
            <w:jc w:val="center"/>
          </w:pPr>
        </w:p>
      </w:tc>
      <w:tc>
        <w:tcPr>
          <w:tcW w:w="3118" w:type="dxa"/>
        </w:tcPr>
        <w:p w14:paraId="08CD3A76" w14:textId="283AC16D" w:rsidR="00473AC1" w:rsidRDefault="00473AC1" w:rsidP="75E7E8C2">
          <w:pPr>
            <w:pStyle w:val="lfej"/>
            <w:ind w:right="-115"/>
            <w:jc w:val="right"/>
          </w:pPr>
        </w:p>
      </w:tc>
    </w:tr>
  </w:tbl>
  <w:p w14:paraId="4176297E" w14:textId="7CD13837" w:rsidR="00473AC1" w:rsidRDefault="00473AC1" w:rsidP="75E7E8C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47D1" w14:textId="3D0DDD49" w:rsidR="00473AC1" w:rsidRDefault="00473AC1" w:rsidP="75E7E8C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6" w14:textId="77777777" w:rsidR="00473AC1" w:rsidRPr="00881044" w:rsidRDefault="00473AC1" w:rsidP="00C74E0F">
    <w:pPr>
      <w:pStyle w:val="lfej"/>
      <w:rPr>
        <w:rStyle w:val="Oldalsz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7" w14:textId="77777777" w:rsidR="00473AC1" w:rsidRPr="00FE4DD1" w:rsidRDefault="00473AC1" w:rsidP="00C74E0F">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009518"/>
      <w:docPartObj>
        <w:docPartGallery w:val="Page Numbers (Top of Page)"/>
        <w:docPartUnique/>
      </w:docPartObj>
    </w:sdtPr>
    <w:sdtEndPr>
      <w:rPr>
        <w:noProof/>
      </w:rPr>
    </w:sdtEndPr>
    <w:sdtContent>
      <w:p w14:paraId="2CB15785" w14:textId="77777777" w:rsidR="00473AC1" w:rsidRDefault="00473AC1">
        <w:pPr>
          <w:pStyle w:val="lfej"/>
          <w:jc w:val="center"/>
        </w:pPr>
        <w:r>
          <w:fldChar w:fldCharType="begin"/>
        </w:r>
        <w:r>
          <w:instrText xml:space="preserve"> PAGE   \* MERGEFORMAT </w:instrText>
        </w:r>
        <w:r>
          <w:fldChar w:fldCharType="separate"/>
        </w:r>
        <w:r>
          <w:rPr>
            <w:noProof/>
          </w:rPr>
          <w:t>20</w:t>
        </w:r>
        <w:r>
          <w:rPr>
            <w:noProof/>
          </w:rPr>
          <w:fldChar w:fldCharType="end"/>
        </w:r>
      </w:p>
    </w:sdtContent>
  </w:sdt>
  <w:p w14:paraId="2A775F7D" w14:textId="77777777" w:rsidR="00473AC1" w:rsidRDefault="00473AC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298"/>
    <w:multiLevelType w:val="hybridMultilevel"/>
    <w:tmpl w:val="44CCC2AC"/>
    <w:lvl w:ilvl="0" w:tplc="08783BEC">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602D43"/>
    <w:multiLevelType w:val="hybridMultilevel"/>
    <w:tmpl w:val="390E53F2"/>
    <w:lvl w:ilvl="0" w:tplc="F872D380">
      <w:start w:val="1"/>
      <w:numFmt w:val="bullet"/>
      <w:lvlText w:val=""/>
      <w:lvlJc w:val="left"/>
      <w:pPr>
        <w:ind w:left="720" w:hanging="360"/>
      </w:pPr>
      <w:rPr>
        <w:rFonts w:ascii="Symbol" w:hAnsi="Symbol" w:hint="default"/>
      </w:rPr>
    </w:lvl>
    <w:lvl w:ilvl="1" w:tplc="86BC4448">
      <w:start w:val="1"/>
      <w:numFmt w:val="bullet"/>
      <w:lvlText w:val="o"/>
      <w:lvlJc w:val="left"/>
      <w:pPr>
        <w:ind w:left="1440" w:hanging="360"/>
      </w:pPr>
      <w:rPr>
        <w:rFonts w:ascii="Courier New" w:hAnsi="Courier New" w:hint="default"/>
      </w:rPr>
    </w:lvl>
    <w:lvl w:ilvl="2" w:tplc="F05C9352">
      <w:start w:val="1"/>
      <w:numFmt w:val="bullet"/>
      <w:lvlText w:val=""/>
      <w:lvlJc w:val="left"/>
      <w:pPr>
        <w:ind w:left="2160" w:hanging="360"/>
      </w:pPr>
      <w:rPr>
        <w:rFonts w:ascii="Wingdings" w:hAnsi="Wingdings" w:hint="default"/>
      </w:rPr>
    </w:lvl>
    <w:lvl w:ilvl="3" w:tplc="232EF98C">
      <w:start w:val="1"/>
      <w:numFmt w:val="bullet"/>
      <w:lvlText w:val=""/>
      <w:lvlJc w:val="left"/>
      <w:pPr>
        <w:ind w:left="2880" w:hanging="360"/>
      </w:pPr>
      <w:rPr>
        <w:rFonts w:ascii="Symbol" w:hAnsi="Symbol" w:hint="default"/>
      </w:rPr>
    </w:lvl>
    <w:lvl w:ilvl="4" w:tplc="03066B72">
      <w:start w:val="1"/>
      <w:numFmt w:val="bullet"/>
      <w:lvlText w:val="o"/>
      <w:lvlJc w:val="left"/>
      <w:pPr>
        <w:ind w:left="3600" w:hanging="360"/>
      </w:pPr>
      <w:rPr>
        <w:rFonts w:ascii="Courier New" w:hAnsi="Courier New" w:hint="default"/>
      </w:rPr>
    </w:lvl>
    <w:lvl w:ilvl="5" w:tplc="7A906010">
      <w:start w:val="1"/>
      <w:numFmt w:val="bullet"/>
      <w:lvlText w:val=""/>
      <w:lvlJc w:val="left"/>
      <w:pPr>
        <w:ind w:left="4320" w:hanging="360"/>
      </w:pPr>
      <w:rPr>
        <w:rFonts w:ascii="Wingdings" w:hAnsi="Wingdings" w:hint="default"/>
      </w:rPr>
    </w:lvl>
    <w:lvl w:ilvl="6" w:tplc="9F6A3F04">
      <w:start w:val="1"/>
      <w:numFmt w:val="bullet"/>
      <w:lvlText w:val=""/>
      <w:lvlJc w:val="left"/>
      <w:pPr>
        <w:ind w:left="5040" w:hanging="360"/>
      </w:pPr>
      <w:rPr>
        <w:rFonts w:ascii="Symbol" w:hAnsi="Symbol" w:hint="default"/>
      </w:rPr>
    </w:lvl>
    <w:lvl w:ilvl="7" w:tplc="D5603E42">
      <w:start w:val="1"/>
      <w:numFmt w:val="bullet"/>
      <w:lvlText w:val="o"/>
      <w:lvlJc w:val="left"/>
      <w:pPr>
        <w:ind w:left="5760" w:hanging="360"/>
      </w:pPr>
      <w:rPr>
        <w:rFonts w:ascii="Courier New" w:hAnsi="Courier New" w:hint="default"/>
      </w:rPr>
    </w:lvl>
    <w:lvl w:ilvl="8" w:tplc="F1D4D0F8">
      <w:start w:val="1"/>
      <w:numFmt w:val="bullet"/>
      <w:lvlText w:val=""/>
      <w:lvlJc w:val="left"/>
      <w:pPr>
        <w:ind w:left="6480" w:hanging="360"/>
      </w:pPr>
      <w:rPr>
        <w:rFonts w:ascii="Wingdings" w:hAnsi="Wingdings" w:hint="default"/>
      </w:rPr>
    </w:lvl>
  </w:abstractNum>
  <w:abstractNum w:abstractNumId="2" w15:restartNumberingAfterBreak="0">
    <w:nsid w:val="3CC7670D"/>
    <w:multiLevelType w:val="hybridMultilevel"/>
    <w:tmpl w:val="FDDC7674"/>
    <w:lvl w:ilvl="0" w:tplc="9120DF1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1033469"/>
    <w:multiLevelType w:val="hybridMultilevel"/>
    <w:tmpl w:val="D612FE54"/>
    <w:lvl w:ilvl="0" w:tplc="85BCE940">
      <w:start w:val="1"/>
      <w:numFmt w:val="bullet"/>
      <w:lvlText w:val=""/>
      <w:lvlJc w:val="left"/>
      <w:pPr>
        <w:ind w:left="720" w:hanging="360"/>
      </w:pPr>
      <w:rPr>
        <w:rFonts w:ascii="Symbol" w:hAnsi="Symbol" w:hint="default"/>
      </w:rPr>
    </w:lvl>
    <w:lvl w:ilvl="1" w:tplc="EDE89D4A">
      <w:start w:val="1"/>
      <w:numFmt w:val="bullet"/>
      <w:lvlText w:val="o"/>
      <w:lvlJc w:val="left"/>
      <w:pPr>
        <w:ind w:left="1440" w:hanging="360"/>
      </w:pPr>
      <w:rPr>
        <w:rFonts w:ascii="Courier New" w:hAnsi="Courier New" w:hint="default"/>
      </w:rPr>
    </w:lvl>
    <w:lvl w:ilvl="2" w:tplc="91061732">
      <w:start w:val="1"/>
      <w:numFmt w:val="bullet"/>
      <w:lvlText w:val=""/>
      <w:lvlJc w:val="left"/>
      <w:pPr>
        <w:ind w:left="2160" w:hanging="360"/>
      </w:pPr>
      <w:rPr>
        <w:rFonts w:ascii="Wingdings" w:hAnsi="Wingdings" w:hint="default"/>
      </w:rPr>
    </w:lvl>
    <w:lvl w:ilvl="3" w:tplc="5D04C974">
      <w:start w:val="1"/>
      <w:numFmt w:val="bullet"/>
      <w:lvlText w:val=""/>
      <w:lvlJc w:val="left"/>
      <w:pPr>
        <w:ind w:left="2880" w:hanging="360"/>
      </w:pPr>
      <w:rPr>
        <w:rFonts w:ascii="Symbol" w:hAnsi="Symbol" w:hint="default"/>
      </w:rPr>
    </w:lvl>
    <w:lvl w:ilvl="4" w:tplc="1C648E36">
      <w:start w:val="1"/>
      <w:numFmt w:val="bullet"/>
      <w:lvlText w:val="o"/>
      <w:lvlJc w:val="left"/>
      <w:pPr>
        <w:ind w:left="3600" w:hanging="360"/>
      </w:pPr>
      <w:rPr>
        <w:rFonts w:ascii="Courier New" w:hAnsi="Courier New" w:hint="default"/>
      </w:rPr>
    </w:lvl>
    <w:lvl w:ilvl="5" w:tplc="2DB00CB0">
      <w:start w:val="1"/>
      <w:numFmt w:val="bullet"/>
      <w:lvlText w:val=""/>
      <w:lvlJc w:val="left"/>
      <w:pPr>
        <w:ind w:left="4320" w:hanging="360"/>
      </w:pPr>
      <w:rPr>
        <w:rFonts w:ascii="Wingdings" w:hAnsi="Wingdings" w:hint="default"/>
      </w:rPr>
    </w:lvl>
    <w:lvl w:ilvl="6" w:tplc="3C9E0854">
      <w:start w:val="1"/>
      <w:numFmt w:val="bullet"/>
      <w:lvlText w:val=""/>
      <w:lvlJc w:val="left"/>
      <w:pPr>
        <w:ind w:left="5040" w:hanging="360"/>
      </w:pPr>
      <w:rPr>
        <w:rFonts w:ascii="Symbol" w:hAnsi="Symbol" w:hint="default"/>
      </w:rPr>
    </w:lvl>
    <w:lvl w:ilvl="7" w:tplc="EF2AE296">
      <w:start w:val="1"/>
      <w:numFmt w:val="bullet"/>
      <w:lvlText w:val="o"/>
      <w:lvlJc w:val="left"/>
      <w:pPr>
        <w:ind w:left="5760" w:hanging="360"/>
      </w:pPr>
      <w:rPr>
        <w:rFonts w:ascii="Courier New" w:hAnsi="Courier New" w:hint="default"/>
      </w:rPr>
    </w:lvl>
    <w:lvl w:ilvl="8" w:tplc="1B7CE0FC">
      <w:start w:val="1"/>
      <w:numFmt w:val="bullet"/>
      <w:lvlText w:val=""/>
      <w:lvlJc w:val="left"/>
      <w:pPr>
        <w:ind w:left="6480" w:hanging="360"/>
      </w:pPr>
      <w:rPr>
        <w:rFonts w:ascii="Wingdings" w:hAnsi="Wingdings" w:hint="default"/>
      </w:rPr>
    </w:lvl>
  </w:abstractNum>
  <w:abstractNum w:abstractNumId="4" w15:restartNumberingAfterBreak="0">
    <w:nsid w:val="5573523A"/>
    <w:multiLevelType w:val="hybridMultilevel"/>
    <w:tmpl w:val="92D45DA0"/>
    <w:lvl w:ilvl="0" w:tplc="5E4290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70F720B"/>
    <w:multiLevelType w:val="hybridMultilevel"/>
    <w:tmpl w:val="9D346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66037878">
    <w:abstractNumId w:val="3"/>
  </w:num>
  <w:num w:numId="2" w16cid:durableId="1584029188">
    <w:abstractNumId w:val="4"/>
  </w:num>
  <w:num w:numId="3" w16cid:durableId="831068418">
    <w:abstractNumId w:val="0"/>
  </w:num>
  <w:num w:numId="4" w16cid:durableId="1692486892">
    <w:abstractNumId w:val="5"/>
  </w:num>
  <w:num w:numId="5" w16cid:durableId="347831722">
    <w:abstractNumId w:val="2"/>
  </w:num>
  <w:num w:numId="6" w16cid:durableId="199545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E"/>
    <w:rsid w:val="00000517"/>
    <w:rsid w:val="0000169C"/>
    <w:rsid w:val="000017BD"/>
    <w:rsid w:val="00001DDD"/>
    <w:rsid w:val="00001F08"/>
    <w:rsid w:val="000044C3"/>
    <w:rsid w:val="00007D4A"/>
    <w:rsid w:val="00007DB5"/>
    <w:rsid w:val="000103E9"/>
    <w:rsid w:val="000118DE"/>
    <w:rsid w:val="000131DE"/>
    <w:rsid w:val="00015558"/>
    <w:rsid w:val="00015945"/>
    <w:rsid w:val="0001644C"/>
    <w:rsid w:val="00020D17"/>
    <w:rsid w:val="0002105A"/>
    <w:rsid w:val="0002125B"/>
    <w:rsid w:val="00022205"/>
    <w:rsid w:val="00022974"/>
    <w:rsid w:val="000237EA"/>
    <w:rsid w:val="00024158"/>
    <w:rsid w:val="0002586B"/>
    <w:rsid w:val="00025889"/>
    <w:rsid w:val="00026266"/>
    <w:rsid w:val="0002674A"/>
    <w:rsid w:val="000302F3"/>
    <w:rsid w:val="00031896"/>
    <w:rsid w:val="00031C82"/>
    <w:rsid w:val="00031C9D"/>
    <w:rsid w:val="00034760"/>
    <w:rsid w:val="000365DC"/>
    <w:rsid w:val="0003668B"/>
    <w:rsid w:val="0003701E"/>
    <w:rsid w:val="000401EE"/>
    <w:rsid w:val="0004032B"/>
    <w:rsid w:val="000407DB"/>
    <w:rsid w:val="00042512"/>
    <w:rsid w:val="00042C38"/>
    <w:rsid w:val="00043E49"/>
    <w:rsid w:val="00044042"/>
    <w:rsid w:val="000458BD"/>
    <w:rsid w:val="00045DF7"/>
    <w:rsid w:val="00046A69"/>
    <w:rsid w:val="000471E4"/>
    <w:rsid w:val="000512BB"/>
    <w:rsid w:val="00051E9B"/>
    <w:rsid w:val="0005236D"/>
    <w:rsid w:val="00052502"/>
    <w:rsid w:val="0005250F"/>
    <w:rsid w:val="00052554"/>
    <w:rsid w:val="00052E4F"/>
    <w:rsid w:val="00054358"/>
    <w:rsid w:val="00054CDA"/>
    <w:rsid w:val="00055632"/>
    <w:rsid w:val="00057916"/>
    <w:rsid w:val="000611EC"/>
    <w:rsid w:val="000617B7"/>
    <w:rsid w:val="00064521"/>
    <w:rsid w:val="000647BF"/>
    <w:rsid w:val="0006496D"/>
    <w:rsid w:val="00064D6A"/>
    <w:rsid w:val="00064E2A"/>
    <w:rsid w:val="00065E19"/>
    <w:rsid w:val="00067A57"/>
    <w:rsid w:val="00070EAC"/>
    <w:rsid w:val="00071FA3"/>
    <w:rsid w:val="00072A58"/>
    <w:rsid w:val="0007336F"/>
    <w:rsid w:val="0007525D"/>
    <w:rsid w:val="000770F3"/>
    <w:rsid w:val="00077440"/>
    <w:rsid w:val="0008062F"/>
    <w:rsid w:val="000809B3"/>
    <w:rsid w:val="00081A0C"/>
    <w:rsid w:val="00081A16"/>
    <w:rsid w:val="00081FF0"/>
    <w:rsid w:val="00082ADE"/>
    <w:rsid w:val="000846A7"/>
    <w:rsid w:val="00085B09"/>
    <w:rsid w:val="00085C37"/>
    <w:rsid w:val="00085DCC"/>
    <w:rsid w:val="000867D1"/>
    <w:rsid w:val="000874F4"/>
    <w:rsid w:val="00087C75"/>
    <w:rsid w:val="00090829"/>
    <w:rsid w:val="00090E70"/>
    <w:rsid w:val="00091B18"/>
    <w:rsid w:val="00091F16"/>
    <w:rsid w:val="00093C26"/>
    <w:rsid w:val="0009484D"/>
    <w:rsid w:val="00095983"/>
    <w:rsid w:val="00095C95"/>
    <w:rsid w:val="00096300"/>
    <w:rsid w:val="000A0A88"/>
    <w:rsid w:val="000A0C4E"/>
    <w:rsid w:val="000A18F9"/>
    <w:rsid w:val="000A19F4"/>
    <w:rsid w:val="000A1F24"/>
    <w:rsid w:val="000A2818"/>
    <w:rsid w:val="000A296F"/>
    <w:rsid w:val="000A2EAB"/>
    <w:rsid w:val="000A3AC0"/>
    <w:rsid w:val="000A4669"/>
    <w:rsid w:val="000A4732"/>
    <w:rsid w:val="000A4839"/>
    <w:rsid w:val="000A531B"/>
    <w:rsid w:val="000A7964"/>
    <w:rsid w:val="000A7B53"/>
    <w:rsid w:val="000B1235"/>
    <w:rsid w:val="000B1B99"/>
    <w:rsid w:val="000B2569"/>
    <w:rsid w:val="000B49AE"/>
    <w:rsid w:val="000B58F0"/>
    <w:rsid w:val="000B6723"/>
    <w:rsid w:val="000B6BE0"/>
    <w:rsid w:val="000B7018"/>
    <w:rsid w:val="000C1105"/>
    <w:rsid w:val="000C13F2"/>
    <w:rsid w:val="000C1781"/>
    <w:rsid w:val="000C1B6F"/>
    <w:rsid w:val="000C20F7"/>
    <w:rsid w:val="000C2BFE"/>
    <w:rsid w:val="000C31E5"/>
    <w:rsid w:val="000C3D4C"/>
    <w:rsid w:val="000C46F3"/>
    <w:rsid w:val="000C6AA1"/>
    <w:rsid w:val="000C7CC7"/>
    <w:rsid w:val="000D074C"/>
    <w:rsid w:val="000D1BA8"/>
    <w:rsid w:val="000D39EE"/>
    <w:rsid w:val="000D4A41"/>
    <w:rsid w:val="000D4E21"/>
    <w:rsid w:val="000D59E2"/>
    <w:rsid w:val="000D5A5C"/>
    <w:rsid w:val="000D6C88"/>
    <w:rsid w:val="000D76F4"/>
    <w:rsid w:val="000D7836"/>
    <w:rsid w:val="000D7C83"/>
    <w:rsid w:val="000D7EFD"/>
    <w:rsid w:val="000E08FE"/>
    <w:rsid w:val="000E3639"/>
    <w:rsid w:val="000E4202"/>
    <w:rsid w:val="000E4745"/>
    <w:rsid w:val="000E488F"/>
    <w:rsid w:val="000E4A68"/>
    <w:rsid w:val="000E4B01"/>
    <w:rsid w:val="000E4BA6"/>
    <w:rsid w:val="000E4F73"/>
    <w:rsid w:val="000E5868"/>
    <w:rsid w:val="000E5AA8"/>
    <w:rsid w:val="000E690A"/>
    <w:rsid w:val="000E78FE"/>
    <w:rsid w:val="000F046E"/>
    <w:rsid w:val="000F13BA"/>
    <w:rsid w:val="000F1F89"/>
    <w:rsid w:val="000F63B6"/>
    <w:rsid w:val="000F6EA5"/>
    <w:rsid w:val="000F765C"/>
    <w:rsid w:val="000F76C4"/>
    <w:rsid w:val="0010108E"/>
    <w:rsid w:val="00101618"/>
    <w:rsid w:val="001023AC"/>
    <w:rsid w:val="00103723"/>
    <w:rsid w:val="00103FE9"/>
    <w:rsid w:val="00104A6A"/>
    <w:rsid w:val="001074A1"/>
    <w:rsid w:val="0010753C"/>
    <w:rsid w:val="00110C6D"/>
    <w:rsid w:val="00113105"/>
    <w:rsid w:val="001135FA"/>
    <w:rsid w:val="001138B8"/>
    <w:rsid w:val="0011423A"/>
    <w:rsid w:val="00115834"/>
    <w:rsid w:val="00115AF5"/>
    <w:rsid w:val="00115B71"/>
    <w:rsid w:val="00117E64"/>
    <w:rsid w:val="001209E7"/>
    <w:rsid w:val="00120B53"/>
    <w:rsid w:val="001215DC"/>
    <w:rsid w:val="001229C6"/>
    <w:rsid w:val="0012490F"/>
    <w:rsid w:val="00125040"/>
    <w:rsid w:val="0012611D"/>
    <w:rsid w:val="001266D5"/>
    <w:rsid w:val="00126926"/>
    <w:rsid w:val="00126D53"/>
    <w:rsid w:val="00127579"/>
    <w:rsid w:val="00130472"/>
    <w:rsid w:val="00131103"/>
    <w:rsid w:val="00133EE6"/>
    <w:rsid w:val="0013421A"/>
    <w:rsid w:val="0013434A"/>
    <w:rsid w:val="00134BE6"/>
    <w:rsid w:val="00134EEA"/>
    <w:rsid w:val="001357E1"/>
    <w:rsid w:val="0013596C"/>
    <w:rsid w:val="00135EA3"/>
    <w:rsid w:val="00136087"/>
    <w:rsid w:val="001366F9"/>
    <w:rsid w:val="001378AC"/>
    <w:rsid w:val="00142F01"/>
    <w:rsid w:val="001436B9"/>
    <w:rsid w:val="00146517"/>
    <w:rsid w:val="00147C0E"/>
    <w:rsid w:val="00150CCD"/>
    <w:rsid w:val="0015200F"/>
    <w:rsid w:val="0015256A"/>
    <w:rsid w:val="00153722"/>
    <w:rsid w:val="0015385C"/>
    <w:rsid w:val="00153C19"/>
    <w:rsid w:val="00155283"/>
    <w:rsid w:val="001552F0"/>
    <w:rsid w:val="00155301"/>
    <w:rsid w:val="00155BD4"/>
    <w:rsid w:val="00156079"/>
    <w:rsid w:val="001615DE"/>
    <w:rsid w:val="00161C4F"/>
    <w:rsid w:val="00162178"/>
    <w:rsid w:val="00163233"/>
    <w:rsid w:val="00167874"/>
    <w:rsid w:val="00170E23"/>
    <w:rsid w:val="001722D8"/>
    <w:rsid w:val="00174A9A"/>
    <w:rsid w:val="001765F3"/>
    <w:rsid w:val="00180316"/>
    <w:rsid w:val="00180337"/>
    <w:rsid w:val="00180C20"/>
    <w:rsid w:val="00182D6E"/>
    <w:rsid w:val="00182EA1"/>
    <w:rsid w:val="00183D4C"/>
    <w:rsid w:val="001849A2"/>
    <w:rsid w:val="00184AA7"/>
    <w:rsid w:val="00185268"/>
    <w:rsid w:val="001855C0"/>
    <w:rsid w:val="0018560D"/>
    <w:rsid w:val="00186B09"/>
    <w:rsid w:val="0019060B"/>
    <w:rsid w:val="00190E21"/>
    <w:rsid w:val="0019257A"/>
    <w:rsid w:val="00193514"/>
    <w:rsid w:val="001936BE"/>
    <w:rsid w:val="00193DF7"/>
    <w:rsid w:val="00194065"/>
    <w:rsid w:val="001941D1"/>
    <w:rsid w:val="00194CD1"/>
    <w:rsid w:val="00194E8F"/>
    <w:rsid w:val="00194EEE"/>
    <w:rsid w:val="001962B3"/>
    <w:rsid w:val="001967FC"/>
    <w:rsid w:val="001970FB"/>
    <w:rsid w:val="00197516"/>
    <w:rsid w:val="001A025E"/>
    <w:rsid w:val="001A0C94"/>
    <w:rsid w:val="001A2835"/>
    <w:rsid w:val="001A36F0"/>
    <w:rsid w:val="001A4175"/>
    <w:rsid w:val="001A4E5E"/>
    <w:rsid w:val="001A57FD"/>
    <w:rsid w:val="001A5B43"/>
    <w:rsid w:val="001A5BE2"/>
    <w:rsid w:val="001A6222"/>
    <w:rsid w:val="001A7E0B"/>
    <w:rsid w:val="001B0DB1"/>
    <w:rsid w:val="001B1B58"/>
    <w:rsid w:val="001B307C"/>
    <w:rsid w:val="001B389C"/>
    <w:rsid w:val="001B3F56"/>
    <w:rsid w:val="001B4158"/>
    <w:rsid w:val="001B416B"/>
    <w:rsid w:val="001B4DF1"/>
    <w:rsid w:val="001B50D2"/>
    <w:rsid w:val="001B6F61"/>
    <w:rsid w:val="001C0209"/>
    <w:rsid w:val="001C0E26"/>
    <w:rsid w:val="001C1935"/>
    <w:rsid w:val="001C21CA"/>
    <w:rsid w:val="001C28BA"/>
    <w:rsid w:val="001C456C"/>
    <w:rsid w:val="001C4D5A"/>
    <w:rsid w:val="001C7BF2"/>
    <w:rsid w:val="001D04A8"/>
    <w:rsid w:val="001D04FF"/>
    <w:rsid w:val="001D17F4"/>
    <w:rsid w:val="001D1FEA"/>
    <w:rsid w:val="001D22D6"/>
    <w:rsid w:val="001D2DD6"/>
    <w:rsid w:val="001D42E6"/>
    <w:rsid w:val="001D4975"/>
    <w:rsid w:val="001D49AD"/>
    <w:rsid w:val="001D6BA0"/>
    <w:rsid w:val="001D701F"/>
    <w:rsid w:val="001D709B"/>
    <w:rsid w:val="001D7FB5"/>
    <w:rsid w:val="001E0CF6"/>
    <w:rsid w:val="001E2D1E"/>
    <w:rsid w:val="001E3BA9"/>
    <w:rsid w:val="001E4B4D"/>
    <w:rsid w:val="001E4C57"/>
    <w:rsid w:val="001E6717"/>
    <w:rsid w:val="001E6750"/>
    <w:rsid w:val="001E689B"/>
    <w:rsid w:val="001E7243"/>
    <w:rsid w:val="001E7C1C"/>
    <w:rsid w:val="001F0233"/>
    <w:rsid w:val="001F10C2"/>
    <w:rsid w:val="001F14EB"/>
    <w:rsid w:val="001F4D95"/>
    <w:rsid w:val="001F7400"/>
    <w:rsid w:val="001F7BB0"/>
    <w:rsid w:val="001F7CA7"/>
    <w:rsid w:val="00201050"/>
    <w:rsid w:val="00201886"/>
    <w:rsid w:val="00201D91"/>
    <w:rsid w:val="00202A40"/>
    <w:rsid w:val="00203266"/>
    <w:rsid w:val="0020367E"/>
    <w:rsid w:val="0020471C"/>
    <w:rsid w:val="00204D0A"/>
    <w:rsid w:val="00204EA6"/>
    <w:rsid w:val="0020759E"/>
    <w:rsid w:val="00210593"/>
    <w:rsid w:val="002107FF"/>
    <w:rsid w:val="00210B1E"/>
    <w:rsid w:val="00212111"/>
    <w:rsid w:val="00213E49"/>
    <w:rsid w:val="002147CD"/>
    <w:rsid w:val="00215359"/>
    <w:rsid w:val="00215B35"/>
    <w:rsid w:val="00215F73"/>
    <w:rsid w:val="00216DC3"/>
    <w:rsid w:val="00217D8B"/>
    <w:rsid w:val="0022104D"/>
    <w:rsid w:val="00221916"/>
    <w:rsid w:val="0022196A"/>
    <w:rsid w:val="00221A06"/>
    <w:rsid w:val="002223AF"/>
    <w:rsid w:val="00224466"/>
    <w:rsid w:val="0022447A"/>
    <w:rsid w:val="00224692"/>
    <w:rsid w:val="00224714"/>
    <w:rsid w:val="002247AD"/>
    <w:rsid w:val="00224E67"/>
    <w:rsid w:val="002260BF"/>
    <w:rsid w:val="002267D0"/>
    <w:rsid w:val="00226A85"/>
    <w:rsid w:val="002276A7"/>
    <w:rsid w:val="0022DF0C"/>
    <w:rsid w:val="00230666"/>
    <w:rsid w:val="002310C9"/>
    <w:rsid w:val="00232288"/>
    <w:rsid w:val="00232FCD"/>
    <w:rsid w:val="0023586E"/>
    <w:rsid w:val="00235F55"/>
    <w:rsid w:val="0023693F"/>
    <w:rsid w:val="00236BF8"/>
    <w:rsid w:val="0024009D"/>
    <w:rsid w:val="002400E5"/>
    <w:rsid w:val="0024065B"/>
    <w:rsid w:val="002409BB"/>
    <w:rsid w:val="00240D0F"/>
    <w:rsid w:val="00241A82"/>
    <w:rsid w:val="00241E69"/>
    <w:rsid w:val="0024232D"/>
    <w:rsid w:val="0024454E"/>
    <w:rsid w:val="00244786"/>
    <w:rsid w:val="0024586E"/>
    <w:rsid w:val="0025038B"/>
    <w:rsid w:val="00250E1F"/>
    <w:rsid w:val="0025229C"/>
    <w:rsid w:val="00252EE5"/>
    <w:rsid w:val="00255506"/>
    <w:rsid w:val="002564C4"/>
    <w:rsid w:val="00256C78"/>
    <w:rsid w:val="00257190"/>
    <w:rsid w:val="00261087"/>
    <w:rsid w:val="00261221"/>
    <w:rsid w:val="00261256"/>
    <w:rsid w:val="0026130A"/>
    <w:rsid w:val="00261F15"/>
    <w:rsid w:val="00262041"/>
    <w:rsid w:val="0026208D"/>
    <w:rsid w:val="002655BB"/>
    <w:rsid w:val="00265E51"/>
    <w:rsid w:val="00266768"/>
    <w:rsid w:val="002678FB"/>
    <w:rsid w:val="00271066"/>
    <w:rsid w:val="002725E9"/>
    <w:rsid w:val="00272765"/>
    <w:rsid w:val="00272CF0"/>
    <w:rsid w:val="002734B7"/>
    <w:rsid w:val="002736E9"/>
    <w:rsid w:val="0027381C"/>
    <w:rsid w:val="00274E1F"/>
    <w:rsid w:val="002756E3"/>
    <w:rsid w:val="00275CF5"/>
    <w:rsid w:val="002763AE"/>
    <w:rsid w:val="00280225"/>
    <w:rsid w:val="00280C09"/>
    <w:rsid w:val="00280E99"/>
    <w:rsid w:val="00281CE8"/>
    <w:rsid w:val="0028274C"/>
    <w:rsid w:val="002827DF"/>
    <w:rsid w:val="00282A85"/>
    <w:rsid w:val="00284631"/>
    <w:rsid w:val="00285866"/>
    <w:rsid w:val="00286170"/>
    <w:rsid w:val="0028671F"/>
    <w:rsid w:val="00290289"/>
    <w:rsid w:val="002910F0"/>
    <w:rsid w:val="0029176A"/>
    <w:rsid w:val="002921A1"/>
    <w:rsid w:val="0029251A"/>
    <w:rsid w:val="0029365F"/>
    <w:rsid w:val="00293965"/>
    <w:rsid w:val="00293BB0"/>
    <w:rsid w:val="00295391"/>
    <w:rsid w:val="002954AA"/>
    <w:rsid w:val="00295EBB"/>
    <w:rsid w:val="002975B9"/>
    <w:rsid w:val="002A11AD"/>
    <w:rsid w:val="002A1BCD"/>
    <w:rsid w:val="002A34E6"/>
    <w:rsid w:val="002A41A8"/>
    <w:rsid w:val="002A4B97"/>
    <w:rsid w:val="002A4F7A"/>
    <w:rsid w:val="002A6144"/>
    <w:rsid w:val="002B0545"/>
    <w:rsid w:val="002B09F4"/>
    <w:rsid w:val="002B1FE2"/>
    <w:rsid w:val="002B2235"/>
    <w:rsid w:val="002B2B83"/>
    <w:rsid w:val="002B39F8"/>
    <w:rsid w:val="002B3F6F"/>
    <w:rsid w:val="002B492B"/>
    <w:rsid w:val="002B4E58"/>
    <w:rsid w:val="002B5961"/>
    <w:rsid w:val="002B6AEE"/>
    <w:rsid w:val="002B7BB9"/>
    <w:rsid w:val="002B7C36"/>
    <w:rsid w:val="002C11E9"/>
    <w:rsid w:val="002C1531"/>
    <w:rsid w:val="002C25D3"/>
    <w:rsid w:val="002C32FF"/>
    <w:rsid w:val="002C34B8"/>
    <w:rsid w:val="002C4EE9"/>
    <w:rsid w:val="002C5F14"/>
    <w:rsid w:val="002C6300"/>
    <w:rsid w:val="002C688F"/>
    <w:rsid w:val="002C6917"/>
    <w:rsid w:val="002C6B74"/>
    <w:rsid w:val="002C6F14"/>
    <w:rsid w:val="002D04D3"/>
    <w:rsid w:val="002D0677"/>
    <w:rsid w:val="002D1B11"/>
    <w:rsid w:val="002D20E7"/>
    <w:rsid w:val="002D387C"/>
    <w:rsid w:val="002D4984"/>
    <w:rsid w:val="002D4BD2"/>
    <w:rsid w:val="002D56EC"/>
    <w:rsid w:val="002D6497"/>
    <w:rsid w:val="002D6802"/>
    <w:rsid w:val="002D7478"/>
    <w:rsid w:val="002D7CCE"/>
    <w:rsid w:val="002D7D55"/>
    <w:rsid w:val="002E08A7"/>
    <w:rsid w:val="002E1C57"/>
    <w:rsid w:val="002E2022"/>
    <w:rsid w:val="002E23EC"/>
    <w:rsid w:val="002E2D79"/>
    <w:rsid w:val="002E31EF"/>
    <w:rsid w:val="002E401D"/>
    <w:rsid w:val="002E4CE9"/>
    <w:rsid w:val="002E4E83"/>
    <w:rsid w:val="002E502E"/>
    <w:rsid w:val="002E589F"/>
    <w:rsid w:val="002E5FBF"/>
    <w:rsid w:val="002E70D5"/>
    <w:rsid w:val="002E75A7"/>
    <w:rsid w:val="002E7744"/>
    <w:rsid w:val="002E7EAD"/>
    <w:rsid w:val="002F0795"/>
    <w:rsid w:val="002F0E70"/>
    <w:rsid w:val="002F150D"/>
    <w:rsid w:val="002F2521"/>
    <w:rsid w:val="002F25C3"/>
    <w:rsid w:val="002F3D61"/>
    <w:rsid w:val="002F4854"/>
    <w:rsid w:val="002F4E3B"/>
    <w:rsid w:val="002F5E69"/>
    <w:rsid w:val="002F6126"/>
    <w:rsid w:val="002F6DDD"/>
    <w:rsid w:val="002F7F1A"/>
    <w:rsid w:val="00300C27"/>
    <w:rsid w:val="0030136A"/>
    <w:rsid w:val="003016AA"/>
    <w:rsid w:val="003018B0"/>
    <w:rsid w:val="00303306"/>
    <w:rsid w:val="003050ED"/>
    <w:rsid w:val="00306C97"/>
    <w:rsid w:val="00306EFA"/>
    <w:rsid w:val="00307C4F"/>
    <w:rsid w:val="003100A2"/>
    <w:rsid w:val="003112A9"/>
    <w:rsid w:val="0031139E"/>
    <w:rsid w:val="00311E85"/>
    <w:rsid w:val="003138FC"/>
    <w:rsid w:val="00313E8A"/>
    <w:rsid w:val="00314245"/>
    <w:rsid w:val="0031468F"/>
    <w:rsid w:val="0031479F"/>
    <w:rsid w:val="00315E40"/>
    <w:rsid w:val="00316788"/>
    <w:rsid w:val="00316DCC"/>
    <w:rsid w:val="003208C8"/>
    <w:rsid w:val="00322101"/>
    <w:rsid w:val="0032261D"/>
    <w:rsid w:val="00323B30"/>
    <w:rsid w:val="00324B1E"/>
    <w:rsid w:val="0032514C"/>
    <w:rsid w:val="00326644"/>
    <w:rsid w:val="00327378"/>
    <w:rsid w:val="00327D30"/>
    <w:rsid w:val="003310E3"/>
    <w:rsid w:val="00331938"/>
    <w:rsid w:val="00331B23"/>
    <w:rsid w:val="00331DCD"/>
    <w:rsid w:val="00333A2D"/>
    <w:rsid w:val="00334321"/>
    <w:rsid w:val="0033462C"/>
    <w:rsid w:val="00334D9F"/>
    <w:rsid w:val="00334DE1"/>
    <w:rsid w:val="00336470"/>
    <w:rsid w:val="00336B23"/>
    <w:rsid w:val="00336E30"/>
    <w:rsid w:val="00340008"/>
    <w:rsid w:val="0034134A"/>
    <w:rsid w:val="003415FE"/>
    <w:rsid w:val="0034232F"/>
    <w:rsid w:val="003434B6"/>
    <w:rsid w:val="00343A3D"/>
    <w:rsid w:val="00343F69"/>
    <w:rsid w:val="00345686"/>
    <w:rsid w:val="003458A2"/>
    <w:rsid w:val="00346073"/>
    <w:rsid w:val="00346908"/>
    <w:rsid w:val="0034721A"/>
    <w:rsid w:val="00347F4F"/>
    <w:rsid w:val="00350210"/>
    <w:rsid w:val="00350F76"/>
    <w:rsid w:val="00351743"/>
    <w:rsid w:val="003517A3"/>
    <w:rsid w:val="00351831"/>
    <w:rsid w:val="00351B39"/>
    <w:rsid w:val="00351D59"/>
    <w:rsid w:val="003524B0"/>
    <w:rsid w:val="003526BB"/>
    <w:rsid w:val="003550F2"/>
    <w:rsid w:val="003558B8"/>
    <w:rsid w:val="003559D3"/>
    <w:rsid w:val="00356959"/>
    <w:rsid w:val="0035701C"/>
    <w:rsid w:val="00360024"/>
    <w:rsid w:val="00362276"/>
    <w:rsid w:val="003632EE"/>
    <w:rsid w:val="00364745"/>
    <w:rsid w:val="0036497A"/>
    <w:rsid w:val="00366359"/>
    <w:rsid w:val="00366838"/>
    <w:rsid w:val="003676D3"/>
    <w:rsid w:val="00370B57"/>
    <w:rsid w:val="00370CD6"/>
    <w:rsid w:val="00371825"/>
    <w:rsid w:val="0037227B"/>
    <w:rsid w:val="00373612"/>
    <w:rsid w:val="0037378C"/>
    <w:rsid w:val="00374988"/>
    <w:rsid w:val="003754BF"/>
    <w:rsid w:val="00375C19"/>
    <w:rsid w:val="0037705D"/>
    <w:rsid w:val="003772C6"/>
    <w:rsid w:val="00377D59"/>
    <w:rsid w:val="003804A3"/>
    <w:rsid w:val="00380D8A"/>
    <w:rsid w:val="00381A54"/>
    <w:rsid w:val="003824FA"/>
    <w:rsid w:val="00382EE1"/>
    <w:rsid w:val="003847D8"/>
    <w:rsid w:val="00384AA3"/>
    <w:rsid w:val="00385EC8"/>
    <w:rsid w:val="003865FB"/>
    <w:rsid w:val="00387FF8"/>
    <w:rsid w:val="00390A19"/>
    <w:rsid w:val="00390D71"/>
    <w:rsid w:val="0039133A"/>
    <w:rsid w:val="00391ACC"/>
    <w:rsid w:val="003942C9"/>
    <w:rsid w:val="003943D5"/>
    <w:rsid w:val="003953C4"/>
    <w:rsid w:val="00395832"/>
    <w:rsid w:val="003979AE"/>
    <w:rsid w:val="00397C7F"/>
    <w:rsid w:val="003A0943"/>
    <w:rsid w:val="003A0BA1"/>
    <w:rsid w:val="003A2419"/>
    <w:rsid w:val="003A4B83"/>
    <w:rsid w:val="003A4D97"/>
    <w:rsid w:val="003A5C78"/>
    <w:rsid w:val="003A6B84"/>
    <w:rsid w:val="003A7E2F"/>
    <w:rsid w:val="003A7F3F"/>
    <w:rsid w:val="003B04CA"/>
    <w:rsid w:val="003B2E1F"/>
    <w:rsid w:val="003B356C"/>
    <w:rsid w:val="003B53B6"/>
    <w:rsid w:val="003B55AB"/>
    <w:rsid w:val="003B56F5"/>
    <w:rsid w:val="003B5A9A"/>
    <w:rsid w:val="003C09EA"/>
    <w:rsid w:val="003C1306"/>
    <w:rsid w:val="003C13C6"/>
    <w:rsid w:val="003C1F7C"/>
    <w:rsid w:val="003C20B2"/>
    <w:rsid w:val="003C2D6B"/>
    <w:rsid w:val="003C391B"/>
    <w:rsid w:val="003C501E"/>
    <w:rsid w:val="003C52F6"/>
    <w:rsid w:val="003C5470"/>
    <w:rsid w:val="003C57BB"/>
    <w:rsid w:val="003C6F64"/>
    <w:rsid w:val="003D0602"/>
    <w:rsid w:val="003D16B4"/>
    <w:rsid w:val="003D21B5"/>
    <w:rsid w:val="003D27F6"/>
    <w:rsid w:val="003D4300"/>
    <w:rsid w:val="003D5132"/>
    <w:rsid w:val="003D61A8"/>
    <w:rsid w:val="003D6AD3"/>
    <w:rsid w:val="003E05FC"/>
    <w:rsid w:val="003E2A67"/>
    <w:rsid w:val="003E3693"/>
    <w:rsid w:val="003E46ED"/>
    <w:rsid w:val="003E4A11"/>
    <w:rsid w:val="003E4A41"/>
    <w:rsid w:val="003E508C"/>
    <w:rsid w:val="003E5FD0"/>
    <w:rsid w:val="003E622C"/>
    <w:rsid w:val="003E634A"/>
    <w:rsid w:val="003E7547"/>
    <w:rsid w:val="003F0619"/>
    <w:rsid w:val="003F1571"/>
    <w:rsid w:val="003F15D4"/>
    <w:rsid w:val="003F18A4"/>
    <w:rsid w:val="003F267F"/>
    <w:rsid w:val="003F3149"/>
    <w:rsid w:val="003F3151"/>
    <w:rsid w:val="003F354B"/>
    <w:rsid w:val="003F417E"/>
    <w:rsid w:val="003F4F73"/>
    <w:rsid w:val="003F65BF"/>
    <w:rsid w:val="00400149"/>
    <w:rsid w:val="004003D1"/>
    <w:rsid w:val="00401009"/>
    <w:rsid w:val="00401229"/>
    <w:rsid w:val="004012A0"/>
    <w:rsid w:val="00401B4D"/>
    <w:rsid w:val="00402B47"/>
    <w:rsid w:val="00403D7E"/>
    <w:rsid w:val="00404793"/>
    <w:rsid w:val="0040704D"/>
    <w:rsid w:val="00411AC0"/>
    <w:rsid w:val="00411BDD"/>
    <w:rsid w:val="00414CDD"/>
    <w:rsid w:val="004163D7"/>
    <w:rsid w:val="004206D8"/>
    <w:rsid w:val="00421775"/>
    <w:rsid w:val="004220DE"/>
    <w:rsid w:val="00422213"/>
    <w:rsid w:val="00422A0B"/>
    <w:rsid w:val="0042380D"/>
    <w:rsid w:val="004269CF"/>
    <w:rsid w:val="00427EF9"/>
    <w:rsid w:val="00427F34"/>
    <w:rsid w:val="00427FBF"/>
    <w:rsid w:val="0043012E"/>
    <w:rsid w:val="00430812"/>
    <w:rsid w:val="00430D26"/>
    <w:rsid w:val="00432BDD"/>
    <w:rsid w:val="00433316"/>
    <w:rsid w:val="00433577"/>
    <w:rsid w:val="0043393D"/>
    <w:rsid w:val="00436C3A"/>
    <w:rsid w:val="004412D5"/>
    <w:rsid w:val="0044233D"/>
    <w:rsid w:val="00442993"/>
    <w:rsid w:val="0044396F"/>
    <w:rsid w:val="00444303"/>
    <w:rsid w:val="00444554"/>
    <w:rsid w:val="00444BD9"/>
    <w:rsid w:val="0044587B"/>
    <w:rsid w:val="00446026"/>
    <w:rsid w:val="004478CA"/>
    <w:rsid w:val="00451306"/>
    <w:rsid w:val="004523FE"/>
    <w:rsid w:val="00452639"/>
    <w:rsid w:val="00453786"/>
    <w:rsid w:val="00455A9C"/>
    <w:rsid w:val="004561EE"/>
    <w:rsid w:val="0045694E"/>
    <w:rsid w:val="00456EAE"/>
    <w:rsid w:val="00457124"/>
    <w:rsid w:val="00457711"/>
    <w:rsid w:val="00457918"/>
    <w:rsid w:val="00457950"/>
    <w:rsid w:val="004603AD"/>
    <w:rsid w:val="004605F2"/>
    <w:rsid w:val="00461216"/>
    <w:rsid w:val="00462EDD"/>
    <w:rsid w:val="00463BF1"/>
    <w:rsid w:val="00464ADF"/>
    <w:rsid w:val="00464B6D"/>
    <w:rsid w:val="00464D42"/>
    <w:rsid w:val="00465074"/>
    <w:rsid w:val="00465E07"/>
    <w:rsid w:val="00466164"/>
    <w:rsid w:val="00466390"/>
    <w:rsid w:val="00466A47"/>
    <w:rsid w:val="00466C80"/>
    <w:rsid w:val="00467A58"/>
    <w:rsid w:val="00467BD6"/>
    <w:rsid w:val="00470868"/>
    <w:rsid w:val="004726B3"/>
    <w:rsid w:val="004727C2"/>
    <w:rsid w:val="004730BE"/>
    <w:rsid w:val="00473AC1"/>
    <w:rsid w:val="00474AC8"/>
    <w:rsid w:val="00477B37"/>
    <w:rsid w:val="004816C1"/>
    <w:rsid w:val="00482908"/>
    <w:rsid w:val="00482CC1"/>
    <w:rsid w:val="0048361E"/>
    <w:rsid w:val="004837DC"/>
    <w:rsid w:val="00484365"/>
    <w:rsid w:val="0048484D"/>
    <w:rsid w:val="00485019"/>
    <w:rsid w:val="004854D3"/>
    <w:rsid w:val="00485E1E"/>
    <w:rsid w:val="004879B8"/>
    <w:rsid w:val="00490330"/>
    <w:rsid w:val="0049287F"/>
    <w:rsid w:val="00492CAB"/>
    <w:rsid w:val="00494B89"/>
    <w:rsid w:val="00494D4B"/>
    <w:rsid w:val="004951E8"/>
    <w:rsid w:val="004966FE"/>
    <w:rsid w:val="00496C75"/>
    <w:rsid w:val="00496EAA"/>
    <w:rsid w:val="004971F1"/>
    <w:rsid w:val="004A0A15"/>
    <w:rsid w:val="004A2974"/>
    <w:rsid w:val="004A3001"/>
    <w:rsid w:val="004A3258"/>
    <w:rsid w:val="004A6A8F"/>
    <w:rsid w:val="004A6DD1"/>
    <w:rsid w:val="004A6F31"/>
    <w:rsid w:val="004B03C5"/>
    <w:rsid w:val="004B0F31"/>
    <w:rsid w:val="004B1132"/>
    <w:rsid w:val="004B1AF1"/>
    <w:rsid w:val="004B2192"/>
    <w:rsid w:val="004B2CAC"/>
    <w:rsid w:val="004B2DC3"/>
    <w:rsid w:val="004B30A3"/>
    <w:rsid w:val="004B3295"/>
    <w:rsid w:val="004B33EA"/>
    <w:rsid w:val="004B3704"/>
    <w:rsid w:val="004B391E"/>
    <w:rsid w:val="004B60A5"/>
    <w:rsid w:val="004B7931"/>
    <w:rsid w:val="004B7DC9"/>
    <w:rsid w:val="004C0575"/>
    <w:rsid w:val="004C0F47"/>
    <w:rsid w:val="004C1AE7"/>
    <w:rsid w:val="004C1B57"/>
    <w:rsid w:val="004C2BB5"/>
    <w:rsid w:val="004C31EB"/>
    <w:rsid w:val="004C3A05"/>
    <w:rsid w:val="004C3E54"/>
    <w:rsid w:val="004C5206"/>
    <w:rsid w:val="004C5E84"/>
    <w:rsid w:val="004C64E7"/>
    <w:rsid w:val="004C6BF5"/>
    <w:rsid w:val="004C73AF"/>
    <w:rsid w:val="004C74F8"/>
    <w:rsid w:val="004D06BA"/>
    <w:rsid w:val="004D0EEC"/>
    <w:rsid w:val="004D1711"/>
    <w:rsid w:val="004D32C3"/>
    <w:rsid w:val="004D3C6E"/>
    <w:rsid w:val="004D50F6"/>
    <w:rsid w:val="004D5146"/>
    <w:rsid w:val="004D549E"/>
    <w:rsid w:val="004D72BB"/>
    <w:rsid w:val="004D7623"/>
    <w:rsid w:val="004E069E"/>
    <w:rsid w:val="004E12D4"/>
    <w:rsid w:val="004E13F6"/>
    <w:rsid w:val="004E141D"/>
    <w:rsid w:val="004E1DC8"/>
    <w:rsid w:val="004E1FF6"/>
    <w:rsid w:val="004E23DD"/>
    <w:rsid w:val="004E259E"/>
    <w:rsid w:val="004E504E"/>
    <w:rsid w:val="004E5F60"/>
    <w:rsid w:val="004E6B81"/>
    <w:rsid w:val="004E6FA2"/>
    <w:rsid w:val="004E7487"/>
    <w:rsid w:val="004F2496"/>
    <w:rsid w:val="004F25F4"/>
    <w:rsid w:val="004F277F"/>
    <w:rsid w:val="004F32A3"/>
    <w:rsid w:val="004F3641"/>
    <w:rsid w:val="004F3AFD"/>
    <w:rsid w:val="004F3B57"/>
    <w:rsid w:val="004F3F73"/>
    <w:rsid w:val="004F41FE"/>
    <w:rsid w:val="004F4571"/>
    <w:rsid w:val="004F6040"/>
    <w:rsid w:val="004F63CD"/>
    <w:rsid w:val="005019C9"/>
    <w:rsid w:val="00502998"/>
    <w:rsid w:val="00503BE6"/>
    <w:rsid w:val="00504A64"/>
    <w:rsid w:val="00504F0B"/>
    <w:rsid w:val="00505767"/>
    <w:rsid w:val="0050611B"/>
    <w:rsid w:val="0050640B"/>
    <w:rsid w:val="00507BC3"/>
    <w:rsid w:val="0051029C"/>
    <w:rsid w:val="00510390"/>
    <w:rsid w:val="00510655"/>
    <w:rsid w:val="005106CA"/>
    <w:rsid w:val="00512E06"/>
    <w:rsid w:val="00512F67"/>
    <w:rsid w:val="00515112"/>
    <w:rsid w:val="005171E0"/>
    <w:rsid w:val="005173AB"/>
    <w:rsid w:val="00520DE7"/>
    <w:rsid w:val="00521BEE"/>
    <w:rsid w:val="00522350"/>
    <w:rsid w:val="00523670"/>
    <w:rsid w:val="00523772"/>
    <w:rsid w:val="00523C26"/>
    <w:rsid w:val="005246B0"/>
    <w:rsid w:val="00525D74"/>
    <w:rsid w:val="00526D67"/>
    <w:rsid w:val="00527154"/>
    <w:rsid w:val="005271DC"/>
    <w:rsid w:val="005278BA"/>
    <w:rsid w:val="00527BF5"/>
    <w:rsid w:val="0053032B"/>
    <w:rsid w:val="00530561"/>
    <w:rsid w:val="00530DB0"/>
    <w:rsid w:val="0053190B"/>
    <w:rsid w:val="00531A41"/>
    <w:rsid w:val="00531E11"/>
    <w:rsid w:val="00533CAF"/>
    <w:rsid w:val="005349A5"/>
    <w:rsid w:val="00540FF8"/>
    <w:rsid w:val="00541866"/>
    <w:rsid w:val="00541988"/>
    <w:rsid w:val="00541D66"/>
    <w:rsid w:val="00543F6A"/>
    <w:rsid w:val="00545562"/>
    <w:rsid w:val="00545BAB"/>
    <w:rsid w:val="0054669C"/>
    <w:rsid w:val="00546DC0"/>
    <w:rsid w:val="00547A9D"/>
    <w:rsid w:val="00547E18"/>
    <w:rsid w:val="0055132B"/>
    <w:rsid w:val="005518E4"/>
    <w:rsid w:val="005521BE"/>
    <w:rsid w:val="00553319"/>
    <w:rsid w:val="005535B5"/>
    <w:rsid w:val="00556984"/>
    <w:rsid w:val="00556EC4"/>
    <w:rsid w:val="0055711F"/>
    <w:rsid w:val="00557FA3"/>
    <w:rsid w:val="0056020F"/>
    <w:rsid w:val="00560E0A"/>
    <w:rsid w:val="0056202F"/>
    <w:rsid w:val="005635A9"/>
    <w:rsid w:val="005652EE"/>
    <w:rsid w:val="00565662"/>
    <w:rsid w:val="00567CCD"/>
    <w:rsid w:val="00570628"/>
    <w:rsid w:val="005710F5"/>
    <w:rsid w:val="00572182"/>
    <w:rsid w:val="00577309"/>
    <w:rsid w:val="0057753A"/>
    <w:rsid w:val="00577BC5"/>
    <w:rsid w:val="00581259"/>
    <w:rsid w:val="005824F1"/>
    <w:rsid w:val="00584382"/>
    <w:rsid w:val="00584DFC"/>
    <w:rsid w:val="005854D3"/>
    <w:rsid w:val="00585F22"/>
    <w:rsid w:val="005861AE"/>
    <w:rsid w:val="005865EE"/>
    <w:rsid w:val="00587EF6"/>
    <w:rsid w:val="00590630"/>
    <w:rsid w:val="00590E73"/>
    <w:rsid w:val="005916AF"/>
    <w:rsid w:val="00591D8B"/>
    <w:rsid w:val="00591E27"/>
    <w:rsid w:val="005920CB"/>
    <w:rsid w:val="0059272E"/>
    <w:rsid w:val="00592E0B"/>
    <w:rsid w:val="005933D0"/>
    <w:rsid w:val="00595277"/>
    <w:rsid w:val="005961B9"/>
    <w:rsid w:val="00597117"/>
    <w:rsid w:val="005971AF"/>
    <w:rsid w:val="00597EA7"/>
    <w:rsid w:val="005A0706"/>
    <w:rsid w:val="005A0AFC"/>
    <w:rsid w:val="005A1631"/>
    <w:rsid w:val="005A1E0F"/>
    <w:rsid w:val="005A246F"/>
    <w:rsid w:val="005A29CC"/>
    <w:rsid w:val="005A2C54"/>
    <w:rsid w:val="005A2FAA"/>
    <w:rsid w:val="005A34A7"/>
    <w:rsid w:val="005A405E"/>
    <w:rsid w:val="005A684D"/>
    <w:rsid w:val="005A799B"/>
    <w:rsid w:val="005B053D"/>
    <w:rsid w:val="005B0833"/>
    <w:rsid w:val="005B0D1F"/>
    <w:rsid w:val="005B1180"/>
    <w:rsid w:val="005B2320"/>
    <w:rsid w:val="005B2606"/>
    <w:rsid w:val="005B269A"/>
    <w:rsid w:val="005B326D"/>
    <w:rsid w:val="005B3CDC"/>
    <w:rsid w:val="005B3D58"/>
    <w:rsid w:val="005B4611"/>
    <w:rsid w:val="005B4CA8"/>
    <w:rsid w:val="005B5A7D"/>
    <w:rsid w:val="005C0096"/>
    <w:rsid w:val="005C08A1"/>
    <w:rsid w:val="005C15F7"/>
    <w:rsid w:val="005C1AC5"/>
    <w:rsid w:val="005C32F3"/>
    <w:rsid w:val="005C34CA"/>
    <w:rsid w:val="005C3CF0"/>
    <w:rsid w:val="005C3E1F"/>
    <w:rsid w:val="005C3ECD"/>
    <w:rsid w:val="005C4E5A"/>
    <w:rsid w:val="005C78B3"/>
    <w:rsid w:val="005D02FC"/>
    <w:rsid w:val="005D119B"/>
    <w:rsid w:val="005D2900"/>
    <w:rsid w:val="005D3512"/>
    <w:rsid w:val="005D3B78"/>
    <w:rsid w:val="005D3E59"/>
    <w:rsid w:val="005D42A9"/>
    <w:rsid w:val="005D513C"/>
    <w:rsid w:val="005D5304"/>
    <w:rsid w:val="005D666F"/>
    <w:rsid w:val="005D6FA1"/>
    <w:rsid w:val="005E0C48"/>
    <w:rsid w:val="005E1651"/>
    <w:rsid w:val="005E1A83"/>
    <w:rsid w:val="005E31AC"/>
    <w:rsid w:val="005E34FD"/>
    <w:rsid w:val="005E45B0"/>
    <w:rsid w:val="005E5043"/>
    <w:rsid w:val="005E58C2"/>
    <w:rsid w:val="005E6443"/>
    <w:rsid w:val="005E6647"/>
    <w:rsid w:val="005F0581"/>
    <w:rsid w:val="005F1EEB"/>
    <w:rsid w:val="005F252F"/>
    <w:rsid w:val="005F5EDA"/>
    <w:rsid w:val="005F608E"/>
    <w:rsid w:val="005F7B25"/>
    <w:rsid w:val="005F7D0D"/>
    <w:rsid w:val="006013D2"/>
    <w:rsid w:val="00601C5A"/>
    <w:rsid w:val="00602E3C"/>
    <w:rsid w:val="00602EE4"/>
    <w:rsid w:val="00603461"/>
    <w:rsid w:val="006068B4"/>
    <w:rsid w:val="006079B4"/>
    <w:rsid w:val="00607B0F"/>
    <w:rsid w:val="00607C87"/>
    <w:rsid w:val="006106CD"/>
    <w:rsid w:val="006116FE"/>
    <w:rsid w:val="00611B90"/>
    <w:rsid w:val="00614293"/>
    <w:rsid w:val="00614FF0"/>
    <w:rsid w:val="00616AB4"/>
    <w:rsid w:val="00617877"/>
    <w:rsid w:val="00617ED1"/>
    <w:rsid w:val="006200F6"/>
    <w:rsid w:val="00620CC0"/>
    <w:rsid w:val="00621840"/>
    <w:rsid w:val="006222FA"/>
    <w:rsid w:val="006224FC"/>
    <w:rsid w:val="006244D6"/>
    <w:rsid w:val="006246EB"/>
    <w:rsid w:val="006254A4"/>
    <w:rsid w:val="00625A7C"/>
    <w:rsid w:val="006260BC"/>
    <w:rsid w:val="00626339"/>
    <w:rsid w:val="00626577"/>
    <w:rsid w:val="0063002E"/>
    <w:rsid w:val="006314BC"/>
    <w:rsid w:val="00631F76"/>
    <w:rsid w:val="006320E9"/>
    <w:rsid w:val="00632B6F"/>
    <w:rsid w:val="006330AD"/>
    <w:rsid w:val="00635CE2"/>
    <w:rsid w:val="00637245"/>
    <w:rsid w:val="0063782C"/>
    <w:rsid w:val="00637F9C"/>
    <w:rsid w:val="00640595"/>
    <w:rsid w:val="00641968"/>
    <w:rsid w:val="00644395"/>
    <w:rsid w:val="006449C9"/>
    <w:rsid w:val="006461FB"/>
    <w:rsid w:val="00646A42"/>
    <w:rsid w:val="006507F3"/>
    <w:rsid w:val="00650D65"/>
    <w:rsid w:val="00650D9E"/>
    <w:rsid w:val="00656077"/>
    <w:rsid w:val="006569D7"/>
    <w:rsid w:val="00656DFE"/>
    <w:rsid w:val="00656E38"/>
    <w:rsid w:val="00657D8D"/>
    <w:rsid w:val="00660576"/>
    <w:rsid w:val="0066185B"/>
    <w:rsid w:val="0066786F"/>
    <w:rsid w:val="00667FF1"/>
    <w:rsid w:val="00670A50"/>
    <w:rsid w:val="0067190E"/>
    <w:rsid w:val="00671F24"/>
    <w:rsid w:val="006737F6"/>
    <w:rsid w:val="00673E4A"/>
    <w:rsid w:val="006750CB"/>
    <w:rsid w:val="00675784"/>
    <w:rsid w:val="006757CD"/>
    <w:rsid w:val="00675EDE"/>
    <w:rsid w:val="00676F5C"/>
    <w:rsid w:val="0067747F"/>
    <w:rsid w:val="00677483"/>
    <w:rsid w:val="006777EF"/>
    <w:rsid w:val="006817A6"/>
    <w:rsid w:val="006818BE"/>
    <w:rsid w:val="0068195E"/>
    <w:rsid w:val="00681D20"/>
    <w:rsid w:val="00681D46"/>
    <w:rsid w:val="00681D62"/>
    <w:rsid w:val="00681ED2"/>
    <w:rsid w:val="006821C2"/>
    <w:rsid w:val="006829CF"/>
    <w:rsid w:val="00684395"/>
    <w:rsid w:val="006843D1"/>
    <w:rsid w:val="00684D06"/>
    <w:rsid w:val="0068535B"/>
    <w:rsid w:val="00685DCD"/>
    <w:rsid w:val="00686075"/>
    <w:rsid w:val="00686E44"/>
    <w:rsid w:val="0068706A"/>
    <w:rsid w:val="00687159"/>
    <w:rsid w:val="006879C8"/>
    <w:rsid w:val="0068D30D"/>
    <w:rsid w:val="006909E9"/>
    <w:rsid w:val="0069214F"/>
    <w:rsid w:val="006921DD"/>
    <w:rsid w:val="00692C42"/>
    <w:rsid w:val="00693114"/>
    <w:rsid w:val="00693693"/>
    <w:rsid w:val="0069385B"/>
    <w:rsid w:val="006949BB"/>
    <w:rsid w:val="00695394"/>
    <w:rsid w:val="00695B1B"/>
    <w:rsid w:val="0069615E"/>
    <w:rsid w:val="00696F46"/>
    <w:rsid w:val="006A0D78"/>
    <w:rsid w:val="006A18B3"/>
    <w:rsid w:val="006A36E4"/>
    <w:rsid w:val="006A38AE"/>
    <w:rsid w:val="006A486D"/>
    <w:rsid w:val="006A4AFD"/>
    <w:rsid w:val="006A624D"/>
    <w:rsid w:val="006A6F7F"/>
    <w:rsid w:val="006B0D06"/>
    <w:rsid w:val="006B0E36"/>
    <w:rsid w:val="006B0F2B"/>
    <w:rsid w:val="006B1170"/>
    <w:rsid w:val="006B2682"/>
    <w:rsid w:val="006B3F67"/>
    <w:rsid w:val="006B5076"/>
    <w:rsid w:val="006B50D4"/>
    <w:rsid w:val="006B6725"/>
    <w:rsid w:val="006B6C1C"/>
    <w:rsid w:val="006B710C"/>
    <w:rsid w:val="006B7816"/>
    <w:rsid w:val="006C0EAE"/>
    <w:rsid w:val="006C1AFA"/>
    <w:rsid w:val="006C240C"/>
    <w:rsid w:val="006C2769"/>
    <w:rsid w:val="006C2DF5"/>
    <w:rsid w:val="006C3879"/>
    <w:rsid w:val="006C5291"/>
    <w:rsid w:val="006C5426"/>
    <w:rsid w:val="006C7878"/>
    <w:rsid w:val="006C7960"/>
    <w:rsid w:val="006C7B4D"/>
    <w:rsid w:val="006D0DB6"/>
    <w:rsid w:val="006D25BB"/>
    <w:rsid w:val="006D304F"/>
    <w:rsid w:val="006D363A"/>
    <w:rsid w:val="006D3BF5"/>
    <w:rsid w:val="006D5492"/>
    <w:rsid w:val="006D57FF"/>
    <w:rsid w:val="006D626D"/>
    <w:rsid w:val="006D67B9"/>
    <w:rsid w:val="006D7645"/>
    <w:rsid w:val="006D7D00"/>
    <w:rsid w:val="006E045D"/>
    <w:rsid w:val="006E12D4"/>
    <w:rsid w:val="006E1380"/>
    <w:rsid w:val="006E1E70"/>
    <w:rsid w:val="006E311E"/>
    <w:rsid w:val="006E3762"/>
    <w:rsid w:val="006E3821"/>
    <w:rsid w:val="006E4416"/>
    <w:rsid w:val="006E5181"/>
    <w:rsid w:val="006E690D"/>
    <w:rsid w:val="006E789B"/>
    <w:rsid w:val="006E7C4E"/>
    <w:rsid w:val="006F0156"/>
    <w:rsid w:val="006F0DD1"/>
    <w:rsid w:val="006F1C22"/>
    <w:rsid w:val="006F1CEC"/>
    <w:rsid w:val="006F2528"/>
    <w:rsid w:val="006F263E"/>
    <w:rsid w:val="006F2787"/>
    <w:rsid w:val="006F2D56"/>
    <w:rsid w:val="006F326F"/>
    <w:rsid w:val="006F4A04"/>
    <w:rsid w:val="006F6237"/>
    <w:rsid w:val="006F6524"/>
    <w:rsid w:val="006F7D2B"/>
    <w:rsid w:val="0070016B"/>
    <w:rsid w:val="007007A3"/>
    <w:rsid w:val="00700FD8"/>
    <w:rsid w:val="007031B7"/>
    <w:rsid w:val="007046C5"/>
    <w:rsid w:val="0070715D"/>
    <w:rsid w:val="00710A26"/>
    <w:rsid w:val="00711674"/>
    <w:rsid w:val="00711792"/>
    <w:rsid w:val="00712607"/>
    <w:rsid w:val="00712EB6"/>
    <w:rsid w:val="00713E95"/>
    <w:rsid w:val="00714BC4"/>
    <w:rsid w:val="00715220"/>
    <w:rsid w:val="00715222"/>
    <w:rsid w:val="0071549A"/>
    <w:rsid w:val="00716A54"/>
    <w:rsid w:val="007173BC"/>
    <w:rsid w:val="007176FE"/>
    <w:rsid w:val="0072076F"/>
    <w:rsid w:val="007211BE"/>
    <w:rsid w:val="00721D27"/>
    <w:rsid w:val="007224D4"/>
    <w:rsid w:val="007225C9"/>
    <w:rsid w:val="007229B6"/>
    <w:rsid w:val="00723659"/>
    <w:rsid w:val="007247B7"/>
    <w:rsid w:val="00725531"/>
    <w:rsid w:val="00726F02"/>
    <w:rsid w:val="0072720E"/>
    <w:rsid w:val="00727AFB"/>
    <w:rsid w:val="00727F10"/>
    <w:rsid w:val="00727FE7"/>
    <w:rsid w:val="007308FE"/>
    <w:rsid w:val="007310D9"/>
    <w:rsid w:val="007316D3"/>
    <w:rsid w:val="00731A13"/>
    <w:rsid w:val="00733246"/>
    <w:rsid w:val="007342E3"/>
    <w:rsid w:val="0073467C"/>
    <w:rsid w:val="00734D72"/>
    <w:rsid w:val="00735480"/>
    <w:rsid w:val="007359C7"/>
    <w:rsid w:val="00736977"/>
    <w:rsid w:val="0073772C"/>
    <w:rsid w:val="007411B8"/>
    <w:rsid w:val="00741A5C"/>
    <w:rsid w:val="00742B4A"/>
    <w:rsid w:val="007449BF"/>
    <w:rsid w:val="00745FE6"/>
    <w:rsid w:val="0074788C"/>
    <w:rsid w:val="00751A9D"/>
    <w:rsid w:val="00752242"/>
    <w:rsid w:val="007535E7"/>
    <w:rsid w:val="00753677"/>
    <w:rsid w:val="00753A39"/>
    <w:rsid w:val="00755595"/>
    <w:rsid w:val="007557AF"/>
    <w:rsid w:val="00756037"/>
    <w:rsid w:val="00757FD8"/>
    <w:rsid w:val="007600C9"/>
    <w:rsid w:val="00760670"/>
    <w:rsid w:val="00761C71"/>
    <w:rsid w:val="007627B9"/>
    <w:rsid w:val="00762DDE"/>
    <w:rsid w:val="00763ED2"/>
    <w:rsid w:val="00763F5B"/>
    <w:rsid w:val="00766F20"/>
    <w:rsid w:val="00767112"/>
    <w:rsid w:val="00767472"/>
    <w:rsid w:val="00767A63"/>
    <w:rsid w:val="00767D38"/>
    <w:rsid w:val="00770976"/>
    <w:rsid w:val="00772B2E"/>
    <w:rsid w:val="007741C9"/>
    <w:rsid w:val="00775995"/>
    <w:rsid w:val="00776277"/>
    <w:rsid w:val="0077698F"/>
    <w:rsid w:val="007770BD"/>
    <w:rsid w:val="007804BF"/>
    <w:rsid w:val="00780E0D"/>
    <w:rsid w:val="0078168D"/>
    <w:rsid w:val="00781776"/>
    <w:rsid w:val="00783764"/>
    <w:rsid w:val="00783E66"/>
    <w:rsid w:val="007847A7"/>
    <w:rsid w:val="00785089"/>
    <w:rsid w:val="0078542D"/>
    <w:rsid w:val="00785DD9"/>
    <w:rsid w:val="007870CF"/>
    <w:rsid w:val="0078755A"/>
    <w:rsid w:val="00787E89"/>
    <w:rsid w:val="00791AF3"/>
    <w:rsid w:val="00793C75"/>
    <w:rsid w:val="007946EA"/>
    <w:rsid w:val="00794A5E"/>
    <w:rsid w:val="0079570B"/>
    <w:rsid w:val="00796589"/>
    <w:rsid w:val="00796D93"/>
    <w:rsid w:val="00797CE0"/>
    <w:rsid w:val="007A3FE5"/>
    <w:rsid w:val="007A45B7"/>
    <w:rsid w:val="007A4DC5"/>
    <w:rsid w:val="007A5167"/>
    <w:rsid w:val="007A649A"/>
    <w:rsid w:val="007A6AE5"/>
    <w:rsid w:val="007A6D89"/>
    <w:rsid w:val="007B0346"/>
    <w:rsid w:val="007B0B76"/>
    <w:rsid w:val="007B18F1"/>
    <w:rsid w:val="007B2A80"/>
    <w:rsid w:val="007B2B9E"/>
    <w:rsid w:val="007B2E0D"/>
    <w:rsid w:val="007B3143"/>
    <w:rsid w:val="007B3563"/>
    <w:rsid w:val="007B6DF2"/>
    <w:rsid w:val="007B6E5B"/>
    <w:rsid w:val="007C2B68"/>
    <w:rsid w:val="007C3544"/>
    <w:rsid w:val="007C4EF2"/>
    <w:rsid w:val="007C6787"/>
    <w:rsid w:val="007C7FEB"/>
    <w:rsid w:val="007D0565"/>
    <w:rsid w:val="007D310A"/>
    <w:rsid w:val="007D3F8F"/>
    <w:rsid w:val="007D418C"/>
    <w:rsid w:val="007D43AE"/>
    <w:rsid w:val="007D6F7D"/>
    <w:rsid w:val="007D7E03"/>
    <w:rsid w:val="007E1135"/>
    <w:rsid w:val="007E123A"/>
    <w:rsid w:val="007E13DB"/>
    <w:rsid w:val="007E22F7"/>
    <w:rsid w:val="007E2E82"/>
    <w:rsid w:val="007E4009"/>
    <w:rsid w:val="007E43EC"/>
    <w:rsid w:val="007E6FFE"/>
    <w:rsid w:val="007F0495"/>
    <w:rsid w:val="007F08CB"/>
    <w:rsid w:val="007F0DE2"/>
    <w:rsid w:val="007F11EA"/>
    <w:rsid w:val="007F131A"/>
    <w:rsid w:val="007F13C6"/>
    <w:rsid w:val="007F13D1"/>
    <w:rsid w:val="007F1E17"/>
    <w:rsid w:val="007F2661"/>
    <w:rsid w:val="007F3642"/>
    <w:rsid w:val="007F3648"/>
    <w:rsid w:val="007F3717"/>
    <w:rsid w:val="007F3D0C"/>
    <w:rsid w:val="007F418D"/>
    <w:rsid w:val="007F45B4"/>
    <w:rsid w:val="007F5DD2"/>
    <w:rsid w:val="007F6469"/>
    <w:rsid w:val="007F76C4"/>
    <w:rsid w:val="007F778F"/>
    <w:rsid w:val="00800328"/>
    <w:rsid w:val="0080136A"/>
    <w:rsid w:val="00801AAF"/>
    <w:rsid w:val="00801B64"/>
    <w:rsid w:val="0080295F"/>
    <w:rsid w:val="00802964"/>
    <w:rsid w:val="00802AA9"/>
    <w:rsid w:val="00803666"/>
    <w:rsid w:val="0080387B"/>
    <w:rsid w:val="00803A01"/>
    <w:rsid w:val="00804029"/>
    <w:rsid w:val="0080426C"/>
    <w:rsid w:val="008042C5"/>
    <w:rsid w:val="0080528F"/>
    <w:rsid w:val="00805D52"/>
    <w:rsid w:val="0080731D"/>
    <w:rsid w:val="00807A87"/>
    <w:rsid w:val="00812402"/>
    <w:rsid w:val="00812D11"/>
    <w:rsid w:val="00815AAA"/>
    <w:rsid w:val="00815E8F"/>
    <w:rsid w:val="008206F1"/>
    <w:rsid w:val="0082381D"/>
    <w:rsid w:val="008275C6"/>
    <w:rsid w:val="00827CAD"/>
    <w:rsid w:val="00827E74"/>
    <w:rsid w:val="008303AC"/>
    <w:rsid w:val="008307B1"/>
    <w:rsid w:val="008317C5"/>
    <w:rsid w:val="00831975"/>
    <w:rsid w:val="00832955"/>
    <w:rsid w:val="008343F0"/>
    <w:rsid w:val="00834482"/>
    <w:rsid w:val="00835E74"/>
    <w:rsid w:val="00836208"/>
    <w:rsid w:val="0083681E"/>
    <w:rsid w:val="00837F7C"/>
    <w:rsid w:val="008408B4"/>
    <w:rsid w:val="00841ABD"/>
    <w:rsid w:val="0084253B"/>
    <w:rsid w:val="0084330A"/>
    <w:rsid w:val="00843640"/>
    <w:rsid w:val="00844879"/>
    <w:rsid w:val="008467BD"/>
    <w:rsid w:val="00847DD0"/>
    <w:rsid w:val="008512FD"/>
    <w:rsid w:val="00852731"/>
    <w:rsid w:val="00856A6C"/>
    <w:rsid w:val="00856A91"/>
    <w:rsid w:val="00856DEE"/>
    <w:rsid w:val="0086123B"/>
    <w:rsid w:val="00861563"/>
    <w:rsid w:val="008618F5"/>
    <w:rsid w:val="00863CDD"/>
    <w:rsid w:val="008642C6"/>
    <w:rsid w:val="008647C5"/>
    <w:rsid w:val="00865224"/>
    <w:rsid w:val="008655FB"/>
    <w:rsid w:val="00865CA2"/>
    <w:rsid w:val="00867A22"/>
    <w:rsid w:val="00872377"/>
    <w:rsid w:val="008728FD"/>
    <w:rsid w:val="008735A6"/>
    <w:rsid w:val="00873644"/>
    <w:rsid w:val="00873BD8"/>
    <w:rsid w:val="00873F9F"/>
    <w:rsid w:val="00875487"/>
    <w:rsid w:val="008754B2"/>
    <w:rsid w:val="00877E09"/>
    <w:rsid w:val="00880C11"/>
    <w:rsid w:val="00880D1C"/>
    <w:rsid w:val="00884EDC"/>
    <w:rsid w:val="00885FCD"/>
    <w:rsid w:val="008877C7"/>
    <w:rsid w:val="00890030"/>
    <w:rsid w:val="00890B2A"/>
    <w:rsid w:val="00890C69"/>
    <w:rsid w:val="008916DB"/>
    <w:rsid w:val="00892166"/>
    <w:rsid w:val="0089371E"/>
    <w:rsid w:val="00893728"/>
    <w:rsid w:val="008961C9"/>
    <w:rsid w:val="00897EAF"/>
    <w:rsid w:val="008A20E7"/>
    <w:rsid w:val="008A223C"/>
    <w:rsid w:val="008A2877"/>
    <w:rsid w:val="008A3B0D"/>
    <w:rsid w:val="008A3B2A"/>
    <w:rsid w:val="008A3C12"/>
    <w:rsid w:val="008A4DB8"/>
    <w:rsid w:val="008A524B"/>
    <w:rsid w:val="008A5892"/>
    <w:rsid w:val="008A66DB"/>
    <w:rsid w:val="008A6C91"/>
    <w:rsid w:val="008A7027"/>
    <w:rsid w:val="008A7D1D"/>
    <w:rsid w:val="008A7E51"/>
    <w:rsid w:val="008B047F"/>
    <w:rsid w:val="008B0614"/>
    <w:rsid w:val="008B0BBD"/>
    <w:rsid w:val="008B14E9"/>
    <w:rsid w:val="008B2A36"/>
    <w:rsid w:val="008B2C27"/>
    <w:rsid w:val="008B2CFE"/>
    <w:rsid w:val="008B4734"/>
    <w:rsid w:val="008B5D03"/>
    <w:rsid w:val="008B6304"/>
    <w:rsid w:val="008B685D"/>
    <w:rsid w:val="008B75B5"/>
    <w:rsid w:val="008C06B6"/>
    <w:rsid w:val="008C1B69"/>
    <w:rsid w:val="008C22A1"/>
    <w:rsid w:val="008C2CFF"/>
    <w:rsid w:val="008C3359"/>
    <w:rsid w:val="008C355E"/>
    <w:rsid w:val="008C384A"/>
    <w:rsid w:val="008C3E79"/>
    <w:rsid w:val="008C6211"/>
    <w:rsid w:val="008C74F0"/>
    <w:rsid w:val="008D01C3"/>
    <w:rsid w:val="008D0B8A"/>
    <w:rsid w:val="008D1089"/>
    <w:rsid w:val="008D17C3"/>
    <w:rsid w:val="008D1D54"/>
    <w:rsid w:val="008D1FFF"/>
    <w:rsid w:val="008D26E2"/>
    <w:rsid w:val="008D26F8"/>
    <w:rsid w:val="008D2842"/>
    <w:rsid w:val="008D2C21"/>
    <w:rsid w:val="008D3E76"/>
    <w:rsid w:val="008D41C5"/>
    <w:rsid w:val="008D6609"/>
    <w:rsid w:val="008D7836"/>
    <w:rsid w:val="008E0260"/>
    <w:rsid w:val="008E0435"/>
    <w:rsid w:val="008E1174"/>
    <w:rsid w:val="008E1BBA"/>
    <w:rsid w:val="008E232B"/>
    <w:rsid w:val="008E2BC7"/>
    <w:rsid w:val="008E322E"/>
    <w:rsid w:val="008E34AF"/>
    <w:rsid w:val="008E5197"/>
    <w:rsid w:val="008E5513"/>
    <w:rsid w:val="008E5FE2"/>
    <w:rsid w:val="008E647E"/>
    <w:rsid w:val="008E6833"/>
    <w:rsid w:val="008E6A94"/>
    <w:rsid w:val="008E6DF0"/>
    <w:rsid w:val="008E727C"/>
    <w:rsid w:val="008F0603"/>
    <w:rsid w:val="008F124B"/>
    <w:rsid w:val="008F1384"/>
    <w:rsid w:val="008F18AC"/>
    <w:rsid w:val="008F2C57"/>
    <w:rsid w:val="008F3016"/>
    <w:rsid w:val="008F4B41"/>
    <w:rsid w:val="008F506C"/>
    <w:rsid w:val="008F511B"/>
    <w:rsid w:val="008F7D2C"/>
    <w:rsid w:val="009009EC"/>
    <w:rsid w:val="00901531"/>
    <w:rsid w:val="00901E7D"/>
    <w:rsid w:val="00902461"/>
    <w:rsid w:val="00902688"/>
    <w:rsid w:val="009033C0"/>
    <w:rsid w:val="00903806"/>
    <w:rsid w:val="00904BD8"/>
    <w:rsid w:val="00904CE2"/>
    <w:rsid w:val="00905E82"/>
    <w:rsid w:val="00906285"/>
    <w:rsid w:val="0090692A"/>
    <w:rsid w:val="0090700E"/>
    <w:rsid w:val="00907735"/>
    <w:rsid w:val="00907C31"/>
    <w:rsid w:val="00911ADC"/>
    <w:rsid w:val="00911D45"/>
    <w:rsid w:val="009120C5"/>
    <w:rsid w:val="00916791"/>
    <w:rsid w:val="00917632"/>
    <w:rsid w:val="00920A43"/>
    <w:rsid w:val="00920B37"/>
    <w:rsid w:val="00920F4D"/>
    <w:rsid w:val="009221A4"/>
    <w:rsid w:val="00922213"/>
    <w:rsid w:val="00924572"/>
    <w:rsid w:val="0092636F"/>
    <w:rsid w:val="009267C3"/>
    <w:rsid w:val="009278F9"/>
    <w:rsid w:val="00927CAB"/>
    <w:rsid w:val="00930092"/>
    <w:rsid w:val="0093390F"/>
    <w:rsid w:val="00933DA0"/>
    <w:rsid w:val="0093422D"/>
    <w:rsid w:val="00935118"/>
    <w:rsid w:val="009353CC"/>
    <w:rsid w:val="00935683"/>
    <w:rsid w:val="00936F84"/>
    <w:rsid w:val="009371F3"/>
    <w:rsid w:val="009422F9"/>
    <w:rsid w:val="009430F8"/>
    <w:rsid w:val="00943165"/>
    <w:rsid w:val="009440B1"/>
    <w:rsid w:val="00944F06"/>
    <w:rsid w:val="00945147"/>
    <w:rsid w:val="009454E1"/>
    <w:rsid w:val="00945CE5"/>
    <w:rsid w:val="00945E04"/>
    <w:rsid w:val="00946E3A"/>
    <w:rsid w:val="00947C58"/>
    <w:rsid w:val="00947C6B"/>
    <w:rsid w:val="00947DAB"/>
    <w:rsid w:val="0095149A"/>
    <w:rsid w:val="009521B4"/>
    <w:rsid w:val="0095373F"/>
    <w:rsid w:val="0095423E"/>
    <w:rsid w:val="00955BAE"/>
    <w:rsid w:val="00956B15"/>
    <w:rsid w:val="00960E81"/>
    <w:rsid w:val="009621AE"/>
    <w:rsid w:val="00964981"/>
    <w:rsid w:val="00964AB3"/>
    <w:rsid w:val="00964C0D"/>
    <w:rsid w:val="00964F0D"/>
    <w:rsid w:val="009657EE"/>
    <w:rsid w:val="00966B20"/>
    <w:rsid w:val="00970181"/>
    <w:rsid w:val="009704FA"/>
    <w:rsid w:val="00970EE4"/>
    <w:rsid w:val="00971B20"/>
    <w:rsid w:val="0097271E"/>
    <w:rsid w:val="0097327C"/>
    <w:rsid w:val="0097329F"/>
    <w:rsid w:val="0097449A"/>
    <w:rsid w:val="00974B63"/>
    <w:rsid w:val="009756D7"/>
    <w:rsid w:val="00975C2C"/>
    <w:rsid w:val="00976E1E"/>
    <w:rsid w:val="009778E0"/>
    <w:rsid w:val="00980084"/>
    <w:rsid w:val="00980E46"/>
    <w:rsid w:val="00980E56"/>
    <w:rsid w:val="0098157F"/>
    <w:rsid w:val="00984C17"/>
    <w:rsid w:val="009866E5"/>
    <w:rsid w:val="0098678C"/>
    <w:rsid w:val="00987B39"/>
    <w:rsid w:val="00990B2B"/>
    <w:rsid w:val="00990DE5"/>
    <w:rsid w:val="00990E48"/>
    <w:rsid w:val="00990E75"/>
    <w:rsid w:val="00991169"/>
    <w:rsid w:val="00991946"/>
    <w:rsid w:val="009926FC"/>
    <w:rsid w:val="00993321"/>
    <w:rsid w:val="00993967"/>
    <w:rsid w:val="009946F7"/>
    <w:rsid w:val="00994856"/>
    <w:rsid w:val="00995845"/>
    <w:rsid w:val="00996332"/>
    <w:rsid w:val="009969A9"/>
    <w:rsid w:val="00996A51"/>
    <w:rsid w:val="00996BA2"/>
    <w:rsid w:val="009A0101"/>
    <w:rsid w:val="009A069E"/>
    <w:rsid w:val="009A0B96"/>
    <w:rsid w:val="009A1018"/>
    <w:rsid w:val="009A1DD5"/>
    <w:rsid w:val="009A20F3"/>
    <w:rsid w:val="009A3D4A"/>
    <w:rsid w:val="009A65D0"/>
    <w:rsid w:val="009A7DCA"/>
    <w:rsid w:val="009A7F54"/>
    <w:rsid w:val="009B1108"/>
    <w:rsid w:val="009B115A"/>
    <w:rsid w:val="009B15B4"/>
    <w:rsid w:val="009B2CCB"/>
    <w:rsid w:val="009B5E5D"/>
    <w:rsid w:val="009B5E74"/>
    <w:rsid w:val="009B7BB9"/>
    <w:rsid w:val="009C33A4"/>
    <w:rsid w:val="009C40EA"/>
    <w:rsid w:val="009C49CC"/>
    <w:rsid w:val="009C4C6C"/>
    <w:rsid w:val="009C73F5"/>
    <w:rsid w:val="009C7BDF"/>
    <w:rsid w:val="009D0583"/>
    <w:rsid w:val="009D0F61"/>
    <w:rsid w:val="009D353C"/>
    <w:rsid w:val="009D533D"/>
    <w:rsid w:val="009D55B4"/>
    <w:rsid w:val="009D64CC"/>
    <w:rsid w:val="009D6E6F"/>
    <w:rsid w:val="009D7D92"/>
    <w:rsid w:val="009E34AE"/>
    <w:rsid w:val="009E3E8D"/>
    <w:rsid w:val="009E4399"/>
    <w:rsid w:val="009E48A8"/>
    <w:rsid w:val="009E49CA"/>
    <w:rsid w:val="009E4A66"/>
    <w:rsid w:val="009E60E7"/>
    <w:rsid w:val="009E65F5"/>
    <w:rsid w:val="009E6FFE"/>
    <w:rsid w:val="009F019D"/>
    <w:rsid w:val="009F0426"/>
    <w:rsid w:val="009F2815"/>
    <w:rsid w:val="009F4052"/>
    <w:rsid w:val="009F534A"/>
    <w:rsid w:val="009F5DC5"/>
    <w:rsid w:val="009F5EE4"/>
    <w:rsid w:val="009F665B"/>
    <w:rsid w:val="009F66DB"/>
    <w:rsid w:val="009F7C5E"/>
    <w:rsid w:val="00A00583"/>
    <w:rsid w:val="00A01580"/>
    <w:rsid w:val="00A01BFF"/>
    <w:rsid w:val="00A01D51"/>
    <w:rsid w:val="00A023F8"/>
    <w:rsid w:val="00A0268E"/>
    <w:rsid w:val="00A02DDD"/>
    <w:rsid w:val="00A035BA"/>
    <w:rsid w:val="00A0423B"/>
    <w:rsid w:val="00A0698F"/>
    <w:rsid w:val="00A069FE"/>
    <w:rsid w:val="00A07653"/>
    <w:rsid w:val="00A10571"/>
    <w:rsid w:val="00A1161C"/>
    <w:rsid w:val="00A12022"/>
    <w:rsid w:val="00A13316"/>
    <w:rsid w:val="00A136DD"/>
    <w:rsid w:val="00A14C8C"/>
    <w:rsid w:val="00A161A8"/>
    <w:rsid w:val="00A20692"/>
    <w:rsid w:val="00A23458"/>
    <w:rsid w:val="00A24316"/>
    <w:rsid w:val="00A24B83"/>
    <w:rsid w:val="00A25365"/>
    <w:rsid w:val="00A254CF"/>
    <w:rsid w:val="00A26E31"/>
    <w:rsid w:val="00A3167F"/>
    <w:rsid w:val="00A31F84"/>
    <w:rsid w:val="00A3350E"/>
    <w:rsid w:val="00A34948"/>
    <w:rsid w:val="00A349BC"/>
    <w:rsid w:val="00A34FE1"/>
    <w:rsid w:val="00A3501B"/>
    <w:rsid w:val="00A358EC"/>
    <w:rsid w:val="00A36579"/>
    <w:rsid w:val="00A36AD4"/>
    <w:rsid w:val="00A36ED5"/>
    <w:rsid w:val="00A37B00"/>
    <w:rsid w:val="00A37FE5"/>
    <w:rsid w:val="00A40C03"/>
    <w:rsid w:val="00A40F40"/>
    <w:rsid w:val="00A41272"/>
    <w:rsid w:val="00A42B5B"/>
    <w:rsid w:val="00A43A0F"/>
    <w:rsid w:val="00A47DF6"/>
    <w:rsid w:val="00A5012D"/>
    <w:rsid w:val="00A50271"/>
    <w:rsid w:val="00A5085A"/>
    <w:rsid w:val="00A50F8A"/>
    <w:rsid w:val="00A521C7"/>
    <w:rsid w:val="00A54466"/>
    <w:rsid w:val="00A54ACF"/>
    <w:rsid w:val="00A55AA0"/>
    <w:rsid w:val="00A601F9"/>
    <w:rsid w:val="00A60BB8"/>
    <w:rsid w:val="00A60C9D"/>
    <w:rsid w:val="00A61551"/>
    <w:rsid w:val="00A61775"/>
    <w:rsid w:val="00A61DE1"/>
    <w:rsid w:val="00A62128"/>
    <w:rsid w:val="00A623E0"/>
    <w:rsid w:val="00A62991"/>
    <w:rsid w:val="00A62B93"/>
    <w:rsid w:val="00A6446F"/>
    <w:rsid w:val="00A64CED"/>
    <w:rsid w:val="00A650E2"/>
    <w:rsid w:val="00A658A3"/>
    <w:rsid w:val="00A66196"/>
    <w:rsid w:val="00A66651"/>
    <w:rsid w:val="00A673CC"/>
    <w:rsid w:val="00A67AF0"/>
    <w:rsid w:val="00A67F78"/>
    <w:rsid w:val="00A70976"/>
    <w:rsid w:val="00A71CD2"/>
    <w:rsid w:val="00A7235E"/>
    <w:rsid w:val="00A724B2"/>
    <w:rsid w:val="00A734E7"/>
    <w:rsid w:val="00A76FE3"/>
    <w:rsid w:val="00A77FE7"/>
    <w:rsid w:val="00A80FCF"/>
    <w:rsid w:val="00A813D3"/>
    <w:rsid w:val="00A82B69"/>
    <w:rsid w:val="00A82F6B"/>
    <w:rsid w:val="00A8723E"/>
    <w:rsid w:val="00A8797E"/>
    <w:rsid w:val="00A90161"/>
    <w:rsid w:val="00A90970"/>
    <w:rsid w:val="00A928FF"/>
    <w:rsid w:val="00A94005"/>
    <w:rsid w:val="00A9433D"/>
    <w:rsid w:val="00A948A8"/>
    <w:rsid w:val="00A94EFE"/>
    <w:rsid w:val="00A95CB6"/>
    <w:rsid w:val="00A95D1D"/>
    <w:rsid w:val="00A966B1"/>
    <w:rsid w:val="00A96796"/>
    <w:rsid w:val="00A9789C"/>
    <w:rsid w:val="00AA038F"/>
    <w:rsid w:val="00AA137D"/>
    <w:rsid w:val="00AA1864"/>
    <w:rsid w:val="00AA21D3"/>
    <w:rsid w:val="00AA21F5"/>
    <w:rsid w:val="00AA22CB"/>
    <w:rsid w:val="00AA2D82"/>
    <w:rsid w:val="00AA3374"/>
    <w:rsid w:val="00AA3A5B"/>
    <w:rsid w:val="00AA5008"/>
    <w:rsid w:val="00AA5A9A"/>
    <w:rsid w:val="00AA7C1B"/>
    <w:rsid w:val="00AB083F"/>
    <w:rsid w:val="00AB0B81"/>
    <w:rsid w:val="00AB129C"/>
    <w:rsid w:val="00AB17FF"/>
    <w:rsid w:val="00AB3613"/>
    <w:rsid w:val="00AB3A4C"/>
    <w:rsid w:val="00AB56DC"/>
    <w:rsid w:val="00AB7A63"/>
    <w:rsid w:val="00AC0CBB"/>
    <w:rsid w:val="00AC2A80"/>
    <w:rsid w:val="00AC34DA"/>
    <w:rsid w:val="00AC5231"/>
    <w:rsid w:val="00AC5A5F"/>
    <w:rsid w:val="00AC5E67"/>
    <w:rsid w:val="00AC64A0"/>
    <w:rsid w:val="00AD034A"/>
    <w:rsid w:val="00AD1243"/>
    <w:rsid w:val="00AD14B4"/>
    <w:rsid w:val="00AD169C"/>
    <w:rsid w:val="00AD2450"/>
    <w:rsid w:val="00AD2E40"/>
    <w:rsid w:val="00AD5904"/>
    <w:rsid w:val="00AD65BE"/>
    <w:rsid w:val="00AD6A38"/>
    <w:rsid w:val="00AD72B4"/>
    <w:rsid w:val="00AD7AA1"/>
    <w:rsid w:val="00AE3104"/>
    <w:rsid w:val="00AE43AD"/>
    <w:rsid w:val="00AE43BB"/>
    <w:rsid w:val="00AE4815"/>
    <w:rsid w:val="00AE53A6"/>
    <w:rsid w:val="00AE6B64"/>
    <w:rsid w:val="00AE6BB5"/>
    <w:rsid w:val="00AE73DC"/>
    <w:rsid w:val="00AE7710"/>
    <w:rsid w:val="00AF189B"/>
    <w:rsid w:val="00AF2CE8"/>
    <w:rsid w:val="00AF2F5F"/>
    <w:rsid w:val="00AF5B4E"/>
    <w:rsid w:val="00AF704D"/>
    <w:rsid w:val="00AF70F9"/>
    <w:rsid w:val="00AF7CEE"/>
    <w:rsid w:val="00AF7E69"/>
    <w:rsid w:val="00AF7F6F"/>
    <w:rsid w:val="00B00CC3"/>
    <w:rsid w:val="00B0265A"/>
    <w:rsid w:val="00B03727"/>
    <w:rsid w:val="00B04A14"/>
    <w:rsid w:val="00B05053"/>
    <w:rsid w:val="00B056CC"/>
    <w:rsid w:val="00B058B6"/>
    <w:rsid w:val="00B075D7"/>
    <w:rsid w:val="00B13AB1"/>
    <w:rsid w:val="00B14AB5"/>
    <w:rsid w:val="00B14D9C"/>
    <w:rsid w:val="00B155FE"/>
    <w:rsid w:val="00B15A4C"/>
    <w:rsid w:val="00B15CA6"/>
    <w:rsid w:val="00B15F8D"/>
    <w:rsid w:val="00B17819"/>
    <w:rsid w:val="00B206C1"/>
    <w:rsid w:val="00B2202B"/>
    <w:rsid w:val="00B221B5"/>
    <w:rsid w:val="00B22BD9"/>
    <w:rsid w:val="00B2454C"/>
    <w:rsid w:val="00B247F2"/>
    <w:rsid w:val="00B2544B"/>
    <w:rsid w:val="00B26FCB"/>
    <w:rsid w:val="00B2734A"/>
    <w:rsid w:val="00B3244C"/>
    <w:rsid w:val="00B325C4"/>
    <w:rsid w:val="00B32682"/>
    <w:rsid w:val="00B33638"/>
    <w:rsid w:val="00B33C05"/>
    <w:rsid w:val="00B3469B"/>
    <w:rsid w:val="00B34A94"/>
    <w:rsid w:val="00B35B95"/>
    <w:rsid w:val="00B36150"/>
    <w:rsid w:val="00B37A83"/>
    <w:rsid w:val="00B40D0E"/>
    <w:rsid w:val="00B41B58"/>
    <w:rsid w:val="00B43A9F"/>
    <w:rsid w:val="00B44127"/>
    <w:rsid w:val="00B44CBF"/>
    <w:rsid w:val="00B44EBE"/>
    <w:rsid w:val="00B461A6"/>
    <w:rsid w:val="00B46352"/>
    <w:rsid w:val="00B46811"/>
    <w:rsid w:val="00B50B25"/>
    <w:rsid w:val="00B51261"/>
    <w:rsid w:val="00B54171"/>
    <w:rsid w:val="00B5600F"/>
    <w:rsid w:val="00B56CB1"/>
    <w:rsid w:val="00B60534"/>
    <w:rsid w:val="00B60C2E"/>
    <w:rsid w:val="00B6124E"/>
    <w:rsid w:val="00B622E5"/>
    <w:rsid w:val="00B624F6"/>
    <w:rsid w:val="00B62D08"/>
    <w:rsid w:val="00B63DA3"/>
    <w:rsid w:val="00B63EBC"/>
    <w:rsid w:val="00B64063"/>
    <w:rsid w:val="00B6763B"/>
    <w:rsid w:val="00B705F2"/>
    <w:rsid w:val="00B70AB8"/>
    <w:rsid w:val="00B70FE4"/>
    <w:rsid w:val="00B72569"/>
    <w:rsid w:val="00B728C5"/>
    <w:rsid w:val="00B72FDD"/>
    <w:rsid w:val="00B7456C"/>
    <w:rsid w:val="00B7458D"/>
    <w:rsid w:val="00B745F4"/>
    <w:rsid w:val="00B74F8E"/>
    <w:rsid w:val="00B75545"/>
    <w:rsid w:val="00B762E2"/>
    <w:rsid w:val="00B76645"/>
    <w:rsid w:val="00B771CD"/>
    <w:rsid w:val="00B81AB0"/>
    <w:rsid w:val="00B81C0A"/>
    <w:rsid w:val="00B8241D"/>
    <w:rsid w:val="00B83F74"/>
    <w:rsid w:val="00B843B9"/>
    <w:rsid w:val="00B8447F"/>
    <w:rsid w:val="00B844B7"/>
    <w:rsid w:val="00B84AD1"/>
    <w:rsid w:val="00B850B8"/>
    <w:rsid w:val="00B85AD1"/>
    <w:rsid w:val="00B91104"/>
    <w:rsid w:val="00B91ABD"/>
    <w:rsid w:val="00B92DCF"/>
    <w:rsid w:val="00B94CCA"/>
    <w:rsid w:val="00B95AD8"/>
    <w:rsid w:val="00B9640C"/>
    <w:rsid w:val="00B965D7"/>
    <w:rsid w:val="00B9670A"/>
    <w:rsid w:val="00B97040"/>
    <w:rsid w:val="00B9709B"/>
    <w:rsid w:val="00B9738E"/>
    <w:rsid w:val="00B97A62"/>
    <w:rsid w:val="00BA016E"/>
    <w:rsid w:val="00BA04EA"/>
    <w:rsid w:val="00BA246F"/>
    <w:rsid w:val="00BA35CC"/>
    <w:rsid w:val="00BA38F7"/>
    <w:rsid w:val="00BA3B98"/>
    <w:rsid w:val="00BA415E"/>
    <w:rsid w:val="00BA5D1C"/>
    <w:rsid w:val="00BA6020"/>
    <w:rsid w:val="00BA60BB"/>
    <w:rsid w:val="00BA6169"/>
    <w:rsid w:val="00BA62C3"/>
    <w:rsid w:val="00BA6D82"/>
    <w:rsid w:val="00BB0472"/>
    <w:rsid w:val="00BB10E1"/>
    <w:rsid w:val="00BB12FE"/>
    <w:rsid w:val="00BB1BA6"/>
    <w:rsid w:val="00BB259D"/>
    <w:rsid w:val="00BB2A34"/>
    <w:rsid w:val="00BB3002"/>
    <w:rsid w:val="00BB4D90"/>
    <w:rsid w:val="00BB5D94"/>
    <w:rsid w:val="00BB5DF6"/>
    <w:rsid w:val="00BB75BE"/>
    <w:rsid w:val="00BB79F6"/>
    <w:rsid w:val="00BC03B1"/>
    <w:rsid w:val="00BC19CC"/>
    <w:rsid w:val="00BC2001"/>
    <w:rsid w:val="00BC24BF"/>
    <w:rsid w:val="00BC33ED"/>
    <w:rsid w:val="00BC4B9F"/>
    <w:rsid w:val="00BC6D2B"/>
    <w:rsid w:val="00BC74C4"/>
    <w:rsid w:val="00BD0DD5"/>
    <w:rsid w:val="00BD1758"/>
    <w:rsid w:val="00BD2A9C"/>
    <w:rsid w:val="00BD2D3C"/>
    <w:rsid w:val="00BD2E25"/>
    <w:rsid w:val="00BD37C8"/>
    <w:rsid w:val="00BD3CEA"/>
    <w:rsid w:val="00BD4776"/>
    <w:rsid w:val="00BD63FF"/>
    <w:rsid w:val="00BD6602"/>
    <w:rsid w:val="00BD6AF3"/>
    <w:rsid w:val="00BD70ED"/>
    <w:rsid w:val="00BD7229"/>
    <w:rsid w:val="00BD7C49"/>
    <w:rsid w:val="00BD7F31"/>
    <w:rsid w:val="00BE00CC"/>
    <w:rsid w:val="00BE055D"/>
    <w:rsid w:val="00BE0A4E"/>
    <w:rsid w:val="00BE0DA4"/>
    <w:rsid w:val="00BE0F9D"/>
    <w:rsid w:val="00BE2602"/>
    <w:rsid w:val="00BE3243"/>
    <w:rsid w:val="00BE354F"/>
    <w:rsid w:val="00BE3FC6"/>
    <w:rsid w:val="00BE4BAC"/>
    <w:rsid w:val="00BE530F"/>
    <w:rsid w:val="00BE5712"/>
    <w:rsid w:val="00BE7750"/>
    <w:rsid w:val="00BE7819"/>
    <w:rsid w:val="00BE7A65"/>
    <w:rsid w:val="00BF007B"/>
    <w:rsid w:val="00BF099A"/>
    <w:rsid w:val="00BF0B23"/>
    <w:rsid w:val="00BF4035"/>
    <w:rsid w:val="00BF48C3"/>
    <w:rsid w:val="00BF54DD"/>
    <w:rsid w:val="00BF550F"/>
    <w:rsid w:val="00BF5E09"/>
    <w:rsid w:val="00BF6A95"/>
    <w:rsid w:val="00BF7707"/>
    <w:rsid w:val="00C00710"/>
    <w:rsid w:val="00C012D1"/>
    <w:rsid w:val="00C01545"/>
    <w:rsid w:val="00C0256F"/>
    <w:rsid w:val="00C02661"/>
    <w:rsid w:val="00C02772"/>
    <w:rsid w:val="00C02F55"/>
    <w:rsid w:val="00C03376"/>
    <w:rsid w:val="00C03BE7"/>
    <w:rsid w:val="00C05249"/>
    <w:rsid w:val="00C063C3"/>
    <w:rsid w:val="00C07E8E"/>
    <w:rsid w:val="00C10ED3"/>
    <w:rsid w:val="00C1122D"/>
    <w:rsid w:val="00C1143E"/>
    <w:rsid w:val="00C11612"/>
    <w:rsid w:val="00C11940"/>
    <w:rsid w:val="00C127DE"/>
    <w:rsid w:val="00C12BFF"/>
    <w:rsid w:val="00C13291"/>
    <w:rsid w:val="00C13FAE"/>
    <w:rsid w:val="00C157A7"/>
    <w:rsid w:val="00C1582A"/>
    <w:rsid w:val="00C16149"/>
    <w:rsid w:val="00C178E3"/>
    <w:rsid w:val="00C21016"/>
    <w:rsid w:val="00C21761"/>
    <w:rsid w:val="00C2238F"/>
    <w:rsid w:val="00C224F5"/>
    <w:rsid w:val="00C24948"/>
    <w:rsid w:val="00C26184"/>
    <w:rsid w:val="00C261DC"/>
    <w:rsid w:val="00C268BB"/>
    <w:rsid w:val="00C268F4"/>
    <w:rsid w:val="00C27041"/>
    <w:rsid w:val="00C27BFB"/>
    <w:rsid w:val="00C27DF5"/>
    <w:rsid w:val="00C302BC"/>
    <w:rsid w:val="00C326EB"/>
    <w:rsid w:val="00C32924"/>
    <w:rsid w:val="00C32D53"/>
    <w:rsid w:val="00C33C0A"/>
    <w:rsid w:val="00C35CE2"/>
    <w:rsid w:val="00C35E13"/>
    <w:rsid w:val="00C36894"/>
    <w:rsid w:val="00C36A62"/>
    <w:rsid w:val="00C4012A"/>
    <w:rsid w:val="00C435AC"/>
    <w:rsid w:val="00C45E7A"/>
    <w:rsid w:val="00C46F63"/>
    <w:rsid w:val="00C4762E"/>
    <w:rsid w:val="00C50404"/>
    <w:rsid w:val="00C5054A"/>
    <w:rsid w:val="00C50EDF"/>
    <w:rsid w:val="00C52FED"/>
    <w:rsid w:val="00C5351F"/>
    <w:rsid w:val="00C53734"/>
    <w:rsid w:val="00C539FB"/>
    <w:rsid w:val="00C53C2A"/>
    <w:rsid w:val="00C54B21"/>
    <w:rsid w:val="00C561BC"/>
    <w:rsid w:val="00C566FB"/>
    <w:rsid w:val="00C56FEF"/>
    <w:rsid w:val="00C56FF4"/>
    <w:rsid w:val="00C61227"/>
    <w:rsid w:val="00C6157D"/>
    <w:rsid w:val="00C61D07"/>
    <w:rsid w:val="00C62668"/>
    <w:rsid w:val="00C63C88"/>
    <w:rsid w:val="00C63F26"/>
    <w:rsid w:val="00C64C54"/>
    <w:rsid w:val="00C65238"/>
    <w:rsid w:val="00C65DBB"/>
    <w:rsid w:val="00C70F04"/>
    <w:rsid w:val="00C72068"/>
    <w:rsid w:val="00C74131"/>
    <w:rsid w:val="00C74E0F"/>
    <w:rsid w:val="00C75D5A"/>
    <w:rsid w:val="00C75E27"/>
    <w:rsid w:val="00C75EE6"/>
    <w:rsid w:val="00C75F9B"/>
    <w:rsid w:val="00C7666C"/>
    <w:rsid w:val="00C768D3"/>
    <w:rsid w:val="00C770F2"/>
    <w:rsid w:val="00C7762C"/>
    <w:rsid w:val="00C776A0"/>
    <w:rsid w:val="00C81C27"/>
    <w:rsid w:val="00C8266F"/>
    <w:rsid w:val="00C83323"/>
    <w:rsid w:val="00C83548"/>
    <w:rsid w:val="00C859BE"/>
    <w:rsid w:val="00C86437"/>
    <w:rsid w:val="00C86618"/>
    <w:rsid w:val="00C86EA4"/>
    <w:rsid w:val="00C87225"/>
    <w:rsid w:val="00C872F4"/>
    <w:rsid w:val="00C87909"/>
    <w:rsid w:val="00C91648"/>
    <w:rsid w:val="00C9408B"/>
    <w:rsid w:val="00C948F5"/>
    <w:rsid w:val="00C94EDE"/>
    <w:rsid w:val="00C950DD"/>
    <w:rsid w:val="00C95900"/>
    <w:rsid w:val="00C9659F"/>
    <w:rsid w:val="00C97255"/>
    <w:rsid w:val="00C97321"/>
    <w:rsid w:val="00CA0692"/>
    <w:rsid w:val="00CA0CD3"/>
    <w:rsid w:val="00CA0CEB"/>
    <w:rsid w:val="00CA1438"/>
    <w:rsid w:val="00CA1C2C"/>
    <w:rsid w:val="00CA3468"/>
    <w:rsid w:val="00CA5425"/>
    <w:rsid w:val="00CA629D"/>
    <w:rsid w:val="00CA6D70"/>
    <w:rsid w:val="00CA7B88"/>
    <w:rsid w:val="00CB01DA"/>
    <w:rsid w:val="00CB07DE"/>
    <w:rsid w:val="00CB09E7"/>
    <w:rsid w:val="00CB0DD8"/>
    <w:rsid w:val="00CB1A82"/>
    <w:rsid w:val="00CB1AB8"/>
    <w:rsid w:val="00CB3696"/>
    <w:rsid w:val="00CB4082"/>
    <w:rsid w:val="00CB459B"/>
    <w:rsid w:val="00CB571B"/>
    <w:rsid w:val="00CB5AB3"/>
    <w:rsid w:val="00CB6C6E"/>
    <w:rsid w:val="00CB6F27"/>
    <w:rsid w:val="00CB7E48"/>
    <w:rsid w:val="00CB7FE1"/>
    <w:rsid w:val="00CC075B"/>
    <w:rsid w:val="00CC0866"/>
    <w:rsid w:val="00CC0CAD"/>
    <w:rsid w:val="00CC0F4E"/>
    <w:rsid w:val="00CC11BD"/>
    <w:rsid w:val="00CC18D6"/>
    <w:rsid w:val="00CC24D0"/>
    <w:rsid w:val="00CC4689"/>
    <w:rsid w:val="00CC5289"/>
    <w:rsid w:val="00CC54EB"/>
    <w:rsid w:val="00CC703F"/>
    <w:rsid w:val="00CC706B"/>
    <w:rsid w:val="00CC73DD"/>
    <w:rsid w:val="00CC7777"/>
    <w:rsid w:val="00CC7EB9"/>
    <w:rsid w:val="00CD0671"/>
    <w:rsid w:val="00CD06BE"/>
    <w:rsid w:val="00CD0F03"/>
    <w:rsid w:val="00CD1AC2"/>
    <w:rsid w:val="00CD1AD4"/>
    <w:rsid w:val="00CD1BD7"/>
    <w:rsid w:val="00CD1DE1"/>
    <w:rsid w:val="00CD2095"/>
    <w:rsid w:val="00CD426F"/>
    <w:rsid w:val="00CD45B0"/>
    <w:rsid w:val="00CE01FC"/>
    <w:rsid w:val="00CE0C34"/>
    <w:rsid w:val="00CE0CA4"/>
    <w:rsid w:val="00CE0F40"/>
    <w:rsid w:val="00CE12F5"/>
    <w:rsid w:val="00CE1608"/>
    <w:rsid w:val="00CE17C9"/>
    <w:rsid w:val="00CE1DF7"/>
    <w:rsid w:val="00CE28E8"/>
    <w:rsid w:val="00CE4482"/>
    <w:rsid w:val="00CE4893"/>
    <w:rsid w:val="00CE4C8C"/>
    <w:rsid w:val="00CE5744"/>
    <w:rsid w:val="00CE7F07"/>
    <w:rsid w:val="00CF07A5"/>
    <w:rsid w:val="00CF0DB6"/>
    <w:rsid w:val="00CF15E7"/>
    <w:rsid w:val="00CF171E"/>
    <w:rsid w:val="00CF1732"/>
    <w:rsid w:val="00CF533D"/>
    <w:rsid w:val="00CF551C"/>
    <w:rsid w:val="00CF5F2A"/>
    <w:rsid w:val="00CF667E"/>
    <w:rsid w:val="00CF75FB"/>
    <w:rsid w:val="00CF7986"/>
    <w:rsid w:val="00D008E3"/>
    <w:rsid w:val="00D00FFE"/>
    <w:rsid w:val="00D05101"/>
    <w:rsid w:val="00D0533C"/>
    <w:rsid w:val="00D06976"/>
    <w:rsid w:val="00D07BD8"/>
    <w:rsid w:val="00D07EA5"/>
    <w:rsid w:val="00D10EA2"/>
    <w:rsid w:val="00D11009"/>
    <w:rsid w:val="00D119C2"/>
    <w:rsid w:val="00D12DA6"/>
    <w:rsid w:val="00D14F38"/>
    <w:rsid w:val="00D1616F"/>
    <w:rsid w:val="00D161C0"/>
    <w:rsid w:val="00D16D89"/>
    <w:rsid w:val="00D21BAC"/>
    <w:rsid w:val="00D21C70"/>
    <w:rsid w:val="00D226F1"/>
    <w:rsid w:val="00D22ED2"/>
    <w:rsid w:val="00D23D8F"/>
    <w:rsid w:val="00D23FEB"/>
    <w:rsid w:val="00D23FED"/>
    <w:rsid w:val="00D252B3"/>
    <w:rsid w:val="00D258D9"/>
    <w:rsid w:val="00D25B6E"/>
    <w:rsid w:val="00D3076A"/>
    <w:rsid w:val="00D30DEE"/>
    <w:rsid w:val="00D31737"/>
    <w:rsid w:val="00D32B0C"/>
    <w:rsid w:val="00D33705"/>
    <w:rsid w:val="00D33920"/>
    <w:rsid w:val="00D33A8A"/>
    <w:rsid w:val="00D33B8F"/>
    <w:rsid w:val="00D34CD7"/>
    <w:rsid w:val="00D35813"/>
    <w:rsid w:val="00D36123"/>
    <w:rsid w:val="00D3672D"/>
    <w:rsid w:val="00D36A8C"/>
    <w:rsid w:val="00D371DA"/>
    <w:rsid w:val="00D40DD1"/>
    <w:rsid w:val="00D4148C"/>
    <w:rsid w:val="00D41A00"/>
    <w:rsid w:val="00D424B8"/>
    <w:rsid w:val="00D436B8"/>
    <w:rsid w:val="00D4434A"/>
    <w:rsid w:val="00D44A68"/>
    <w:rsid w:val="00D45ADC"/>
    <w:rsid w:val="00D479D4"/>
    <w:rsid w:val="00D503EA"/>
    <w:rsid w:val="00D5055E"/>
    <w:rsid w:val="00D50A39"/>
    <w:rsid w:val="00D50A45"/>
    <w:rsid w:val="00D511E9"/>
    <w:rsid w:val="00D51456"/>
    <w:rsid w:val="00D515C5"/>
    <w:rsid w:val="00D545F7"/>
    <w:rsid w:val="00D557C7"/>
    <w:rsid w:val="00D5594E"/>
    <w:rsid w:val="00D55A78"/>
    <w:rsid w:val="00D5677F"/>
    <w:rsid w:val="00D569CA"/>
    <w:rsid w:val="00D57B63"/>
    <w:rsid w:val="00D6008D"/>
    <w:rsid w:val="00D615EC"/>
    <w:rsid w:val="00D6274C"/>
    <w:rsid w:val="00D62835"/>
    <w:rsid w:val="00D63897"/>
    <w:rsid w:val="00D63A8A"/>
    <w:rsid w:val="00D6549E"/>
    <w:rsid w:val="00D65C55"/>
    <w:rsid w:val="00D661F0"/>
    <w:rsid w:val="00D6691A"/>
    <w:rsid w:val="00D67277"/>
    <w:rsid w:val="00D67AF4"/>
    <w:rsid w:val="00D7202A"/>
    <w:rsid w:val="00D72777"/>
    <w:rsid w:val="00D7299C"/>
    <w:rsid w:val="00D73002"/>
    <w:rsid w:val="00D7302C"/>
    <w:rsid w:val="00D754E0"/>
    <w:rsid w:val="00D76BD4"/>
    <w:rsid w:val="00D77DDB"/>
    <w:rsid w:val="00D80FC9"/>
    <w:rsid w:val="00D81D3D"/>
    <w:rsid w:val="00D81D97"/>
    <w:rsid w:val="00D8222A"/>
    <w:rsid w:val="00D843D9"/>
    <w:rsid w:val="00D84846"/>
    <w:rsid w:val="00D86367"/>
    <w:rsid w:val="00D86A94"/>
    <w:rsid w:val="00D870CF"/>
    <w:rsid w:val="00D877E7"/>
    <w:rsid w:val="00D87F61"/>
    <w:rsid w:val="00D90B5A"/>
    <w:rsid w:val="00D916FA"/>
    <w:rsid w:val="00D91A99"/>
    <w:rsid w:val="00D92214"/>
    <w:rsid w:val="00D92384"/>
    <w:rsid w:val="00D925F7"/>
    <w:rsid w:val="00D9414C"/>
    <w:rsid w:val="00D95E94"/>
    <w:rsid w:val="00D96195"/>
    <w:rsid w:val="00D968BE"/>
    <w:rsid w:val="00DA143F"/>
    <w:rsid w:val="00DA15B5"/>
    <w:rsid w:val="00DA1682"/>
    <w:rsid w:val="00DA1C11"/>
    <w:rsid w:val="00DA2C78"/>
    <w:rsid w:val="00DA30F4"/>
    <w:rsid w:val="00DA363F"/>
    <w:rsid w:val="00DA4434"/>
    <w:rsid w:val="00DA472D"/>
    <w:rsid w:val="00DA488F"/>
    <w:rsid w:val="00DA4FBC"/>
    <w:rsid w:val="00DA541C"/>
    <w:rsid w:val="00DA547D"/>
    <w:rsid w:val="00DA6CEE"/>
    <w:rsid w:val="00DA72D2"/>
    <w:rsid w:val="00DA7965"/>
    <w:rsid w:val="00DB02A9"/>
    <w:rsid w:val="00DB07FB"/>
    <w:rsid w:val="00DB12ED"/>
    <w:rsid w:val="00DB1326"/>
    <w:rsid w:val="00DB2547"/>
    <w:rsid w:val="00DB3DD8"/>
    <w:rsid w:val="00DB465D"/>
    <w:rsid w:val="00DB4F77"/>
    <w:rsid w:val="00DB6953"/>
    <w:rsid w:val="00DB7DE0"/>
    <w:rsid w:val="00DC0B89"/>
    <w:rsid w:val="00DC15E6"/>
    <w:rsid w:val="00DC1F02"/>
    <w:rsid w:val="00DC22D9"/>
    <w:rsid w:val="00DC31DE"/>
    <w:rsid w:val="00DC46C9"/>
    <w:rsid w:val="00DC4E7F"/>
    <w:rsid w:val="00DC5639"/>
    <w:rsid w:val="00DC67AB"/>
    <w:rsid w:val="00DD0EAE"/>
    <w:rsid w:val="00DD1BB1"/>
    <w:rsid w:val="00DD1EE7"/>
    <w:rsid w:val="00DD25C1"/>
    <w:rsid w:val="00DD30E6"/>
    <w:rsid w:val="00DD3916"/>
    <w:rsid w:val="00DD6B24"/>
    <w:rsid w:val="00DD7C34"/>
    <w:rsid w:val="00DD7FD1"/>
    <w:rsid w:val="00DE084E"/>
    <w:rsid w:val="00DE1B2C"/>
    <w:rsid w:val="00DE4C96"/>
    <w:rsid w:val="00DE7A5C"/>
    <w:rsid w:val="00DE7C03"/>
    <w:rsid w:val="00DF0A34"/>
    <w:rsid w:val="00DF1268"/>
    <w:rsid w:val="00DF1E55"/>
    <w:rsid w:val="00DF5152"/>
    <w:rsid w:val="00DF5E25"/>
    <w:rsid w:val="00DF63FB"/>
    <w:rsid w:val="00DF745B"/>
    <w:rsid w:val="00DF7F4C"/>
    <w:rsid w:val="00E012DF"/>
    <w:rsid w:val="00E022A9"/>
    <w:rsid w:val="00E02497"/>
    <w:rsid w:val="00E02619"/>
    <w:rsid w:val="00E02EEE"/>
    <w:rsid w:val="00E0335A"/>
    <w:rsid w:val="00E03905"/>
    <w:rsid w:val="00E039B7"/>
    <w:rsid w:val="00E03AA3"/>
    <w:rsid w:val="00E03D9E"/>
    <w:rsid w:val="00E049D4"/>
    <w:rsid w:val="00E04BAA"/>
    <w:rsid w:val="00E055C2"/>
    <w:rsid w:val="00E07128"/>
    <w:rsid w:val="00E12802"/>
    <w:rsid w:val="00E12F87"/>
    <w:rsid w:val="00E13207"/>
    <w:rsid w:val="00E14619"/>
    <w:rsid w:val="00E1511E"/>
    <w:rsid w:val="00E1527D"/>
    <w:rsid w:val="00E16566"/>
    <w:rsid w:val="00E166FB"/>
    <w:rsid w:val="00E167FF"/>
    <w:rsid w:val="00E17156"/>
    <w:rsid w:val="00E17A94"/>
    <w:rsid w:val="00E20C14"/>
    <w:rsid w:val="00E2147C"/>
    <w:rsid w:val="00E21AA5"/>
    <w:rsid w:val="00E23C29"/>
    <w:rsid w:val="00E23EA4"/>
    <w:rsid w:val="00E23FFC"/>
    <w:rsid w:val="00E26F1E"/>
    <w:rsid w:val="00E27C2A"/>
    <w:rsid w:val="00E27C42"/>
    <w:rsid w:val="00E301CF"/>
    <w:rsid w:val="00E31F7A"/>
    <w:rsid w:val="00E3367D"/>
    <w:rsid w:val="00E36865"/>
    <w:rsid w:val="00E36984"/>
    <w:rsid w:val="00E373AC"/>
    <w:rsid w:val="00E37BB5"/>
    <w:rsid w:val="00E37F8C"/>
    <w:rsid w:val="00E4062F"/>
    <w:rsid w:val="00E4131E"/>
    <w:rsid w:val="00E41BFB"/>
    <w:rsid w:val="00E42061"/>
    <w:rsid w:val="00E424F3"/>
    <w:rsid w:val="00E4406D"/>
    <w:rsid w:val="00E440AB"/>
    <w:rsid w:val="00E449FD"/>
    <w:rsid w:val="00E45B6C"/>
    <w:rsid w:val="00E46055"/>
    <w:rsid w:val="00E46CB1"/>
    <w:rsid w:val="00E501C9"/>
    <w:rsid w:val="00E519BA"/>
    <w:rsid w:val="00E53B23"/>
    <w:rsid w:val="00E5484A"/>
    <w:rsid w:val="00E55CD7"/>
    <w:rsid w:val="00E561AD"/>
    <w:rsid w:val="00E56767"/>
    <w:rsid w:val="00E56F21"/>
    <w:rsid w:val="00E5741E"/>
    <w:rsid w:val="00E601EF"/>
    <w:rsid w:val="00E60670"/>
    <w:rsid w:val="00E60EB9"/>
    <w:rsid w:val="00E61389"/>
    <w:rsid w:val="00E632CB"/>
    <w:rsid w:val="00E63B72"/>
    <w:rsid w:val="00E63B79"/>
    <w:rsid w:val="00E668D9"/>
    <w:rsid w:val="00E66F43"/>
    <w:rsid w:val="00E67620"/>
    <w:rsid w:val="00E702C2"/>
    <w:rsid w:val="00E71996"/>
    <w:rsid w:val="00E71F61"/>
    <w:rsid w:val="00E72811"/>
    <w:rsid w:val="00E72CB2"/>
    <w:rsid w:val="00E73578"/>
    <w:rsid w:val="00E73AD4"/>
    <w:rsid w:val="00E80093"/>
    <w:rsid w:val="00E81967"/>
    <w:rsid w:val="00E82306"/>
    <w:rsid w:val="00E82327"/>
    <w:rsid w:val="00E823A7"/>
    <w:rsid w:val="00E83065"/>
    <w:rsid w:val="00E832D7"/>
    <w:rsid w:val="00E838BF"/>
    <w:rsid w:val="00E83D72"/>
    <w:rsid w:val="00E8589D"/>
    <w:rsid w:val="00E86C99"/>
    <w:rsid w:val="00E86D49"/>
    <w:rsid w:val="00E8721F"/>
    <w:rsid w:val="00E87537"/>
    <w:rsid w:val="00E9154C"/>
    <w:rsid w:val="00E92BE7"/>
    <w:rsid w:val="00E942CF"/>
    <w:rsid w:val="00E943EC"/>
    <w:rsid w:val="00E94D1D"/>
    <w:rsid w:val="00E95EB8"/>
    <w:rsid w:val="00E96D02"/>
    <w:rsid w:val="00E97147"/>
    <w:rsid w:val="00E97430"/>
    <w:rsid w:val="00E978B6"/>
    <w:rsid w:val="00E97B76"/>
    <w:rsid w:val="00EA0D4A"/>
    <w:rsid w:val="00EA0EF7"/>
    <w:rsid w:val="00EA1037"/>
    <w:rsid w:val="00EA1F58"/>
    <w:rsid w:val="00EA29C4"/>
    <w:rsid w:val="00EA2D3A"/>
    <w:rsid w:val="00EA2DF8"/>
    <w:rsid w:val="00EA3422"/>
    <w:rsid w:val="00EA375F"/>
    <w:rsid w:val="00EA3C09"/>
    <w:rsid w:val="00EA3C9E"/>
    <w:rsid w:val="00EA435E"/>
    <w:rsid w:val="00EA5289"/>
    <w:rsid w:val="00EA52A9"/>
    <w:rsid w:val="00EA5C30"/>
    <w:rsid w:val="00EA626E"/>
    <w:rsid w:val="00EA7832"/>
    <w:rsid w:val="00EB1269"/>
    <w:rsid w:val="00EB1850"/>
    <w:rsid w:val="00EB26A0"/>
    <w:rsid w:val="00EB382B"/>
    <w:rsid w:val="00EB5F9F"/>
    <w:rsid w:val="00EB62E4"/>
    <w:rsid w:val="00EB6F43"/>
    <w:rsid w:val="00EB7ACF"/>
    <w:rsid w:val="00EC00A2"/>
    <w:rsid w:val="00EC0376"/>
    <w:rsid w:val="00EC0C4A"/>
    <w:rsid w:val="00EC2203"/>
    <w:rsid w:val="00EC3394"/>
    <w:rsid w:val="00EC3951"/>
    <w:rsid w:val="00EC3CCC"/>
    <w:rsid w:val="00EC421A"/>
    <w:rsid w:val="00EC589B"/>
    <w:rsid w:val="00EC69BA"/>
    <w:rsid w:val="00ED0EA7"/>
    <w:rsid w:val="00ED1137"/>
    <w:rsid w:val="00ED17C4"/>
    <w:rsid w:val="00ED1AEF"/>
    <w:rsid w:val="00ED219E"/>
    <w:rsid w:val="00ED2D97"/>
    <w:rsid w:val="00ED40C7"/>
    <w:rsid w:val="00ED4A6F"/>
    <w:rsid w:val="00ED57BA"/>
    <w:rsid w:val="00ED6136"/>
    <w:rsid w:val="00ED79CF"/>
    <w:rsid w:val="00EE0057"/>
    <w:rsid w:val="00EE1DAE"/>
    <w:rsid w:val="00EE1E12"/>
    <w:rsid w:val="00EE2213"/>
    <w:rsid w:val="00EE2890"/>
    <w:rsid w:val="00EE3119"/>
    <w:rsid w:val="00EE34BB"/>
    <w:rsid w:val="00EE3EB9"/>
    <w:rsid w:val="00EE444B"/>
    <w:rsid w:val="00EE5EA4"/>
    <w:rsid w:val="00EE691F"/>
    <w:rsid w:val="00EF002E"/>
    <w:rsid w:val="00EF11DF"/>
    <w:rsid w:val="00EF14BD"/>
    <w:rsid w:val="00EF1F5B"/>
    <w:rsid w:val="00EF22AA"/>
    <w:rsid w:val="00EF31E7"/>
    <w:rsid w:val="00EF497F"/>
    <w:rsid w:val="00EF4EF8"/>
    <w:rsid w:val="00EF5F48"/>
    <w:rsid w:val="00EF6267"/>
    <w:rsid w:val="00EF6820"/>
    <w:rsid w:val="00EF717B"/>
    <w:rsid w:val="00F01437"/>
    <w:rsid w:val="00F01A63"/>
    <w:rsid w:val="00F01C3C"/>
    <w:rsid w:val="00F030E1"/>
    <w:rsid w:val="00F03965"/>
    <w:rsid w:val="00F05220"/>
    <w:rsid w:val="00F05815"/>
    <w:rsid w:val="00F06549"/>
    <w:rsid w:val="00F07044"/>
    <w:rsid w:val="00F07986"/>
    <w:rsid w:val="00F1118B"/>
    <w:rsid w:val="00F11762"/>
    <w:rsid w:val="00F1519E"/>
    <w:rsid w:val="00F153EF"/>
    <w:rsid w:val="00F15E03"/>
    <w:rsid w:val="00F17FAE"/>
    <w:rsid w:val="00F208E4"/>
    <w:rsid w:val="00F22077"/>
    <w:rsid w:val="00F224A0"/>
    <w:rsid w:val="00F22614"/>
    <w:rsid w:val="00F23B75"/>
    <w:rsid w:val="00F249DA"/>
    <w:rsid w:val="00F251BE"/>
    <w:rsid w:val="00F26244"/>
    <w:rsid w:val="00F26645"/>
    <w:rsid w:val="00F27EFB"/>
    <w:rsid w:val="00F30362"/>
    <w:rsid w:val="00F314E1"/>
    <w:rsid w:val="00F33AE7"/>
    <w:rsid w:val="00F34521"/>
    <w:rsid w:val="00F3505B"/>
    <w:rsid w:val="00F35767"/>
    <w:rsid w:val="00F357B2"/>
    <w:rsid w:val="00F3632E"/>
    <w:rsid w:val="00F36C3F"/>
    <w:rsid w:val="00F36DA2"/>
    <w:rsid w:val="00F37865"/>
    <w:rsid w:val="00F37E95"/>
    <w:rsid w:val="00F40920"/>
    <w:rsid w:val="00F40BBC"/>
    <w:rsid w:val="00F410C0"/>
    <w:rsid w:val="00F41577"/>
    <w:rsid w:val="00F4169D"/>
    <w:rsid w:val="00F43D33"/>
    <w:rsid w:val="00F46F72"/>
    <w:rsid w:val="00F46F83"/>
    <w:rsid w:val="00F47184"/>
    <w:rsid w:val="00F50CFA"/>
    <w:rsid w:val="00F514AA"/>
    <w:rsid w:val="00F51BBF"/>
    <w:rsid w:val="00F53DB5"/>
    <w:rsid w:val="00F5521A"/>
    <w:rsid w:val="00F56068"/>
    <w:rsid w:val="00F57CC6"/>
    <w:rsid w:val="00F6044E"/>
    <w:rsid w:val="00F6258B"/>
    <w:rsid w:val="00F62EC5"/>
    <w:rsid w:val="00F632DF"/>
    <w:rsid w:val="00F63F2A"/>
    <w:rsid w:val="00F6478D"/>
    <w:rsid w:val="00F67501"/>
    <w:rsid w:val="00F67ECA"/>
    <w:rsid w:val="00F708B2"/>
    <w:rsid w:val="00F71CAC"/>
    <w:rsid w:val="00F71FDE"/>
    <w:rsid w:val="00F72867"/>
    <w:rsid w:val="00F73CB9"/>
    <w:rsid w:val="00F748ED"/>
    <w:rsid w:val="00F7556A"/>
    <w:rsid w:val="00F75868"/>
    <w:rsid w:val="00F76EE9"/>
    <w:rsid w:val="00F805AE"/>
    <w:rsid w:val="00F80AB9"/>
    <w:rsid w:val="00F8132B"/>
    <w:rsid w:val="00F840EB"/>
    <w:rsid w:val="00F8490D"/>
    <w:rsid w:val="00F859E0"/>
    <w:rsid w:val="00F90893"/>
    <w:rsid w:val="00F92C4C"/>
    <w:rsid w:val="00F93A93"/>
    <w:rsid w:val="00F9424C"/>
    <w:rsid w:val="00F946AB"/>
    <w:rsid w:val="00F95FB2"/>
    <w:rsid w:val="00F97756"/>
    <w:rsid w:val="00F97910"/>
    <w:rsid w:val="00F97A64"/>
    <w:rsid w:val="00FA054E"/>
    <w:rsid w:val="00FA0C97"/>
    <w:rsid w:val="00FA16EC"/>
    <w:rsid w:val="00FA31A9"/>
    <w:rsid w:val="00FA3603"/>
    <w:rsid w:val="00FA3BFF"/>
    <w:rsid w:val="00FA4634"/>
    <w:rsid w:val="00FA4EE4"/>
    <w:rsid w:val="00FA52E5"/>
    <w:rsid w:val="00FA5AA9"/>
    <w:rsid w:val="00FA5E77"/>
    <w:rsid w:val="00FA6A81"/>
    <w:rsid w:val="00FA7FDB"/>
    <w:rsid w:val="00FB114C"/>
    <w:rsid w:val="00FB1921"/>
    <w:rsid w:val="00FB23DF"/>
    <w:rsid w:val="00FB287A"/>
    <w:rsid w:val="00FB28BD"/>
    <w:rsid w:val="00FB35A4"/>
    <w:rsid w:val="00FB4A1D"/>
    <w:rsid w:val="00FB59DC"/>
    <w:rsid w:val="00FB7355"/>
    <w:rsid w:val="00FC0D58"/>
    <w:rsid w:val="00FC114E"/>
    <w:rsid w:val="00FC2081"/>
    <w:rsid w:val="00FC4076"/>
    <w:rsid w:val="00FC49F4"/>
    <w:rsid w:val="00FC4ADF"/>
    <w:rsid w:val="00FC4CD2"/>
    <w:rsid w:val="00FC4CF0"/>
    <w:rsid w:val="00FC4EDF"/>
    <w:rsid w:val="00FC4F7E"/>
    <w:rsid w:val="00FC6530"/>
    <w:rsid w:val="00FC73A6"/>
    <w:rsid w:val="00FC7D15"/>
    <w:rsid w:val="00FC7DF0"/>
    <w:rsid w:val="00FD0226"/>
    <w:rsid w:val="00FD0BA2"/>
    <w:rsid w:val="00FD1735"/>
    <w:rsid w:val="00FD2910"/>
    <w:rsid w:val="00FD3C21"/>
    <w:rsid w:val="00FD3F05"/>
    <w:rsid w:val="00FD426A"/>
    <w:rsid w:val="00FD465B"/>
    <w:rsid w:val="00FD46EE"/>
    <w:rsid w:val="00FD65B4"/>
    <w:rsid w:val="00FD7247"/>
    <w:rsid w:val="00FD77E6"/>
    <w:rsid w:val="00FE0ACB"/>
    <w:rsid w:val="00FE0CFB"/>
    <w:rsid w:val="00FE12D5"/>
    <w:rsid w:val="00FE2CD2"/>
    <w:rsid w:val="00FE30F2"/>
    <w:rsid w:val="00FE32C3"/>
    <w:rsid w:val="00FE3E03"/>
    <w:rsid w:val="00FE5F63"/>
    <w:rsid w:val="00FE6B69"/>
    <w:rsid w:val="00FE6C0F"/>
    <w:rsid w:val="00FE7686"/>
    <w:rsid w:val="00FE7FA2"/>
    <w:rsid w:val="00FF0720"/>
    <w:rsid w:val="00FF13AD"/>
    <w:rsid w:val="00FF17E5"/>
    <w:rsid w:val="00FF1C7F"/>
    <w:rsid w:val="00FF1D39"/>
    <w:rsid w:val="00FF30FF"/>
    <w:rsid w:val="00FF3A69"/>
    <w:rsid w:val="00FF50AB"/>
    <w:rsid w:val="00FF5AD9"/>
    <w:rsid w:val="00FF603C"/>
    <w:rsid w:val="00FF6CB2"/>
    <w:rsid w:val="00FF7D48"/>
    <w:rsid w:val="010C1112"/>
    <w:rsid w:val="021DF365"/>
    <w:rsid w:val="029C2633"/>
    <w:rsid w:val="03532116"/>
    <w:rsid w:val="03B1F703"/>
    <w:rsid w:val="03E3A3E9"/>
    <w:rsid w:val="03F51677"/>
    <w:rsid w:val="03F69F1A"/>
    <w:rsid w:val="0510334F"/>
    <w:rsid w:val="051ACFCD"/>
    <w:rsid w:val="05919A2D"/>
    <w:rsid w:val="05E9152B"/>
    <w:rsid w:val="06379433"/>
    <w:rsid w:val="063D6843"/>
    <w:rsid w:val="066432AC"/>
    <w:rsid w:val="069B7ADC"/>
    <w:rsid w:val="069D33D9"/>
    <w:rsid w:val="06BE6BE2"/>
    <w:rsid w:val="06FE8B66"/>
    <w:rsid w:val="070AFB42"/>
    <w:rsid w:val="0739E6C6"/>
    <w:rsid w:val="0763136A"/>
    <w:rsid w:val="07A6191C"/>
    <w:rsid w:val="07ABBEBB"/>
    <w:rsid w:val="07BA705A"/>
    <w:rsid w:val="081F19BD"/>
    <w:rsid w:val="084EBC2A"/>
    <w:rsid w:val="0907052C"/>
    <w:rsid w:val="098051AA"/>
    <w:rsid w:val="0A24B9C4"/>
    <w:rsid w:val="0A613950"/>
    <w:rsid w:val="0A700B55"/>
    <w:rsid w:val="0ABA56C6"/>
    <w:rsid w:val="0B0022D9"/>
    <w:rsid w:val="0B48D58A"/>
    <w:rsid w:val="0B7151BD"/>
    <w:rsid w:val="0C5E71B7"/>
    <w:rsid w:val="0C689E27"/>
    <w:rsid w:val="0C6C4946"/>
    <w:rsid w:val="0C85BE5D"/>
    <w:rsid w:val="0C9FAC85"/>
    <w:rsid w:val="0CB1253A"/>
    <w:rsid w:val="0DCFF88F"/>
    <w:rsid w:val="0DE04A9F"/>
    <w:rsid w:val="0DF5FC9A"/>
    <w:rsid w:val="0E3D3F74"/>
    <w:rsid w:val="0E6BB81D"/>
    <w:rsid w:val="0E967858"/>
    <w:rsid w:val="0F03D9E1"/>
    <w:rsid w:val="0F3B75E8"/>
    <w:rsid w:val="0F95990C"/>
    <w:rsid w:val="0FD4C9D7"/>
    <w:rsid w:val="102F500D"/>
    <w:rsid w:val="10A4A11E"/>
    <w:rsid w:val="10FB2C97"/>
    <w:rsid w:val="1112F309"/>
    <w:rsid w:val="1114BA4E"/>
    <w:rsid w:val="112C6B7A"/>
    <w:rsid w:val="1198BEFD"/>
    <w:rsid w:val="11DD2B83"/>
    <w:rsid w:val="12008149"/>
    <w:rsid w:val="123EFD2F"/>
    <w:rsid w:val="12F4B78A"/>
    <w:rsid w:val="1323E382"/>
    <w:rsid w:val="136379A9"/>
    <w:rsid w:val="13A3A09E"/>
    <w:rsid w:val="13A79940"/>
    <w:rsid w:val="13E847AC"/>
    <w:rsid w:val="13F426FA"/>
    <w:rsid w:val="142D8494"/>
    <w:rsid w:val="1486A01F"/>
    <w:rsid w:val="15270E72"/>
    <w:rsid w:val="154090C5"/>
    <w:rsid w:val="1561100D"/>
    <w:rsid w:val="15A58401"/>
    <w:rsid w:val="15BE4434"/>
    <w:rsid w:val="16287004"/>
    <w:rsid w:val="166F4922"/>
    <w:rsid w:val="17131A31"/>
    <w:rsid w:val="17C27382"/>
    <w:rsid w:val="17DC55AF"/>
    <w:rsid w:val="17FEF9E5"/>
    <w:rsid w:val="185526A6"/>
    <w:rsid w:val="18B57E3D"/>
    <w:rsid w:val="18CE3240"/>
    <w:rsid w:val="19667954"/>
    <w:rsid w:val="198A79AC"/>
    <w:rsid w:val="19DEEE96"/>
    <w:rsid w:val="19E6C14B"/>
    <w:rsid w:val="1A4348F7"/>
    <w:rsid w:val="1A7FDCA6"/>
    <w:rsid w:val="1A8B3D1C"/>
    <w:rsid w:val="1A9A6D24"/>
    <w:rsid w:val="1AC17C3A"/>
    <w:rsid w:val="1ADA31FC"/>
    <w:rsid w:val="1B284C5D"/>
    <w:rsid w:val="1B597A7E"/>
    <w:rsid w:val="1BB71A66"/>
    <w:rsid w:val="1BD611AD"/>
    <w:rsid w:val="1CAE500B"/>
    <w:rsid w:val="1CE469A7"/>
    <w:rsid w:val="1D3ABBAA"/>
    <w:rsid w:val="1D481232"/>
    <w:rsid w:val="1DD9EF3C"/>
    <w:rsid w:val="1DF69EC9"/>
    <w:rsid w:val="1E25FE9E"/>
    <w:rsid w:val="1E4917F1"/>
    <w:rsid w:val="1EAC8E60"/>
    <w:rsid w:val="1EBF714E"/>
    <w:rsid w:val="1EE22F19"/>
    <w:rsid w:val="1F152BF5"/>
    <w:rsid w:val="1F6DAFD8"/>
    <w:rsid w:val="1F84CC11"/>
    <w:rsid w:val="1F9F929D"/>
    <w:rsid w:val="1FABBDF6"/>
    <w:rsid w:val="1FFBA893"/>
    <w:rsid w:val="20BD1B28"/>
    <w:rsid w:val="2170C7F6"/>
    <w:rsid w:val="218F7423"/>
    <w:rsid w:val="21A055E4"/>
    <w:rsid w:val="21CD325D"/>
    <w:rsid w:val="21E1F21E"/>
    <w:rsid w:val="21F176C3"/>
    <w:rsid w:val="2252F5EA"/>
    <w:rsid w:val="22B2E273"/>
    <w:rsid w:val="235944A0"/>
    <w:rsid w:val="239528D4"/>
    <w:rsid w:val="241BF6F5"/>
    <w:rsid w:val="242A3B97"/>
    <w:rsid w:val="244B8BA3"/>
    <w:rsid w:val="247593E9"/>
    <w:rsid w:val="2482AB30"/>
    <w:rsid w:val="24866881"/>
    <w:rsid w:val="248FB11B"/>
    <w:rsid w:val="24CA6B4B"/>
    <w:rsid w:val="25167A99"/>
    <w:rsid w:val="251DAD54"/>
    <w:rsid w:val="256E7D1F"/>
    <w:rsid w:val="263C3F53"/>
    <w:rsid w:val="265D5CEA"/>
    <w:rsid w:val="266D0E36"/>
    <w:rsid w:val="267B3E42"/>
    <w:rsid w:val="2705F438"/>
    <w:rsid w:val="2803C688"/>
    <w:rsid w:val="286F61AF"/>
    <w:rsid w:val="28F9800E"/>
    <w:rsid w:val="29171280"/>
    <w:rsid w:val="291EB04C"/>
    <w:rsid w:val="29AF17E1"/>
    <w:rsid w:val="29E24B52"/>
    <w:rsid w:val="2AB2F450"/>
    <w:rsid w:val="2AB70C23"/>
    <w:rsid w:val="2AEB4A54"/>
    <w:rsid w:val="2B04FDB1"/>
    <w:rsid w:val="2B1AC7DC"/>
    <w:rsid w:val="2BEF2B23"/>
    <w:rsid w:val="2BF1899A"/>
    <w:rsid w:val="2C3D54C4"/>
    <w:rsid w:val="2CC507A0"/>
    <w:rsid w:val="2CE0FEC2"/>
    <w:rsid w:val="2CF1AE67"/>
    <w:rsid w:val="2D12A1D9"/>
    <w:rsid w:val="2D9251E6"/>
    <w:rsid w:val="2D99E544"/>
    <w:rsid w:val="2DEB2C8A"/>
    <w:rsid w:val="2E2AB90F"/>
    <w:rsid w:val="2E3CCF42"/>
    <w:rsid w:val="2E8E4643"/>
    <w:rsid w:val="2E8E7D31"/>
    <w:rsid w:val="2EE8C294"/>
    <w:rsid w:val="2F7661F3"/>
    <w:rsid w:val="2FA6F2C0"/>
    <w:rsid w:val="30317774"/>
    <w:rsid w:val="30B89212"/>
    <w:rsid w:val="30EDBFC2"/>
    <w:rsid w:val="30F97C62"/>
    <w:rsid w:val="30FC3356"/>
    <w:rsid w:val="3192DD79"/>
    <w:rsid w:val="3205A40E"/>
    <w:rsid w:val="320BC70F"/>
    <w:rsid w:val="32158470"/>
    <w:rsid w:val="3268830B"/>
    <w:rsid w:val="32C1C859"/>
    <w:rsid w:val="32F6F98A"/>
    <w:rsid w:val="33059570"/>
    <w:rsid w:val="33394F97"/>
    <w:rsid w:val="333BE5E1"/>
    <w:rsid w:val="3385A405"/>
    <w:rsid w:val="33985B12"/>
    <w:rsid w:val="33E5B4FB"/>
    <w:rsid w:val="34DFCB06"/>
    <w:rsid w:val="34E998B1"/>
    <w:rsid w:val="34F06E92"/>
    <w:rsid w:val="3518770D"/>
    <w:rsid w:val="351F2960"/>
    <w:rsid w:val="3569ECBC"/>
    <w:rsid w:val="35821FBB"/>
    <w:rsid w:val="358BCD3F"/>
    <w:rsid w:val="35A59737"/>
    <w:rsid w:val="3630E3D9"/>
    <w:rsid w:val="36C1AD60"/>
    <w:rsid w:val="36E718BD"/>
    <w:rsid w:val="372DFBD6"/>
    <w:rsid w:val="374972E4"/>
    <w:rsid w:val="375E6B6B"/>
    <w:rsid w:val="3782F5BA"/>
    <w:rsid w:val="381054FE"/>
    <w:rsid w:val="382BB0E4"/>
    <w:rsid w:val="38303276"/>
    <w:rsid w:val="38D94B9A"/>
    <w:rsid w:val="39728167"/>
    <w:rsid w:val="397FF86C"/>
    <w:rsid w:val="399D4214"/>
    <w:rsid w:val="39F787EA"/>
    <w:rsid w:val="3A1863B5"/>
    <w:rsid w:val="3A252E23"/>
    <w:rsid w:val="3A5CA141"/>
    <w:rsid w:val="3AC975C0"/>
    <w:rsid w:val="3AE1C658"/>
    <w:rsid w:val="3AE87F4D"/>
    <w:rsid w:val="3B3759A5"/>
    <w:rsid w:val="3B799BCC"/>
    <w:rsid w:val="3B983095"/>
    <w:rsid w:val="3BBDEFDF"/>
    <w:rsid w:val="3C09902F"/>
    <w:rsid w:val="3C205190"/>
    <w:rsid w:val="3C415B41"/>
    <w:rsid w:val="3C637521"/>
    <w:rsid w:val="3C87A00B"/>
    <w:rsid w:val="3D1B7E88"/>
    <w:rsid w:val="3D23032C"/>
    <w:rsid w:val="3DF4D5B1"/>
    <w:rsid w:val="3E0BD2A6"/>
    <w:rsid w:val="3E587F8E"/>
    <w:rsid w:val="3E75DAF6"/>
    <w:rsid w:val="3EEBE81C"/>
    <w:rsid w:val="3F7A82CE"/>
    <w:rsid w:val="3F8285E0"/>
    <w:rsid w:val="3FC738EB"/>
    <w:rsid w:val="3FF7CE88"/>
    <w:rsid w:val="40310710"/>
    <w:rsid w:val="404A42F7"/>
    <w:rsid w:val="405C61C0"/>
    <w:rsid w:val="40CDF8D1"/>
    <w:rsid w:val="4131F494"/>
    <w:rsid w:val="41531929"/>
    <w:rsid w:val="41B4A28C"/>
    <w:rsid w:val="4254DCC1"/>
    <w:rsid w:val="42EDEF6D"/>
    <w:rsid w:val="43768F17"/>
    <w:rsid w:val="451C38B0"/>
    <w:rsid w:val="457E80E2"/>
    <w:rsid w:val="45866D16"/>
    <w:rsid w:val="4600C643"/>
    <w:rsid w:val="46186346"/>
    <w:rsid w:val="464F45A7"/>
    <w:rsid w:val="4660B91A"/>
    <w:rsid w:val="46D68B46"/>
    <w:rsid w:val="4734A752"/>
    <w:rsid w:val="475F3A1A"/>
    <w:rsid w:val="47C26FF6"/>
    <w:rsid w:val="47CA3E1F"/>
    <w:rsid w:val="4816A654"/>
    <w:rsid w:val="481A0B18"/>
    <w:rsid w:val="48375772"/>
    <w:rsid w:val="487623C5"/>
    <w:rsid w:val="4909FF02"/>
    <w:rsid w:val="4936E5BF"/>
    <w:rsid w:val="4959E051"/>
    <w:rsid w:val="4A1DDAEB"/>
    <w:rsid w:val="4A4DD050"/>
    <w:rsid w:val="4AA1AE5E"/>
    <w:rsid w:val="4B71E956"/>
    <w:rsid w:val="4C05280B"/>
    <w:rsid w:val="4C2A1218"/>
    <w:rsid w:val="4C8918ED"/>
    <w:rsid w:val="4D05D725"/>
    <w:rsid w:val="4D0967CF"/>
    <w:rsid w:val="4D65BC3A"/>
    <w:rsid w:val="4D8EC441"/>
    <w:rsid w:val="4DBA415A"/>
    <w:rsid w:val="4DDA30CA"/>
    <w:rsid w:val="4DE0175B"/>
    <w:rsid w:val="4E12A658"/>
    <w:rsid w:val="4E2B0E51"/>
    <w:rsid w:val="4EDF1A41"/>
    <w:rsid w:val="4EF92727"/>
    <w:rsid w:val="4EFA7888"/>
    <w:rsid w:val="4F35BA93"/>
    <w:rsid w:val="4F76BD83"/>
    <w:rsid w:val="4F9EA472"/>
    <w:rsid w:val="4FCC0AD1"/>
    <w:rsid w:val="5018C294"/>
    <w:rsid w:val="510D766F"/>
    <w:rsid w:val="51115786"/>
    <w:rsid w:val="5170D769"/>
    <w:rsid w:val="526362D6"/>
    <w:rsid w:val="527DC273"/>
    <w:rsid w:val="52CC3B59"/>
    <w:rsid w:val="5369F3F4"/>
    <w:rsid w:val="537A5530"/>
    <w:rsid w:val="537B7A8F"/>
    <w:rsid w:val="547A2D94"/>
    <w:rsid w:val="547CDDA0"/>
    <w:rsid w:val="54ACA371"/>
    <w:rsid w:val="550BC2F9"/>
    <w:rsid w:val="558BDF90"/>
    <w:rsid w:val="559D80A3"/>
    <w:rsid w:val="55D58669"/>
    <w:rsid w:val="560FAF85"/>
    <w:rsid w:val="565C7792"/>
    <w:rsid w:val="56F1BA1B"/>
    <w:rsid w:val="57821025"/>
    <w:rsid w:val="57CD894D"/>
    <w:rsid w:val="58532BE8"/>
    <w:rsid w:val="587E035A"/>
    <w:rsid w:val="588CC089"/>
    <w:rsid w:val="58A84EEA"/>
    <w:rsid w:val="58E96E3A"/>
    <w:rsid w:val="593AC637"/>
    <w:rsid w:val="593E5738"/>
    <w:rsid w:val="594C7A0B"/>
    <w:rsid w:val="59C112C8"/>
    <w:rsid w:val="5A4CF6CC"/>
    <w:rsid w:val="5AF03726"/>
    <w:rsid w:val="5B545F6C"/>
    <w:rsid w:val="5B67C7D7"/>
    <w:rsid w:val="5C24D288"/>
    <w:rsid w:val="5C6F8BC2"/>
    <w:rsid w:val="5CE41D62"/>
    <w:rsid w:val="5CEFEC53"/>
    <w:rsid w:val="5DC4A04A"/>
    <w:rsid w:val="5DD4D7CF"/>
    <w:rsid w:val="5E04AD7D"/>
    <w:rsid w:val="5E4023AB"/>
    <w:rsid w:val="5E7D70E4"/>
    <w:rsid w:val="5E97B0CB"/>
    <w:rsid w:val="5F62B1B6"/>
    <w:rsid w:val="5FAE97D8"/>
    <w:rsid w:val="5FB23B27"/>
    <w:rsid w:val="5FD35E9D"/>
    <w:rsid w:val="600DB829"/>
    <w:rsid w:val="6079877E"/>
    <w:rsid w:val="60A7EB4B"/>
    <w:rsid w:val="612F3305"/>
    <w:rsid w:val="61EE564A"/>
    <w:rsid w:val="61FAE98A"/>
    <w:rsid w:val="62456E77"/>
    <w:rsid w:val="62BE2085"/>
    <w:rsid w:val="62C9B2EA"/>
    <w:rsid w:val="631FEBCA"/>
    <w:rsid w:val="639E9B9B"/>
    <w:rsid w:val="63BDFF0D"/>
    <w:rsid w:val="63BEA325"/>
    <w:rsid w:val="64200735"/>
    <w:rsid w:val="6462B5A6"/>
    <w:rsid w:val="649087DC"/>
    <w:rsid w:val="649395FB"/>
    <w:rsid w:val="64A4B944"/>
    <w:rsid w:val="64D5FF92"/>
    <w:rsid w:val="64F692D4"/>
    <w:rsid w:val="656A1E2D"/>
    <w:rsid w:val="65772A6C"/>
    <w:rsid w:val="65A72BA2"/>
    <w:rsid w:val="6654291A"/>
    <w:rsid w:val="66BD4B63"/>
    <w:rsid w:val="671C4404"/>
    <w:rsid w:val="67205E4B"/>
    <w:rsid w:val="67630FE3"/>
    <w:rsid w:val="678818CA"/>
    <w:rsid w:val="67929FA3"/>
    <w:rsid w:val="67997BEE"/>
    <w:rsid w:val="67E5EF71"/>
    <w:rsid w:val="688EC8D6"/>
    <w:rsid w:val="68A23DD0"/>
    <w:rsid w:val="68C2C5D5"/>
    <w:rsid w:val="68DB40FC"/>
    <w:rsid w:val="691A06BB"/>
    <w:rsid w:val="691A7037"/>
    <w:rsid w:val="6924D4D1"/>
    <w:rsid w:val="6987D822"/>
    <w:rsid w:val="6A0510BF"/>
    <w:rsid w:val="6A5BA9CD"/>
    <w:rsid w:val="6A66705C"/>
    <w:rsid w:val="6AB03904"/>
    <w:rsid w:val="6ABC4D12"/>
    <w:rsid w:val="6AC31E23"/>
    <w:rsid w:val="6B3C2582"/>
    <w:rsid w:val="6B5B80CE"/>
    <w:rsid w:val="6BF9886D"/>
    <w:rsid w:val="6C7E551B"/>
    <w:rsid w:val="6D17EF1F"/>
    <w:rsid w:val="6D488CFE"/>
    <w:rsid w:val="6D5E2B53"/>
    <w:rsid w:val="6D92290A"/>
    <w:rsid w:val="6DC8581C"/>
    <w:rsid w:val="6DE954D4"/>
    <w:rsid w:val="6DEE8A84"/>
    <w:rsid w:val="6E235B12"/>
    <w:rsid w:val="6FEFD563"/>
    <w:rsid w:val="702EE3C2"/>
    <w:rsid w:val="70481CF2"/>
    <w:rsid w:val="70631177"/>
    <w:rsid w:val="70A625F7"/>
    <w:rsid w:val="70C006E6"/>
    <w:rsid w:val="713AB4F6"/>
    <w:rsid w:val="716D41F4"/>
    <w:rsid w:val="7193A06A"/>
    <w:rsid w:val="71C31FE3"/>
    <w:rsid w:val="71E6426E"/>
    <w:rsid w:val="71F51864"/>
    <w:rsid w:val="720D7029"/>
    <w:rsid w:val="724E9FAD"/>
    <w:rsid w:val="727A167A"/>
    <w:rsid w:val="72AFD5C4"/>
    <w:rsid w:val="72D168A5"/>
    <w:rsid w:val="72F6ECCE"/>
    <w:rsid w:val="730FCCFB"/>
    <w:rsid w:val="73BF3F6F"/>
    <w:rsid w:val="73C5D9BC"/>
    <w:rsid w:val="73F401F8"/>
    <w:rsid w:val="74B9DF17"/>
    <w:rsid w:val="74CD2655"/>
    <w:rsid w:val="75207B8F"/>
    <w:rsid w:val="753F003B"/>
    <w:rsid w:val="755D8C82"/>
    <w:rsid w:val="75809766"/>
    <w:rsid w:val="75BE7B32"/>
    <w:rsid w:val="75E00F09"/>
    <w:rsid w:val="75E7E8C2"/>
    <w:rsid w:val="7669ACD6"/>
    <w:rsid w:val="766E7AF6"/>
    <w:rsid w:val="76825172"/>
    <w:rsid w:val="76B67B90"/>
    <w:rsid w:val="76DBA6E0"/>
    <w:rsid w:val="77316144"/>
    <w:rsid w:val="77359BF2"/>
    <w:rsid w:val="77446A4A"/>
    <w:rsid w:val="777ECC86"/>
    <w:rsid w:val="77D2CA7A"/>
    <w:rsid w:val="78206F1E"/>
    <w:rsid w:val="784B72B7"/>
    <w:rsid w:val="785BA168"/>
    <w:rsid w:val="7929D98B"/>
    <w:rsid w:val="79B17F01"/>
    <w:rsid w:val="79BEC7F1"/>
    <w:rsid w:val="79CB34D5"/>
    <w:rsid w:val="7A1FFE35"/>
    <w:rsid w:val="7A6AF975"/>
    <w:rsid w:val="7A75D9C9"/>
    <w:rsid w:val="7A91341A"/>
    <w:rsid w:val="7B254AC1"/>
    <w:rsid w:val="7B51F349"/>
    <w:rsid w:val="7BAD7C19"/>
    <w:rsid w:val="7BEE4526"/>
    <w:rsid w:val="7BF38582"/>
    <w:rsid w:val="7BF9C335"/>
    <w:rsid w:val="7C285CBA"/>
    <w:rsid w:val="7C297149"/>
    <w:rsid w:val="7C97CD75"/>
    <w:rsid w:val="7CA17E0A"/>
    <w:rsid w:val="7D073C85"/>
    <w:rsid w:val="7D0CF5E0"/>
    <w:rsid w:val="7DA9163B"/>
    <w:rsid w:val="7DEED1A8"/>
    <w:rsid w:val="7E030E9E"/>
    <w:rsid w:val="7E1955CF"/>
    <w:rsid w:val="7E8CEE34"/>
    <w:rsid w:val="7F17C408"/>
    <w:rsid w:val="7FA29CDC"/>
    <w:rsid w:val="7FD37914"/>
    <w:rsid w:val="7FE44D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89E2"/>
  <w15:docId w15:val="{38D6A328-5785-4CB2-BD85-E77B7552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5A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155FE"/>
    <w:pPr>
      <w:tabs>
        <w:tab w:val="center" w:pos="4536"/>
        <w:tab w:val="right" w:pos="9072"/>
      </w:tabs>
      <w:spacing w:after="0" w:line="240" w:lineRule="auto"/>
    </w:pPr>
  </w:style>
  <w:style w:type="character" w:customStyle="1" w:styleId="lfejChar">
    <w:name w:val="Élőfej Char"/>
    <w:basedOn w:val="Bekezdsalapbettpusa"/>
    <w:link w:val="lfej"/>
    <w:uiPriority w:val="99"/>
    <w:rsid w:val="00B155FE"/>
  </w:style>
  <w:style w:type="paragraph" w:styleId="llb">
    <w:name w:val="footer"/>
    <w:basedOn w:val="Norml"/>
    <w:link w:val="llbChar"/>
    <w:uiPriority w:val="99"/>
    <w:unhideWhenUsed/>
    <w:rsid w:val="00B155FE"/>
    <w:pPr>
      <w:tabs>
        <w:tab w:val="center" w:pos="4536"/>
        <w:tab w:val="right" w:pos="9072"/>
      </w:tabs>
      <w:spacing w:after="0" w:line="240" w:lineRule="auto"/>
    </w:pPr>
  </w:style>
  <w:style w:type="character" w:customStyle="1" w:styleId="llbChar">
    <w:name w:val="Élőláb Char"/>
    <w:basedOn w:val="Bekezdsalapbettpusa"/>
    <w:link w:val="llb"/>
    <w:uiPriority w:val="99"/>
    <w:rsid w:val="00B155FE"/>
  </w:style>
  <w:style w:type="paragraph" w:styleId="Lbjegyzetszveg">
    <w:name w:val="footnote text"/>
    <w:basedOn w:val="Norml"/>
    <w:link w:val="LbjegyzetszvegChar"/>
    <w:uiPriority w:val="99"/>
    <w:semiHidden/>
    <w:unhideWhenUsed/>
    <w:rsid w:val="00B155F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155FE"/>
    <w:rPr>
      <w:sz w:val="20"/>
      <w:szCs w:val="20"/>
    </w:rPr>
  </w:style>
  <w:style w:type="character" w:styleId="Lbjegyzet-hivatkozs">
    <w:name w:val="footnote reference"/>
    <w:semiHidden/>
    <w:rsid w:val="00B155FE"/>
    <w:rPr>
      <w:vertAlign w:val="superscript"/>
    </w:rPr>
  </w:style>
  <w:style w:type="character" w:styleId="Oldalszm">
    <w:name w:val="page number"/>
    <w:basedOn w:val="Bekezdsalapbettpusa"/>
    <w:rsid w:val="00B155FE"/>
  </w:style>
  <w:style w:type="paragraph" w:styleId="Buborkszveg">
    <w:name w:val="Balloon Text"/>
    <w:basedOn w:val="Norml"/>
    <w:link w:val="BuborkszvegChar"/>
    <w:uiPriority w:val="99"/>
    <w:semiHidden/>
    <w:unhideWhenUsed/>
    <w:rsid w:val="0097327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7327C"/>
    <w:rPr>
      <w:rFonts w:ascii="Tahoma" w:hAnsi="Tahoma" w:cs="Tahoma"/>
      <w:sz w:val="16"/>
      <w:szCs w:val="16"/>
    </w:rPr>
  </w:style>
  <w:style w:type="paragraph" w:styleId="Listaszerbekezds">
    <w:name w:val="List Paragraph"/>
    <w:basedOn w:val="Norml"/>
    <w:uiPriority w:val="34"/>
    <w:qFormat/>
    <w:rsid w:val="00F71CAC"/>
    <w:pPr>
      <w:ind w:left="720"/>
      <w:contextualSpacing/>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D4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E165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Pr>
      <w:color w:val="0563C1" w:themeColor="hyperlink"/>
      <w:u w:val="single"/>
    </w:rPr>
  </w:style>
  <w:style w:type="table" w:styleId="Tblzatrcsos1vilgos1jellszn">
    <w:name w:val="Grid Table 1 Light Accent 1"/>
    <w:basedOn w:val="Normltblzat"/>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Megjegyzstrgya">
    <w:name w:val="annotation subject"/>
    <w:basedOn w:val="Jegyzetszveg"/>
    <w:next w:val="Jegyzetszveg"/>
    <w:link w:val="MegjegyzstrgyaChar"/>
    <w:uiPriority w:val="99"/>
    <w:semiHidden/>
    <w:unhideWhenUsed/>
    <w:rsid w:val="00C75D5A"/>
    <w:rPr>
      <w:b/>
      <w:bCs/>
    </w:rPr>
  </w:style>
  <w:style w:type="character" w:customStyle="1" w:styleId="MegjegyzstrgyaChar">
    <w:name w:val="Megjegyzés tárgya Char"/>
    <w:basedOn w:val="JegyzetszvegChar"/>
    <w:link w:val="Megjegyzstrgya"/>
    <w:uiPriority w:val="99"/>
    <w:semiHidden/>
    <w:rsid w:val="00C75D5A"/>
    <w:rPr>
      <w:b/>
      <w:bCs/>
      <w:sz w:val="20"/>
      <w:szCs w:val="20"/>
    </w:rPr>
  </w:style>
  <w:style w:type="paragraph" w:styleId="Vltozat">
    <w:name w:val="Revision"/>
    <w:hidden/>
    <w:uiPriority w:val="99"/>
    <w:semiHidden/>
    <w:rsid w:val="0016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1892">
      <w:bodyDiv w:val="1"/>
      <w:marLeft w:val="0"/>
      <w:marRight w:val="0"/>
      <w:marTop w:val="0"/>
      <w:marBottom w:val="0"/>
      <w:divBdr>
        <w:top w:val="none" w:sz="0" w:space="0" w:color="auto"/>
        <w:left w:val="none" w:sz="0" w:space="0" w:color="auto"/>
        <w:bottom w:val="none" w:sz="0" w:space="0" w:color="auto"/>
        <w:right w:val="none" w:sz="0" w:space="0" w:color="auto"/>
      </w:divBdr>
    </w:div>
    <w:div w:id="74324804">
      <w:bodyDiv w:val="1"/>
      <w:marLeft w:val="0"/>
      <w:marRight w:val="0"/>
      <w:marTop w:val="0"/>
      <w:marBottom w:val="0"/>
      <w:divBdr>
        <w:top w:val="none" w:sz="0" w:space="0" w:color="auto"/>
        <w:left w:val="none" w:sz="0" w:space="0" w:color="auto"/>
        <w:bottom w:val="none" w:sz="0" w:space="0" w:color="auto"/>
        <w:right w:val="none" w:sz="0" w:space="0" w:color="auto"/>
      </w:divBdr>
    </w:div>
    <w:div w:id="240256079">
      <w:bodyDiv w:val="1"/>
      <w:marLeft w:val="0"/>
      <w:marRight w:val="0"/>
      <w:marTop w:val="0"/>
      <w:marBottom w:val="0"/>
      <w:divBdr>
        <w:top w:val="none" w:sz="0" w:space="0" w:color="auto"/>
        <w:left w:val="none" w:sz="0" w:space="0" w:color="auto"/>
        <w:bottom w:val="none" w:sz="0" w:space="0" w:color="auto"/>
        <w:right w:val="none" w:sz="0" w:space="0" w:color="auto"/>
      </w:divBdr>
    </w:div>
    <w:div w:id="248008608">
      <w:bodyDiv w:val="1"/>
      <w:marLeft w:val="0"/>
      <w:marRight w:val="0"/>
      <w:marTop w:val="0"/>
      <w:marBottom w:val="0"/>
      <w:divBdr>
        <w:top w:val="none" w:sz="0" w:space="0" w:color="auto"/>
        <w:left w:val="none" w:sz="0" w:space="0" w:color="auto"/>
        <w:bottom w:val="none" w:sz="0" w:space="0" w:color="auto"/>
        <w:right w:val="none" w:sz="0" w:space="0" w:color="auto"/>
      </w:divBdr>
    </w:div>
    <w:div w:id="251550484">
      <w:bodyDiv w:val="1"/>
      <w:marLeft w:val="0"/>
      <w:marRight w:val="0"/>
      <w:marTop w:val="0"/>
      <w:marBottom w:val="0"/>
      <w:divBdr>
        <w:top w:val="none" w:sz="0" w:space="0" w:color="auto"/>
        <w:left w:val="none" w:sz="0" w:space="0" w:color="auto"/>
        <w:bottom w:val="none" w:sz="0" w:space="0" w:color="auto"/>
        <w:right w:val="none" w:sz="0" w:space="0" w:color="auto"/>
      </w:divBdr>
    </w:div>
    <w:div w:id="263924984">
      <w:bodyDiv w:val="1"/>
      <w:marLeft w:val="0"/>
      <w:marRight w:val="0"/>
      <w:marTop w:val="0"/>
      <w:marBottom w:val="0"/>
      <w:divBdr>
        <w:top w:val="none" w:sz="0" w:space="0" w:color="auto"/>
        <w:left w:val="none" w:sz="0" w:space="0" w:color="auto"/>
        <w:bottom w:val="none" w:sz="0" w:space="0" w:color="auto"/>
        <w:right w:val="none" w:sz="0" w:space="0" w:color="auto"/>
      </w:divBdr>
    </w:div>
    <w:div w:id="372846868">
      <w:bodyDiv w:val="1"/>
      <w:marLeft w:val="0"/>
      <w:marRight w:val="0"/>
      <w:marTop w:val="0"/>
      <w:marBottom w:val="0"/>
      <w:divBdr>
        <w:top w:val="none" w:sz="0" w:space="0" w:color="auto"/>
        <w:left w:val="none" w:sz="0" w:space="0" w:color="auto"/>
        <w:bottom w:val="none" w:sz="0" w:space="0" w:color="auto"/>
        <w:right w:val="none" w:sz="0" w:space="0" w:color="auto"/>
      </w:divBdr>
    </w:div>
    <w:div w:id="414713825">
      <w:bodyDiv w:val="1"/>
      <w:marLeft w:val="0"/>
      <w:marRight w:val="0"/>
      <w:marTop w:val="0"/>
      <w:marBottom w:val="0"/>
      <w:divBdr>
        <w:top w:val="none" w:sz="0" w:space="0" w:color="auto"/>
        <w:left w:val="none" w:sz="0" w:space="0" w:color="auto"/>
        <w:bottom w:val="none" w:sz="0" w:space="0" w:color="auto"/>
        <w:right w:val="none" w:sz="0" w:space="0" w:color="auto"/>
      </w:divBdr>
    </w:div>
    <w:div w:id="419377097">
      <w:bodyDiv w:val="1"/>
      <w:marLeft w:val="0"/>
      <w:marRight w:val="0"/>
      <w:marTop w:val="0"/>
      <w:marBottom w:val="0"/>
      <w:divBdr>
        <w:top w:val="none" w:sz="0" w:space="0" w:color="auto"/>
        <w:left w:val="none" w:sz="0" w:space="0" w:color="auto"/>
        <w:bottom w:val="none" w:sz="0" w:space="0" w:color="auto"/>
        <w:right w:val="none" w:sz="0" w:space="0" w:color="auto"/>
      </w:divBdr>
    </w:div>
    <w:div w:id="422839085">
      <w:bodyDiv w:val="1"/>
      <w:marLeft w:val="0"/>
      <w:marRight w:val="0"/>
      <w:marTop w:val="0"/>
      <w:marBottom w:val="0"/>
      <w:divBdr>
        <w:top w:val="none" w:sz="0" w:space="0" w:color="auto"/>
        <w:left w:val="none" w:sz="0" w:space="0" w:color="auto"/>
        <w:bottom w:val="none" w:sz="0" w:space="0" w:color="auto"/>
        <w:right w:val="none" w:sz="0" w:space="0" w:color="auto"/>
      </w:divBdr>
    </w:div>
    <w:div w:id="425614567">
      <w:bodyDiv w:val="1"/>
      <w:marLeft w:val="0"/>
      <w:marRight w:val="0"/>
      <w:marTop w:val="0"/>
      <w:marBottom w:val="0"/>
      <w:divBdr>
        <w:top w:val="none" w:sz="0" w:space="0" w:color="auto"/>
        <w:left w:val="none" w:sz="0" w:space="0" w:color="auto"/>
        <w:bottom w:val="none" w:sz="0" w:space="0" w:color="auto"/>
        <w:right w:val="none" w:sz="0" w:space="0" w:color="auto"/>
      </w:divBdr>
    </w:div>
    <w:div w:id="457265896">
      <w:bodyDiv w:val="1"/>
      <w:marLeft w:val="0"/>
      <w:marRight w:val="0"/>
      <w:marTop w:val="0"/>
      <w:marBottom w:val="0"/>
      <w:divBdr>
        <w:top w:val="none" w:sz="0" w:space="0" w:color="auto"/>
        <w:left w:val="none" w:sz="0" w:space="0" w:color="auto"/>
        <w:bottom w:val="none" w:sz="0" w:space="0" w:color="auto"/>
        <w:right w:val="none" w:sz="0" w:space="0" w:color="auto"/>
      </w:divBdr>
    </w:div>
    <w:div w:id="750005642">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1945513">
      <w:bodyDiv w:val="1"/>
      <w:marLeft w:val="0"/>
      <w:marRight w:val="0"/>
      <w:marTop w:val="0"/>
      <w:marBottom w:val="0"/>
      <w:divBdr>
        <w:top w:val="none" w:sz="0" w:space="0" w:color="auto"/>
        <w:left w:val="none" w:sz="0" w:space="0" w:color="auto"/>
        <w:bottom w:val="none" w:sz="0" w:space="0" w:color="auto"/>
        <w:right w:val="none" w:sz="0" w:space="0" w:color="auto"/>
      </w:divBdr>
    </w:div>
    <w:div w:id="955060427">
      <w:bodyDiv w:val="1"/>
      <w:marLeft w:val="0"/>
      <w:marRight w:val="0"/>
      <w:marTop w:val="0"/>
      <w:marBottom w:val="0"/>
      <w:divBdr>
        <w:top w:val="none" w:sz="0" w:space="0" w:color="auto"/>
        <w:left w:val="none" w:sz="0" w:space="0" w:color="auto"/>
        <w:bottom w:val="none" w:sz="0" w:space="0" w:color="auto"/>
        <w:right w:val="none" w:sz="0" w:space="0" w:color="auto"/>
      </w:divBdr>
    </w:div>
    <w:div w:id="1020281846">
      <w:bodyDiv w:val="1"/>
      <w:marLeft w:val="0"/>
      <w:marRight w:val="0"/>
      <w:marTop w:val="0"/>
      <w:marBottom w:val="0"/>
      <w:divBdr>
        <w:top w:val="none" w:sz="0" w:space="0" w:color="auto"/>
        <w:left w:val="none" w:sz="0" w:space="0" w:color="auto"/>
        <w:bottom w:val="none" w:sz="0" w:space="0" w:color="auto"/>
        <w:right w:val="none" w:sz="0" w:space="0" w:color="auto"/>
      </w:divBdr>
    </w:div>
    <w:div w:id="1137841753">
      <w:bodyDiv w:val="1"/>
      <w:marLeft w:val="0"/>
      <w:marRight w:val="0"/>
      <w:marTop w:val="0"/>
      <w:marBottom w:val="0"/>
      <w:divBdr>
        <w:top w:val="none" w:sz="0" w:space="0" w:color="auto"/>
        <w:left w:val="none" w:sz="0" w:space="0" w:color="auto"/>
        <w:bottom w:val="none" w:sz="0" w:space="0" w:color="auto"/>
        <w:right w:val="none" w:sz="0" w:space="0" w:color="auto"/>
      </w:divBdr>
    </w:div>
    <w:div w:id="1145925425">
      <w:bodyDiv w:val="1"/>
      <w:marLeft w:val="0"/>
      <w:marRight w:val="0"/>
      <w:marTop w:val="0"/>
      <w:marBottom w:val="0"/>
      <w:divBdr>
        <w:top w:val="none" w:sz="0" w:space="0" w:color="auto"/>
        <w:left w:val="none" w:sz="0" w:space="0" w:color="auto"/>
        <w:bottom w:val="none" w:sz="0" w:space="0" w:color="auto"/>
        <w:right w:val="none" w:sz="0" w:space="0" w:color="auto"/>
      </w:divBdr>
    </w:div>
    <w:div w:id="1154029676">
      <w:bodyDiv w:val="1"/>
      <w:marLeft w:val="0"/>
      <w:marRight w:val="0"/>
      <w:marTop w:val="0"/>
      <w:marBottom w:val="0"/>
      <w:divBdr>
        <w:top w:val="none" w:sz="0" w:space="0" w:color="auto"/>
        <w:left w:val="none" w:sz="0" w:space="0" w:color="auto"/>
        <w:bottom w:val="none" w:sz="0" w:space="0" w:color="auto"/>
        <w:right w:val="none" w:sz="0" w:space="0" w:color="auto"/>
      </w:divBdr>
    </w:div>
    <w:div w:id="1194074906">
      <w:bodyDiv w:val="1"/>
      <w:marLeft w:val="0"/>
      <w:marRight w:val="0"/>
      <w:marTop w:val="0"/>
      <w:marBottom w:val="0"/>
      <w:divBdr>
        <w:top w:val="none" w:sz="0" w:space="0" w:color="auto"/>
        <w:left w:val="none" w:sz="0" w:space="0" w:color="auto"/>
        <w:bottom w:val="none" w:sz="0" w:space="0" w:color="auto"/>
        <w:right w:val="none" w:sz="0" w:space="0" w:color="auto"/>
      </w:divBdr>
    </w:div>
    <w:div w:id="1262031817">
      <w:bodyDiv w:val="1"/>
      <w:marLeft w:val="0"/>
      <w:marRight w:val="0"/>
      <w:marTop w:val="0"/>
      <w:marBottom w:val="0"/>
      <w:divBdr>
        <w:top w:val="none" w:sz="0" w:space="0" w:color="auto"/>
        <w:left w:val="none" w:sz="0" w:space="0" w:color="auto"/>
        <w:bottom w:val="none" w:sz="0" w:space="0" w:color="auto"/>
        <w:right w:val="none" w:sz="0" w:space="0" w:color="auto"/>
      </w:divBdr>
    </w:div>
    <w:div w:id="1299650999">
      <w:bodyDiv w:val="1"/>
      <w:marLeft w:val="0"/>
      <w:marRight w:val="0"/>
      <w:marTop w:val="0"/>
      <w:marBottom w:val="0"/>
      <w:divBdr>
        <w:top w:val="none" w:sz="0" w:space="0" w:color="auto"/>
        <w:left w:val="none" w:sz="0" w:space="0" w:color="auto"/>
        <w:bottom w:val="none" w:sz="0" w:space="0" w:color="auto"/>
        <w:right w:val="none" w:sz="0" w:space="0" w:color="auto"/>
      </w:divBdr>
    </w:div>
    <w:div w:id="1332442699">
      <w:bodyDiv w:val="1"/>
      <w:marLeft w:val="0"/>
      <w:marRight w:val="0"/>
      <w:marTop w:val="0"/>
      <w:marBottom w:val="0"/>
      <w:divBdr>
        <w:top w:val="none" w:sz="0" w:space="0" w:color="auto"/>
        <w:left w:val="none" w:sz="0" w:space="0" w:color="auto"/>
        <w:bottom w:val="none" w:sz="0" w:space="0" w:color="auto"/>
        <w:right w:val="none" w:sz="0" w:space="0" w:color="auto"/>
      </w:divBdr>
    </w:div>
    <w:div w:id="1362433673">
      <w:bodyDiv w:val="1"/>
      <w:marLeft w:val="0"/>
      <w:marRight w:val="0"/>
      <w:marTop w:val="0"/>
      <w:marBottom w:val="0"/>
      <w:divBdr>
        <w:top w:val="none" w:sz="0" w:space="0" w:color="auto"/>
        <w:left w:val="none" w:sz="0" w:space="0" w:color="auto"/>
        <w:bottom w:val="none" w:sz="0" w:space="0" w:color="auto"/>
        <w:right w:val="none" w:sz="0" w:space="0" w:color="auto"/>
      </w:divBdr>
    </w:div>
    <w:div w:id="1369573113">
      <w:bodyDiv w:val="1"/>
      <w:marLeft w:val="0"/>
      <w:marRight w:val="0"/>
      <w:marTop w:val="0"/>
      <w:marBottom w:val="0"/>
      <w:divBdr>
        <w:top w:val="none" w:sz="0" w:space="0" w:color="auto"/>
        <w:left w:val="none" w:sz="0" w:space="0" w:color="auto"/>
        <w:bottom w:val="none" w:sz="0" w:space="0" w:color="auto"/>
        <w:right w:val="none" w:sz="0" w:space="0" w:color="auto"/>
      </w:divBdr>
    </w:div>
    <w:div w:id="1514765667">
      <w:bodyDiv w:val="1"/>
      <w:marLeft w:val="0"/>
      <w:marRight w:val="0"/>
      <w:marTop w:val="0"/>
      <w:marBottom w:val="0"/>
      <w:divBdr>
        <w:top w:val="none" w:sz="0" w:space="0" w:color="auto"/>
        <w:left w:val="none" w:sz="0" w:space="0" w:color="auto"/>
        <w:bottom w:val="none" w:sz="0" w:space="0" w:color="auto"/>
        <w:right w:val="none" w:sz="0" w:space="0" w:color="auto"/>
      </w:divBdr>
    </w:div>
    <w:div w:id="1527596982">
      <w:bodyDiv w:val="1"/>
      <w:marLeft w:val="0"/>
      <w:marRight w:val="0"/>
      <w:marTop w:val="0"/>
      <w:marBottom w:val="0"/>
      <w:divBdr>
        <w:top w:val="none" w:sz="0" w:space="0" w:color="auto"/>
        <w:left w:val="none" w:sz="0" w:space="0" w:color="auto"/>
        <w:bottom w:val="none" w:sz="0" w:space="0" w:color="auto"/>
        <w:right w:val="none" w:sz="0" w:space="0" w:color="auto"/>
      </w:divBdr>
    </w:div>
    <w:div w:id="1538201461">
      <w:bodyDiv w:val="1"/>
      <w:marLeft w:val="0"/>
      <w:marRight w:val="0"/>
      <w:marTop w:val="0"/>
      <w:marBottom w:val="0"/>
      <w:divBdr>
        <w:top w:val="none" w:sz="0" w:space="0" w:color="auto"/>
        <w:left w:val="none" w:sz="0" w:space="0" w:color="auto"/>
        <w:bottom w:val="none" w:sz="0" w:space="0" w:color="auto"/>
        <w:right w:val="none" w:sz="0" w:space="0" w:color="auto"/>
      </w:divBdr>
    </w:div>
    <w:div w:id="1587760903">
      <w:bodyDiv w:val="1"/>
      <w:marLeft w:val="0"/>
      <w:marRight w:val="0"/>
      <w:marTop w:val="0"/>
      <w:marBottom w:val="0"/>
      <w:divBdr>
        <w:top w:val="none" w:sz="0" w:space="0" w:color="auto"/>
        <w:left w:val="none" w:sz="0" w:space="0" w:color="auto"/>
        <w:bottom w:val="none" w:sz="0" w:space="0" w:color="auto"/>
        <w:right w:val="none" w:sz="0" w:space="0" w:color="auto"/>
      </w:divBdr>
    </w:div>
    <w:div w:id="1611275865">
      <w:bodyDiv w:val="1"/>
      <w:marLeft w:val="0"/>
      <w:marRight w:val="0"/>
      <w:marTop w:val="0"/>
      <w:marBottom w:val="0"/>
      <w:divBdr>
        <w:top w:val="none" w:sz="0" w:space="0" w:color="auto"/>
        <w:left w:val="none" w:sz="0" w:space="0" w:color="auto"/>
        <w:bottom w:val="none" w:sz="0" w:space="0" w:color="auto"/>
        <w:right w:val="none" w:sz="0" w:space="0" w:color="auto"/>
      </w:divBdr>
    </w:div>
    <w:div w:id="1633056647">
      <w:bodyDiv w:val="1"/>
      <w:marLeft w:val="0"/>
      <w:marRight w:val="0"/>
      <w:marTop w:val="0"/>
      <w:marBottom w:val="0"/>
      <w:divBdr>
        <w:top w:val="none" w:sz="0" w:space="0" w:color="auto"/>
        <w:left w:val="none" w:sz="0" w:space="0" w:color="auto"/>
        <w:bottom w:val="none" w:sz="0" w:space="0" w:color="auto"/>
        <w:right w:val="none" w:sz="0" w:space="0" w:color="auto"/>
      </w:divBdr>
    </w:div>
    <w:div w:id="1774401931">
      <w:bodyDiv w:val="1"/>
      <w:marLeft w:val="0"/>
      <w:marRight w:val="0"/>
      <w:marTop w:val="0"/>
      <w:marBottom w:val="0"/>
      <w:divBdr>
        <w:top w:val="none" w:sz="0" w:space="0" w:color="auto"/>
        <w:left w:val="none" w:sz="0" w:space="0" w:color="auto"/>
        <w:bottom w:val="none" w:sz="0" w:space="0" w:color="auto"/>
        <w:right w:val="none" w:sz="0" w:space="0" w:color="auto"/>
      </w:divBdr>
    </w:div>
    <w:div w:id="1891844003">
      <w:bodyDiv w:val="1"/>
      <w:marLeft w:val="0"/>
      <w:marRight w:val="0"/>
      <w:marTop w:val="0"/>
      <w:marBottom w:val="0"/>
      <w:divBdr>
        <w:top w:val="none" w:sz="0" w:space="0" w:color="auto"/>
        <w:left w:val="none" w:sz="0" w:space="0" w:color="auto"/>
        <w:bottom w:val="none" w:sz="0" w:space="0" w:color="auto"/>
        <w:right w:val="none" w:sz="0" w:space="0" w:color="auto"/>
      </w:divBdr>
    </w:div>
    <w:div w:id="2032297061">
      <w:bodyDiv w:val="1"/>
      <w:marLeft w:val="0"/>
      <w:marRight w:val="0"/>
      <w:marTop w:val="0"/>
      <w:marBottom w:val="0"/>
      <w:divBdr>
        <w:top w:val="none" w:sz="0" w:space="0" w:color="auto"/>
        <w:left w:val="none" w:sz="0" w:space="0" w:color="auto"/>
        <w:bottom w:val="none" w:sz="0" w:space="0" w:color="auto"/>
        <w:right w:val="none" w:sz="0" w:space="0" w:color="auto"/>
      </w:divBdr>
    </w:div>
    <w:div w:id="2069765688">
      <w:bodyDiv w:val="1"/>
      <w:marLeft w:val="0"/>
      <w:marRight w:val="0"/>
      <w:marTop w:val="0"/>
      <w:marBottom w:val="0"/>
      <w:divBdr>
        <w:top w:val="none" w:sz="0" w:space="0" w:color="auto"/>
        <w:left w:val="none" w:sz="0" w:space="0" w:color="auto"/>
        <w:bottom w:val="none" w:sz="0" w:space="0" w:color="auto"/>
        <w:right w:val="none" w:sz="0" w:space="0" w:color="auto"/>
      </w:divBdr>
    </w:div>
    <w:div w:id="208274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CDF1BD466E83E842902559549E0F08F2" ma:contentTypeVersion="5" ma:contentTypeDescription="Új dokumentum létrehozása." ma:contentTypeScope="" ma:versionID="4b44a68e156a5b79248640aeafc70798">
  <xsd:schema xmlns:xsd="http://www.w3.org/2001/XMLSchema" xmlns:xs="http://www.w3.org/2001/XMLSchema" xmlns:p="http://schemas.microsoft.com/office/2006/metadata/properties" xmlns:ns2="cb7eed14-1ed6-4f4f-9464-e9d73fc2f8e9" xmlns:ns3="9669010e-b829-4d86-87dd-cdce11b02043" targetNamespace="http://schemas.microsoft.com/office/2006/metadata/properties" ma:root="true" ma:fieldsID="bd0071a6f26b893e5271513f12c665f5" ns2:_="" ns3:_="">
    <xsd:import namespace="cb7eed14-1ed6-4f4f-9464-e9d73fc2f8e9"/>
    <xsd:import namespace="9669010e-b829-4d86-87dd-cdce11b02043"/>
    <xsd:element name="properties">
      <xsd:complexType>
        <xsd:sequence>
          <xsd:element name="documentManagement">
            <xsd:complexType>
              <xsd:all>
                <xsd:element ref="ns2:T_x00e9_ma" minOccurs="0"/>
                <xsd:element ref="ns2:_x00c9_v"/>
                <xsd:element ref="ns2:L_x00e1_that_x00f3_s_x00e1_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eed14-1ed6-4f4f-9464-e9d73fc2f8e9" elementFormDefault="qualified">
    <xsd:import namespace="http://schemas.microsoft.com/office/2006/documentManagement/types"/>
    <xsd:import namespace="http://schemas.microsoft.com/office/infopath/2007/PartnerControls"/>
    <xsd:element name="T_x00e9_ma" ma:index="2" nillable="true" ma:displayName="Téma" ma:format="Dropdown" ma:internalName="T_x00e9_ma">
      <xsd:simpleType>
        <xsd:restriction base="dms:Choice">
          <xsd:enumeration value="Tervezés"/>
          <xsd:enumeration value="Zárszámadás"/>
          <xsd:enumeration value="Törvénymódosítás"/>
          <xsd:enumeration value="ÁSZ ellenőrzés"/>
          <xsd:enumeration value="Gyorsjelentés"/>
          <xsd:enumeration value="Monitoring"/>
          <xsd:enumeration value="Tervezési tájékoztató"/>
          <xsd:enumeration value="Útmutató"/>
          <xsd:enumeration value="Munkaprogram"/>
          <xsd:enumeration value="Ütemterv"/>
          <xsd:enumeration value="Módosító"/>
          <xsd:enumeration value="Kormányülés"/>
          <xsd:enumeration value="Gazdasági kabinet"/>
          <xsd:enumeration value="Stratégiai kabinet"/>
          <xsd:enumeration value="IFMIS"/>
          <xsd:enumeration value="Fejezeten belüli átcsoportosítás"/>
          <xsd:enumeration value="Címlista"/>
          <xsd:enumeration value="BEÜ"/>
          <xsd:enumeration value="Koronavírus"/>
          <xsd:enumeration value="Tudásbázis"/>
          <xsd:enumeration value="Kiemelt fejlesztési igények"/>
          <xsd:enumeration value="Iktatás"/>
        </xsd:restriction>
      </xsd:simpleType>
    </xsd:element>
    <xsd:element name="_x00c9_v" ma:index="3" ma:displayName="Év" ma:default="2018" ma:format="Dropdown" ma:internalName="_x00c9_v">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restriction>
      </xsd:simpleType>
    </xsd:element>
    <xsd:element name="L_x00e1_that_x00f3_s_x00e1_g" ma:index="4" nillable="true" ma:displayName="Láthatóság" ma:default="Publikus" ma:format="Dropdown" ma:internalName="L_x00e1_that_x00f3_s_x00e1_g">
      <xsd:simpleType>
        <xsd:restriction base="dms:Choice">
          <xsd:enumeration value="Publikus"/>
          <xsd:enumeration value="Csak admin látja (verziókat tartalmaz)"/>
        </xsd:restriction>
      </xsd:simpleType>
    </xsd:element>
  </xsd:schema>
  <xsd:schema xmlns:xsd="http://www.w3.org/2001/XMLSchema" xmlns:xs="http://www.w3.org/2001/XMLSchema" xmlns:dms="http://schemas.microsoft.com/office/2006/documentManagement/types" xmlns:pc="http://schemas.microsoft.com/office/infopath/2007/PartnerControls" targetNamespace="9669010e-b829-4d86-87dd-cdce11b02043" elementFormDefault="qualified">
    <xsd:import namespace="http://schemas.microsoft.com/office/2006/documentManagement/types"/>
    <xsd:import namespace="http://schemas.microsoft.com/office/infopath/2007/PartnerControls"/>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0c9_v xmlns="cb7eed14-1ed6-4f4f-9464-e9d73fc2f8e9">2026</_x00c9_v>
    <T_x00e9_ma xmlns="cb7eed14-1ed6-4f4f-9464-e9d73fc2f8e9">Monitoring</T_x00e9_ma>
    <L_x00e1_that_x00f3_s_x00e1_g xmlns="cb7eed14-1ed6-4f4f-9464-e9d73fc2f8e9">Publikus</L_x00e1_that_x00f3_s_x00e1_g>
  </documentManagement>
</p:properties>
</file>

<file path=customXml/itemProps1.xml><?xml version="1.0" encoding="utf-8"?>
<ds:datastoreItem xmlns:ds="http://schemas.openxmlformats.org/officeDocument/2006/customXml" ds:itemID="{C60FF76C-AAD7-4E18-AD41-33AA7193945E}">
  <ds:schemaRefs>
    <ds:schemaRef ds:uri="http://schemas.openxmlformats.org/officeDocument/2006/bibliography"/>
  </ds:schemaRefs>
</ds:datastoreItem>
</file>

<file path=customXml/itemProps2.xml><?xml version="1.0" encoding="utf-8"?>
<ds:datastoreItem xmlns:ds="http://schemas.openxmlformats.org/officeDocument/2006/customXml" ds:itemID="{BDD0F6AD-19C0-4D6B-ABDF-2564A2CC5C1F}">
  <ds:schemaRefs>
    <ds:schemaRef ds:uri="http://schemas.microsoft.com/sharepoint/v3/contenttype/forms"/>
  </ds:schemaRefs>
</ds:datastoreItem>
</file>

<file path=customXml/itemProps3.xml><?xml version="1.0" encoding="utf-8"?>
<ds:datastoreItem xmlns:ds="http://schemas.openxmlformats.org/officeDocument/2006/customXml" ds:itemID="{1AAFD48C-7926-4BF1-87F7-A322FB81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eed14-1ed6-4f4f-9464-e9d73fc2f8e9"/>
    <ds:schemaRef ds:uri="9669010e-b829-4d86-87dd-cdce11b02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4C958D-48DC-4564-B24D-56E63215790F}">
  <ds:schemaRefs>
    <ds:schemaRef ds:uri="9669010e-b829-4d86-87dd-cdce11b02043"/>
    <ds:schemaRef ds:uri="http://www.w3.org/XML/1998/namespace"/>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cb7eed14-1ed6-4f4f-9464-e9d73fc2f8e9"/>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21</Pages>
  <Words>4619</Words>
  <Characters>31874</Characters>
  <Application>Microsoft Office Word</Application>
  <DocSecurity>0</DocSecurity>
  <Lines>265</Lines>
  <Paragraphs>72</Paragraphs>
  <ScaleCrop>false</ScaleCrop>
  <HeadingPairs>
    <vt:vector size="2" baseType="variant">
      <vt:variant>
        <vt:lpstr>Cím</vt:lpstr>
      </vt:variant>
      <vt:variant>
        <vt:i4>1</vt:i4>
      </vt:variant>
    </vt:vector>
  </HeadingPairs>
  <TitlesOfParts>
    <vt:vector size="1" baseType="lpstr">
      <vt:lpstr/>
    </vt:vector>
  </TitlesOfParts>
  <Company>NISZ Zrt.</Company>
  <LinksUpToDate>false</LinksUpToDate>
  <CharactersWithSpaces>36421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27</cp:revision>
  <cp:lastPrinted>2026-04-16T12:14:00Z</cp:lastPrinted>
  <dcterms:created xsi:type="dcterms:W3CDTF">2026-04-14T07:39:00Z</dcterms:created>
  <dcterms:modified xsi:type="dcterms:W3CDTF">2026-04-21T07:50:00Z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0x010100CDF1BD466E83E842902559549E0F08F2</vt:lpwstr>
  </property>
</Properties>
</file>