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977FA" w14:textId="77777777" w:rsidR="00A94EFE" w:rsidRPr="00377D59" w:rsidRDefault="5E04AD7D" w:rsidP="5E04AD7D">
      <w:pPr>
        <w:tabs>
          <w:tab w:val="center" w:pos="4536"/>
        </w:tabs>
        <w:bidi/>
        <w:spacing w:after="120" w:line="240" w:lineRule="auto"/>
        <w:ind w:left="-142" w:right="-1" w:firstLine="142"/>
        <w:rPr>
          <w:rFonts w:ascii="Times New Roman" w:eastAsia="Times New Roman" w:hAnsi="Times New Roman" w:cs="Times New Roman"/>
          <w:b/>
          <w:bCs/>
          <w:smallCaps/>
          <w:sz w:val="32"/>
          <w:szCs w:val="32"/>
          <w:lang w:eastAsia="hu-HU"/>
        </w:rPr>
      </w:pPr>
      <w:r w:rsidRPr="5E04AD7D">
        <w:rPr>
          <w:rFonts w:ascii="Times New Roman" w:eastAsia="Times New Roman" w:hAnsi="Times New Roman" w:cs="Times New Roman"/>
          <w:b/>
          <w:bCs/>
          <w:smallCaps/>
          <w:sz w:val="32"/>
          <w:szCs w:val="32"/>
          <w:lang w:eastAsia="hu-HU"/>
        </w:rPr>
        <w:t>Nemzetgazdasági Minisztérium</w:t>
      </w:r>
    </w:p>
    <w:p w14:paraId="36F33C9C" w14:textId="77777777" w:rsidR="001E689B" w:rsidRPr="00377D59" w:rsidRDefault="001E689B" w:rsidP="00B155FE">
      <w:pPr>
        <w:keepNext/>
        <w:widowControl w:val="0"/>
        <w:spacing w:after="120" w:line="240" w:lineRule="auto"/>
        <w:jc w:val="center"/>
        <w:rPr>
          <w:rFonts w:ascii="Times New Roman" w:eastAsia="Times New Roman" w:hAnsi="Times New Roman" w:cs="Times New Roman"/>
          <w:caps/>
          <w:spacing w:val="60"/>
          <w:sz w:val="32"/>
          <w:szCs w:val="20"/>
          <w:lang w:eastAsia="hu-HU"/>
        </w:rPr>
      </w:pPr>
    </w:p>
    <w:p w14:paraId="7B7689E5" w14:textId="77777777" w:rsidR="00B155FE" w:rsidRPr="00377D59" w:rsidRDefault="00B155FE" w:rsidP="00B155FE">
      <w:pPr>
        <w:keepNext/>
        <w:widowControl w:val="0"/>
        <w:spacing w:after="120" w:line="240" w:lineRule="auto"/>
        <w:jc w:val="center"/>
        <w:rPr>
          <w:rFonts w:ascii="Times New Roman" w:eastAsia="Times New Roman" w:hAnsi="Times New Roman" w:cs="Times New Roman"/>
          <w:caps/>
          <w:spacing w:val="60"/>
          <w:sz w:val="32"/>
          <w:szCs w:val="20"/>
          <w:lang w:eastAsia="hu-HU"/>
        </w:rPr>
      </w:pPr>
    </w:p>
    <w:p w14:paraId="7B7689E6" w14:textId="77777777" w:rsidR="00B155FE" w:rsidRPr="00377D59" w:rsidRDefault="00B155FE" w:rsidP="00B155FE">
      <w:pPr>
        <w:keepNext/>
        <w:widowControl w:val="0"/>
        <w:spacing w:after="120" w:line="240" w:lineRule="auto"/>
        <w:jc w:val="center"/>
        <w:rPr>
          <w:rFonts w:ascii="Times New Roman" w:eastAsia="Times New Roman" w:hAnsi="Times New Roman" w:cs="Times New Roman"/>
          <w:caps/>
          <w:spacing w:val="60"/>
          <w:sz w:val="32"/>
          <w:szCs w:val="20"/>
          <w:lang w:eastAsia="hu-HU"/>
        </w:rPr>
      </w:pPr>
    </w:p>
    <w:p w14:paraId="7B7689E7" w14:textId="77777777" w:rsidR="00B155FE" w:rsidRPr="00377D59" w:rsidRDefault="00B155FE" w:rsidP="00B155FE">
      <w:pPr>
        <w:keepNext/>
        <w:widowControl w:val="0"/>
        <w:spacing w:after="120" w:line="240" w:lineRule="auto"/>
        <w:jc w:val="center"/>
        <w:rPr>
          <w:rFonts w:ascii="Times New Roman" w:eastAsia="Times New Roman" w:hAnsi="Times New Roman" w:cs="Times New Roman"/>
          <w:caps/>
          <w:spacing w:val="60"/>
          <w:sz w:val="32"/>
          <w:szCs w:val="20"/>
          <w:lang w:eastAsia="hu-HU"/>
        </w:rPr>
      </w:pPr>
    </w:p>
    <w:p w14:paraId="7B7689E8" w14:textId="77777777" w:rsidR="00B155FE" w:rsidRPr="00377D59" w:rsidRDefault="00B155FE" w:rsidP="00B155FE">
      <w:pPr>
        <w:keepNext/>
        <w:widowControl w:val="0"/>
        <w:spacing w:after="120" w:line="240" w:lineRule="auto"/>
        <w:jc w:val="center"/>
        <w:rPr>
          <w:rFonts w:ascii="Times New Roman" w:eastAsia="Times New Roman" w:hAnsi="Times New Roman" w:cs="Times New Roman"/>
          <w:caps/>
          <w:spacing w:val="60"/>
          <w:sz w:val="32"/>
          <w:szCs w:val="20"/>
          <w:lang w:eastAsia="hu-HU"/>
        </w:rPr>
      </w:pPr>
    </w:p>
    <w:p w14:paraId="7B7689E9" w14:textId="77777777" w:rsidR="00B155FE" w:rsidRPr="00377D59" w:rsidRDefault="00B155FE" w:rsidP="00B155FE">
      <w:pPr>
        <w:keepNext/>
        <w:widowControl w:val="0"/>
        <w:spacing w:after="120" w:line="240" w:lineRule="auto"/>
        <w:jc w:val="center"/>
        <w:rPr>
          <w:rFonts w:ascii="Times New Roman" w:eastAsia="Times New Roman" w:hAnsi="Times New Roman" w:cs="Times New Roman"/>
          <w:caps/>
          <w:spacing w:val="60"/>
          <w:sz w:val="26"/>
          <w:szCs w:val="26"/>
          <w:lang w:eastAsia="hu-HU"/>
        </w:rPr>
      </w:pPr>
    </w:p>
    <w:p w14:paraId="7B7689EB" w14:textId="74BA5630" w:rsidR="00B155FE" w:rsidRDefault="00B155FE" w:rsidP="000A4839">
      <w:pPr>
        <w:keepNext/>
        <w:widowControl w:val="0"/>
        <w:tabs>
          <w:tab w:val="left" w:pos="1995"/>
        </w:tabs>
        <w:spacing w:after="120" w:line="240" w:lineRule="auto"/>
        <w:jc w:val="center"/>
        <w:rPr>
          <w:rFonts w:ascii="Times New Roman" w:eastAsia="Times New Roman" w:hAnsi="Times New Roman" w:cs="Times New Roman"/>
          <w:caps/>
          <w:spacing w:val="60"/>
          <w:sz w:val="32"/>
          <w:szCs w:val="20"/>
          <w:lang w:eastAsia="hu-HU"/>
        </w:rPr>
      </w:pPr>
    </w:p>
    <w:p w14:paraId="4EE6826E" w14:textId="77777777" w:rsidR="000A4839" w:rsidRPr="00377D59" w:rsidRDefault="000A4839" w:rsidP="000A4839">
      <w:pPr>
        <w:keepNext/>
        <w:widowControl w:val="0"/>
        <w:tabs>
          <w:tab w:val="left" w:pos="1995"/>
        </w:tabs>
        <w:spacing w:after="120" w:line="240" w:lineRule="auto"/>
        <w:jc w:val="center"/>
        <w:rPr>
          <w:rFonts w:ascii="Times New Roman" w:eastAsia="Times New Roman" w:hAnsi="Times New Roman" w:cs="Times New Roman"/>
          <w:caps/>
          <w:spacing w:val="60"/>
          <w:sz w:val="32"/>
          <w:szCs w:val="20"/>
          <w:lang w:eastAsia="hu-HU"/>
        </w:rPr>
      </w:pPr>
    </w:p>
    <w:p w14:paraId="7B7689EC" w14:textId="77777777" w:rsidR="00B155FE" w:rsidRPr="00377D59" w:rsidRDefault="00B155FE" w:rsidP="00B155FE">
      <w:pPr>
        <w:keepNext/>
        <w:widowControl w:val="0"/>
        <w:spacing w:after="120" w:line="240" w:lineRule="auto"/>
        <w:jc w:val="center"/>
        <w:rPr>
          <w:rFonts w:ascii="Times New Roman" w:eastAsia="Times New Roman" w:hAnsi="Times New Roman" w:cs="Times New Roman"/>
          <w:caps/>
          <w:spacing w:val="60"/>
          <w:sz w:val="32"/>
          <w:szCs w:val="20"/>
          <w:lang w:eastAsia="hu-HU"/>
        </w:rPr>
      </w:pPr>
    </w:p>
    <w:p w14:paraId="7B7689ED" w14:textId="77777777" w:rsidR="00B155FE" w:rsidRPr="00377D59" w:rsidRDefault="00B155FE" w:rsidP="00B155FE">
      <w:pPr>
        <w:keepNext/>
        <w:widowControl w:val="0"/>
        <w:spacing w:after="120" w:line="240" w:lineRule="auto"/>
        <w:jc w:val="center"/>
        <w:rPr>
          <w:rFonts w:ascii="Times New Roman" w:eastAsia="Times New Roman" w:hAnsi="Times New Roman" w:cs="Times New Roman"/>
          <w:caps/>
          <w:spacing w:val="60"/>
          <w:sz w:val="32"/>
          <w:szCs w:val="20"/>
          <w:lang w:eastAsia="hu-HU"/>
        </w:rPr>
      </w:pPr>
    </w:p>
    <w:p w14:paraId="7B7689EE" w14:textId="77777777" w:rsidR="00B155FE" w:rsidRPr="00377D59" w:rsidRDefault="00B155FE" w:rsidP="00B155FE">
      <w:pPr>
        <w:keepNext/>
        <w:widowControl w:val="0"/>
        <w:spacing w:after="120" w:line="240" w:lineRule="auto"/>
        <w:jc w:val="center"/>
        <w:rPr>
          <w:rFonts w:ascii="Times New Roman" w:eastAsia="Times New Roman" w:hAnsi="Times New Roman" w:cs="Times New Roman"/>
          <w:caps/>
          <w:spacing w:val="60"/>
          <w:sz w:val="32"/>
          <w:szCs w:val="20"/>
          <w:lang w:eastAsia="hu-HU"/>
        </w:rPr>
      </w:pPr>
    </w:p>
    <w:p w14:paraId="7B7689EF" w14:textId="77777777" w:rsidR="00B155FE" w:rsidRPr="00377D59" w:rsidRDefault="00B155FE" w:rsidP="5E04AD7D">
      <w:pPr>
        <w:keepNext/>
        <w:widowControl w:val="0"/>
        <w:spacing w:after="120" w:line="240" w:lineRule="auto"/>
        <w:jc w:val="center"/>
        <w:rPr>
          <w:rFonts w:ascii="Times New Roman" w:eastAsia="Times New Roman" w:hAnsi="Times New Roman" w:cs="Times New Roman"/>
          <w:b/>
          <w:bCs/>
          <w:caps/>
          <w:sz w:val="32"/>
          <w:szCs w:val="32"/>
          <w:lang w:eastAsia="hu-HU"/>
        </w:rPr>
      </w:pPr>
      <w:r w:rsidRPr="00377D59">
        <w:rPr>
          <w:rFonts w:ascii="Times New Roman" w:eastAsia="Times New Roman" w:hAnsi="Times New Roman" w:cs="Times New Roman"/>
          <w:b/>
          <w:bCs/>
          <w:caps/>
          <w:spacing w:val="60"/>
          <w:sz w:val="32"/>
          <w:szCs w:val="32"/>
          <w:lang w:eastAsia="hu-HU"/>
        </w:rPr>
        <w:t>Tájékoztató</w:t>
      </w:r>
    </w:p>
    <w:p w14:paraId="5AE02B14" w14:textId="445739BD" w:rsidR="00B94CCA" w:rsidRPr="00377D59" w:rsidRDefault="5E04AD7D" w:rsidP="5E04AD7D">
      <w:pPr>
        <w:keepNext/>
        <w:tabs>
          <w:tab w:val="left" w:pos="2694"/>
        </w:tabs>
        <w:spacing w:after="120" w:line="240" w:lineRule="auto"/>
        <w:ind w:right="-1"/>
        <w:jc w:val="center"/>
        <w:outlineLvl w:val="1"/>
        <w:rPr>
          <w:rFonts w:ascii="Times New Roman" w:eastAsia="Times New Roman" w:hAnsi="Times New Roman" w:cs="Times New Roman"/>
          <w:b/>
          <w:bCs/>
          <w:i/>
          <w:iCs/>
          <w:sz w:val="26"/>
          <w:szCs w:val="26"/>
          <w:lang w:eastAsia="hu-HU"/>
        </w:rPr>
      </w:pPr>
      <w:r w:rsidRPr="5E04AD7D">
        <w:rPr>
          <w:rFonts w:ascii="Times New Roman" w:eastAsia="Times New Roman" w:hAnsi="Times New Roman" w:cs="Times New Roman"/>
          <w:b/>
          <w:bCs/>
          <w:i/>
          <w:iCs/>
          <w:sz w:val="26"/>
          <w:szCs w:val="26"/>
          <w:lang w:eastAsia="hu-HU"/>
        </w:rPr>
        <w:t>az államháztartás központi alrendszerének</w:t>
      </w:r>
      <w:r w:rsidR="1FABBDF6">
        <w:br/>
      </w:r>
      <w:r w:rsidRPr="5E04AD7D">
        <w:rPr>
          <w:rFonts w:ascii="Times New Roman" w:eastAsia="Times New Roman" w:hAnsi="Times New Roman" w:cs="Times New Roman"/>
          <w:b/>
          <w:bCs/>
          <w:i/>
          <w:iCs/>
          <w:sz w:val="26"/>
          <w:szCs w:val="26"/>
          <w:lang w:eastAsia="hu-HU"/>
        </w:rPr>
        <w:t>2026. március végi helyzetéről</w:t>
      </w:r>
    </w:p>
    <w:p w14:paraId="7B7689F2" w14:textId="2D4563EC" w:rsidR="00B155FE" w:rsidRPr="00377D59" w:rsidRDefault="00B155FE" w:rsidP="3F8285E0">
      <w:pPr>
        <w:tabs>
          <w:tab w:val="left" w:pos="2694"/>
        </w:tabs>
        <w:spacing w:after="120" w:line="240" w:lineRule="auto"/>
        <w:jc w:val="both"/>
        <w:rPr>
          <w:rFonts w:ascii="Times New Roman" w:eastAsia="Times New Roman" w:hAnsi="Times New Roman" w:cs="Times New Roman"/>
          <w:sz w:val="26"/>
          <w:szCs w:val="26"/>
          <w:lang w:eastAsia="hu-HU"/>
        </w:rPr>
      </w:pPr>
    </w:p>
    <w:p w14:paraId="4A2F8C9F" w14:textId="77777777" w:rsidR="001E689B" w:rsidRPr="00377D59" w:rsidRDefault="001E689B" w:rsidP="3F8285E0">
      <w:pPr>
        <w:tabs>
          <w:tab w:val="left" w:pos="2694"/>
        </w:tabs>
        <w:spacing w:after="120" w:line="240" w:lineRule="auto"/>
        <w:jc w:val="both"/>
        <w:rPr>
          <w:rFonts w:ascii="Times New Roman" w:eastAsia="Times New Roman" w:hAnsi="Times New Roman" w:cs="Times New Roman"/>
          <w:sz w:val="26"/>
          <w:szCs w:val="26"/>
          <w:lang w:eastAsia="hu-HU"/>
        </w:rPr>
      </w:pPr>
    </w:p>
    <w:p w14:paraId="1D327E5D" w14:textId="77777777" w:rsidR="001E689B" w:rsidRPr="00377D59" w:rsidRDefault="001E689B" w:rsidP="3F8285E0">
      <w:pPr>
        <w:tabs>
          <w:tab w:val="left" w:pos="2694"/>
        </w:tabs>
        <w:spacing w:after="120" w:line="240" w:lineRule="auto"/>
        <w:jc w:val="both"/>
        <w:rPr>
          <w:rFonts w:ascii="Times New Roman" w:eastAsia="Times New Roman" w:hAnsi="Times New Roman" w:cs="Times New Roman"/>
          <w:sz w:val="26"/>
          <w:szCs w:val="26"/>
          <w:lang w:eastAsia="hu-HU"/>
        </w:rPr>
      </w:pPr>
    </w:p>
    <w:p w14:paraId="35267E04" w14:textId="77777777" w:rsidR="001E689B" w:rsidRPr="00377D59" w:rsidRDefault="001E689B" w:rsidP="3F8285E0">
      <w:pPr>
        <w:tabs>
          <w:tab w:val="left" w:pos="2694"/>
        </w:tabs>
        <w:spacing w:after="120" w:line="240" w:lineRule="auto"/>
        <w:jc w:val="both"/>
        <w:rPr>
          <w:rFonts w:ascii="Times New Roman" w:eastAsia="Times New Roman" w:hAnsi="Times New Roman" w:cs="Times New Roman"/>
          <w:sz w:val="26"/>
          <w:szCs w:val="26"/>
          <w:lang w:eastAsia="hu-HU"/>
        </w:rPr>
      </w:pPr>
    </w:p>
    <w:p w14:paraId="20BD3D31" w14:textId="77777777" w:rsidR="001E689B" w:rsidRPr="00377D59" w:rsidRDefault="001E689B" w:rsidP="3F8285E0">
      <w:pPr>
        <w:tabs>
          <w:tab w:val="left" w:pos="2694"/>
        </w:tabs>
        <w:spacing w:after="120" w:line="240" w:lineRule="auto"/>
        <w:jc w:val="both"/>
        <w:rPr>
          <w:rFonts w:ascii="Times New Roman" w:eastAsia="Times New Roman" w:hAnsi="Times New Roman" w:cs="Times New Roman"/>
          <w:sz w:val="26"/>
          <w:szCs w:val="26"/>
          <w:lang w:eastAsia="hu-HU"/>
        </w:rPr>
      </w:pPr>
    </w:p>
    <w:p w14:paraId="16E13D32" w14:textId="77777777" w:rsidR="001E689B" w:rsidRPr="00377D59" w:rsidRDefault="001E689B" w:rsidP="3F8285E0">
      <w:pPr>
        <w:tabs>
          <w:tab w:val="left" w:pos="2694"/>
        </w:tabs>
        <w:spacing w:after="120" w:line="240" w:lineRule="auto"/>
        <w:jc w:val="both"/>
        <w:rPr>
          <w:rFonts w:ascii="Times New Roman" w:eastAsia="Times New Roman" w:hAnsi="Times New Roman" w:cs="Times New Roman"/>
          <w:sz w:val="26"/>
          <w:szCs w:val="26"/>
          <w:lang w:eastAsia="hu-HU"/>
        </w:rPr>
      </w:pPr>
    </w:p>
    <w:p w14:paraId="59F56A13" w14:textId="77777777" w:rsidR="001E689B" w:rsidRPr="00377D59" w:rsidRDefault="001E689B" w:rsidP="3F8285E0">
      <w:pPr>
        <w:tabs>
          <w:tab w:val="left" w:pos="2694"/>
        </w:tabs>
        <w:spacing w:after="120" w:line="240" w:lineRule="auto"/>
        <w:jc w:val="both"/>
        <w:rPr>
          <w:rFonts w:ascii="Times New Roman" w:eastAsia="Times New Roman" w:hAnsi="Times New Roman" w:cs="Times New Roman"/>
          <w:sz w:val="26"/>
          <w:szCs w:val="26"/>
          <w:lang w:eastAsia="hu-HU"/>
        </w:rPr>
      </w:pPr>
    </w:p>
    <w:p w14:paraId="7B7689F4" w14:textId="77777777" w:rsidR="00B155FE" w:rsidRPr="00377D59" w:rsidRDefault="00B155FE" w:rsidP="00B155FE">
      <w:pPr>
        <w:tabs>
          <w:tab w:val="left" w:pos="2694"/>
        </w:tabs>
        <w:spacing w:after="120" w:line="240" w:lineRule="auto"/>
        <w:jc w:val="both"/>
        <w:rPr>
          <w:rFonts w:ascii="Times New Roman" w:eastAsia="Times New Roman" w:hAnsi="Times New Roman" w:cs="Times New Roman"/>
          <w:sz w:val="26"/>
          <w:szCs w:val="20"/>
          <w:lang w:eastAsia="hu-HU"/>
        </w:rPr>
      </w:pPr>
    </w:p>
    <w:p w14:paraId="7B7689F6" w14:textId="77777777" w:rsidR="00B155FE" w:rsidRPr="00377D59" w:rsidRDefault="00B155FE" w:rsidP="00B155FE">
      <w:pPr>
        <w:tabs>
          <w:tab w:val="left" w:pos="2694"/>
        </w:tabs>
        <w:spacing w:after="120" w:line="240" w:lineRule="auto"/>
        <w:jc w:val="both"/>
        <w:rPr>
          <w:rFonts w:ascii="Times New Roman" w:eastAsia="Times New Roman" w:hAnsi="Times New Roman" w:cs="Times New Roman"/>
          <w:sz w:val="26"/>
          <w:szCs w:val="20"/>
          <w:lang w:eastAsia="hu-HU"/>
        </w:rPr>
      </w:pPr>
    </w:p>
    <w:p w14:paraId="7B7689F7" w14:textId="77777777" w:rsidR="00B155FE" w:rsidRPr="00377D59" w:rsidRDefault="00B155FE" w:rsidP="00B155FE">
      <w:pPr>
        <w:spacing w:after="120" w:line="240" w:lineRule="auto"/>
        <w:jc w:val="both"/>
        <w:rPr>
          <w:rFonts w:ascii="Times New Roman" w:eastAsia="Times New Roman" w:hAnsi="Times New Roman" w:cs="Times New Roman"/>
          <w:sz w:val="26"/>
          <w:szCs w:val="20"/>
          <w:lang w:eastAsia="hu-HU"/>
        </w:rPr>
      </w:pPr>
    </w:p>
    <w:p w14:paraId="7B7689F8" w14:textId="7C3BEFF0" w:rsidR="00B155FE" w:rsidRPr="00377D59" w:rsidRDefault="00B155FE" w:rsidP="00EA1F58">
      <w:pPr>
        <w:tabs>
          <w:tab w:val="left" w:pos="5685"/>
        </w:tabs>
        <w:spacing w:after="120" w:line="240" w:lineRule="auto"/>
        <w:jc w:val="both"/>
        <w:rPr>
          <w:rFonts w:ascii="Times New Roman" w:eastAsia="Times New Roman" w:hAnsi="Times New Roman" w:cs="Times New Roman"/>
          <w:sz w:val="26"/>
          <w:szCs w:val="20"/>
          <w:lang w:eastAsia="hu-HU"/>
        </w:rPr>
      </w:pPr>
    </w:p>
    <w:p w14:paraId="7B7689F9" w14:textId="77777777" w:rsidR="00B155FE" w:rsidRPr="00377D59" w:rsidRDefault="00B155FE" w:rsidP="00B155FE">
      <w:pPr>
        <w:spacing w:after="120" w:line="240" w:lineRule="auto"/>
        <w:jc w:val="both"/>
        <w:rPr>
          <w:rFonts w:ascii="Times New Roman" w:eastAsia="Times New Roman" w:hAnsi="Times New Roman" w:cs="Times New Roman"/>
          <w:sz w:val="26"/>
          <w:szCs w:val="20"/>
          <w:lang w:eastAsia="hu-HU"/>
        </w:rPr>
      </w:pPr>
    </w:p>
    <w:p w14:paraId="7B7689FA" w14:textId="77777777" w:rsidR="00B155FE" w:rsidRPr="00377D59" w:rsidRDefault="00B155FE" w:rsidP="00B155FE">
      <w:pPr>
        <w:spacing w:after="120" w:line="240" w:lineRule="auto"/>
        <w:jc w:val="both"/>
        <w:rPr>
          <w:rFonts w:ascii="Times New Roman" w:eastAsia="Times New Roman" w:hAnsi="Times New Roman" w:cs="Times New Roman"/>
          <w:sz w:val="26"/>
          <w:szCs w:val="20"/>
          <w:lang w:eastAsia="hu-HU"/>
        </w:rPr>
      </w:pPr>
    </w:p>
    <w:p w14:paraId="7B7689FB" w14:textId="77777777" w:rsidR="00B155FE" w:rsidRPr="00377D59" w:rsidRDefault="00B155FE" w:rsidP="00B155FE">
      <w:pPr>
        <w:spacing w:after="120" w:line="240" w:lineRule="auto"/>
        <w:jc w:val="both"/>
        <w:rPr>
          <w:rFonts w:ascii="Times New Roman" w:eastAsia="Times New Roman" w:hAnsi="Times New Roman" w:cs="Times New Roman"/>
          <w:sz w:val="26"/>
          <w:szCs w:val="20"/>
          <w:lang w:eastAsia="hu-HU"/>
        </w:rPr>
      </w:pPr>
    </w:p>
    <w:p w14:paraId="1CF999E6" w14:textId="47BF0C4A" w:rsidR="00E97147" w:rsidRPr="00377D59" w:rsidRDefault="00B155FE" w:rsidP="5E04AD7D">
      <w:pPr>
        <w:tabs>
          <w:tab w:val="left" w:pos="2694"/>
        </w:tabs>
        <w:spacing w:after="120" w:line="240" w:lineRule="auto"/>
        <w:jc w:val="center"/>
        <w:rPr>
          <w:rFonts w:ascii="Times New Roman" w:eastAsia="Times New Roman" w:hAnsi="Times New Roman" w:cs="Times New Roman"/>
          <w:b/>
          <w:bCs/>
          <w:lang w:eastAsia="hu-HU"/>
        </w:rPr>
        <w:sectPr w:rsidR="00E97147" w:rsidRPr="00377D59" w:rsidSect="007449BF">
          <w:headerReference w:type="default" r:id="rId11"/>
          <w:footerReference w:type="default" r:id="rId12"/>
          <w:footerReference w:type="first" r:id="rId13"/>
          <w:footnotePr>
            <w:numRestart w:val="eachPage"/>
          </w:footnotePr>
          <w:pgSz w:w="11907" w:h="16840" w:code="9"/>
          <w:pgMar w:top="1134" w:right="1134" w:bottom="1418" w:left="1418" w:header="709" w:footer="709" w:gutter="0"/>
          <w:pgNumType w:fmt="numberInDash" w:start="0"/>
          <w:cols w:space="708"/>
          <w:docGrid w:linePitch="354"/>
        </w:sectPr>
      </w:pPr>
      <w:r w:rsidRPr="00377D59">
        <w:rPr>
          <w:rFonts w:ascii="Times New Roman" w:eastAsia="Times New Roman" w:hAnsi="Times New Roman" w:cs="Times New Roman"/>
          <w:b/>
          <w:bCs/>
          <w:noProof/>
          <w:lang w:eastAsia="hu-HU"/>
        </w:rPr>
        <mc:AlternateContent>
          <mc:Choice Requires="wps">
            <w:drawing>
              <wp:anchor distT="0" distB="0" distL="114300" distR="114300" simplePos="0" relativeHeight="251658240" behindDoc="0" locked="0" layoutInCell="1" allowOverlap="1" wp14:anchorId="7B768C6C" wp14:editId="7B768C6D">
                <wp:simplePos x="0" y="0"/>
                <wp:positionH relativeFrom="column">
                  <wp:posOffset>2336732</wp:posOffset>
                </wp:positionH>
                <wp:positionV relativeFrom="paragraph">
                  <wp:posOffset>980217</wp:posOffset>
                </wp:positionV>
                <wp:extent cx="971550" cy="393065"/>
                <wp:effectExtent l="0" t="0" r="0" b="698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393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0D87395B">
              <v:rect id="Rectangle 2" style="position:absolute;margin-left:184pt;margin-top:77.2pt;width:76.5pt;height:3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7986F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"/>
            </w:pict>
          </mc:Fallback>
        </mc:AlternateContent>
      </w:r>
      <w:r w:rsidRPr="00377D59">
        <w:rPr>
          <w:rFonts w:ascii="Times New Roman" w:eastAsia="Times New Roman" w:hAnsi="Times New Roman" w:cs="Times New Roman"/>
          <w:b/>
          <w:bCs/>
          <w:lang w:eastAsia="hu-HU"/>
        </w:rPr>
        <w:t>202</w:t>
      </w:r>
      <w:r w:rsidR="00300C27">
        <w:rPr>
          <w:rFonts w:ascii="Times New Roman" w:eastAsia="Times New Roman" w:hAnsi="Times New Roman" w:cs="Times New Roman"/>
          <w:b/>
          <w:bCs/>
          <w:lang w:eastAsia="hu-HU"/>
        </w:rPr>
        <w:t>6</w:t>
      </w:r>
      <w:r w:rsidRPr="00377D59">
        <w:rPr>
          <w:rFonts w:ascii="Times New Roman" w:eastAsia="Times New Roman" w:hAnsi="Times New Roman" w:cs="Times New Roman"/>
          <w:b/>
          <w:bCs/>
          <w:lang w:eastAsia="hu-HU"/>
        </w:rPr>
        <w:t xml:space="preserve">. </w:t>
      </w:r>
      <w:r w:rsidR="006244D6">
        <w:rPr>
          <w:rFonts w:ascii="Times New Roman" w:eastAsia="Times New Roman" w:hAnsi="Times New Roman" w:cs="Times New Roman"/>
          <w:b/>
          <w:bCs/>
          <w:lang w:eastAsia="hu-HU"/>
        </w:rPr>
        <w:t>április</w:t>
      </w:r>
    </w:p>
    <w:p w14:paraId="4DDEC5C1" w14:textId="77777777" w:rsidR="00B624F6" w:rsidRDefault="00B624F6" w:rsidP="5E04AD7D">
      <w:pPr>
        <w:keepNext/>
        <w:spacing w:before="240" w:after="120" w:line="360" w:lineRule="auto"/>
        <w:ind w:left="425" w:hanging="425"/>
        <w:jc w:val="center"/>
        <w:outlineLvl w:val="3"/>
        <w:rPr>
          <w:rFonts w:ascii="Times New Roman" w:eastAsia="Times New Roman" w:hAnsi="Times New Roman" w:cs="Times New Roman"/>
          <w:b/>
          <w:bCs/>
          <w:caps/>
          <w:color w:val="000000" w:themeColor="text1"/>
          <w:sz w:val="26"/>
          <w:szCs w:val="26"/>
          <w:lang w:eastAsia="hu-HU"/>
        </w:rPr>
      </w:pPr>
    </w:p>
    <w:p w14:paraId="7B7689FF" w14:textId="62220320" w:rsidR="00B155FE" w:rsidRPr="00377D59" w:rsidRDefault="5E04AD7D" w:rsidP="5E04AD7D">
      <w:pPr>
        <w:keepNext/>
        <w:spacing w:before="240" w:after="120" w:line="360" w:lineRule="auto"/>
        <w:ind w:left="425" w:hanging="425"/>
        <w:jc w:val="center"/>
        <w:outlineLvl w:val="3"/>
        <w:rPr>
          <w:rFonts w:ascii="Times New Roman" w:eastAsia="Times New Roman" w:hAnsi="Times New Roman" w:cs="Times New Roman"/>
          <w:b/>
          <w:bCs/>
          <w:caps/>
          <w:color w:val="000000" w:themeColor="text1"/>
          <w:sz w:val="26"/>
          <w:szCs w:val="26"/>
          <w:lang w:eastAsia="hu-HU"/>
        </w:rPr>
      </w:pPr>
      <w:r w:rsidRPr="5E04AD7D">
        <w:rPr>
          <w:rFonts w:ascii="Times New Roman" w:eastAsia="Times New Roman" w:hAnsi="Times New Roman" w:cs="Times New Roman"/>
          <w:b/>
          <w:bCs/>
          <w:caps/>
          <w:color w:val="000000" w:themeColor="text1"/>
          <w:sz w:val="26"/>
          <w:szCs w:val="26"/>
          <w:lang w:eastAsia="hu-HU"/>
        </w:rPr>
        <w:t>Összefoglalás</w:t>
      </w:r>
    </w:p>
    <w:p w14:paraId="44BEABC0" w14:textId="77777777" w:rsidR="00B624F6" w:rsidRDefault="00B624F6" w:rsidP="00B03727">
      <w:pPr>
        <w:jc w:val="both"/>
        <w:rPr>
          <w:rFonts w:ascii="Times New Roman" w:eastAsia="Times New Roman" w:hAnsi="Times New Roman" w:cs="Times New Roman"/>
          <w:color w:val="000000" w:themeColor="text1"/>
          <w:sz w:val="25"/>
          <w:szCs w:val="25"/>
          <w:lang w:eastAsia="hu-HU"/>
        </w:rPr>
      </w:pPr>
    </w:p>
    <w:p w14:paraId="675E58F9" w14:textId="4B1C7A47" w:rsidR="00B03727" w:rsidRPr="00B03727" w:rsidRDefault="00B03727" w:rsidP="00B03727">
      <w:pPr>
        <w:jc w:val="both"/>
        <w:rPr>
          <w:rFonts w:ascii="Times New Roman" w:eastAsia="Times New Roman" w:hAnsi="Times New Roman" w:cs="Times New Roman"/>
          <w:color w:val="000000" w:themeColor="text1"/>
          <w:sz w:val="25"/>
          <w:szCs w:val="25"/>
          <w:lang w:eastAsia="hu-HU"/>
        </w:rPr>
      </w:pPr>
      <w:r w:rsidRPr="00B03727">
        <w:rPr>
          <w:rFonts w:ascii="Times New Roman" w:eastAsia="Times New Roman" w:hAnsi="Times New Roman" w:cs="Times New Roman"/>
          <w:color w:val="000000" w:themeColor="text1"/>
          <w:sz w:val="25"/>
          <w:szCs w:val="25"/>
          <w:lang w:eastAsia="hu-HU"/>
        </w:rPr>
        <w:t>Március végéig az államháztartás központi alrendszere 3420,4 milliárd forintos hiánnyal zárt</w:t>
      </w:r>
      <w:r w:rsidR="00733246">
        <w:rPr>
          <w:rFonts w:ascii="Times New Roman" w:eastAsia="Times New Roman" w:hAnsi="Times New Roman" w:cs="Times New Roman"/>
          <w:color w:val="000000" w:themeColor="text1"/>
          <w:sz w:val="25"/>
          <w:szCs w:val="25"/>
          <w:lang w:eastAsia="hu-HU"/>
        </w:rPr>
        <w:t>, ez az éves hiánycél 62,8%-a</w:t>
      </w:r>
      <w:r w:rsidRPr="00B03727">
        <w:rPr>
          <w:rFonts w:ascii="Times New Roman" w:eastAsia="Times New Roman" w:hAnsi="Times New Roman" w:cs="Times New Roman"/>
          <w:color w:val="000000" w:themeColor="text1"/>
          <w:sz w:val="25"/>
          <w:szCs w:val="25"/>
          <w:lang w:eastAsia="hu-HU"/>
        </w:rPr>
        <w:t>. A központi alrendszeren belül a központi költségvetés 3242,6 milliárd forintos hiányt, az elkülönített állami pénzalapok 12,5 milliárd forintos többletet, a társadalombiztosítás pénzügyi alapjai pedig 190,3 milliárd forintos hiányt mutattak.</w:t>
      </w:r>
    </w:p>
    <w:p w14:paraId="2988412B" w14:textId="77777777" w:rsidR="00B03727" w:rsidRPr="00B03727" w:rsidRDefault="00B03727" w:rsidP="00B03727">
      <w:pPr>
        <w:jc w:val="both"/>
        <w:rPr>
          <w:rFonts w:ascii="Times New Roman" w:eastAsia="Times New Roman" w:hAnsi="Times New Roman" w:cs="Times New Roman"/>
          <w:color w:val="000000" w:themeColor="text1"/>
          <w:sz w:val="25"/>
          <w:szCs w:val="25"/>
          <w:lang w:eastAsia="hu-HU"/>
        </w:rPr>
      </w:pPr>
      <w:r w:rsidRPr="00B03727">
        <w:rPr>
          <w:rFonts w:ascii="Times New Roman" w:eastAsia="Times New Roman" w:hAnsi="Times New Roman" w:cs="Times New Roman"/>
          <w:color w:val="000000" w:themeColor="text1"/>
          <w:sz w:val="25"/>
          <w:szCs w:val="25"/>
          <w:lang w:eastAsia="hu-HU"/>
        </w:rPr>
        <w:t>A központi alrendszer adó- és járulékbevételei az előző év azonos időszakához viszonyítva 8,1%-kal magasabban alakultak.</w:t>
      </w:r>
    </w:p>
    <w:p w14:paraId="6B38D9FF" w14:textId="77777777" w:rsidR="00B03727" w:rsidRPr="00B03727" w:rsidRDefault="00B03727" w:rsidP="00B03727">
      <w:pPr>
        <w:jc w:val="both"/>
        <w:rPr>
          <w:rFonts w:ascii="Times New Roman" w:eastAsia="Times New Roman" w:hAnsi="Times New Roman" w:cs="Times New Roman"/>
          <w:color w:val="000000" w:themeColor="text1"/>
          <w:sz w:val="25"/>
          <w:szCs w:val="25"/>
          <w:lang w:eastAsia="hu-HU"/>
        </w:rPr>
      </w:pPr>
      <w:r w:rsidRPr="00B03727">
        <w:rPr>
          <w:rFonts w:ascii="Times New Roman" w:eastAsia="Times New Roman" w:hAnsi="Times New Roman" w:cs="Times New Roman"/>
          <w:color w:val="000000" w:themeColor="text1"/>
          <w:sz w:val="25"/>
          <w:szCs w:val="25"/>
          <w:lang w:eastAsia="hu-HU"/>
        </w:rPr>
        <w:t>Meghaladták a tavalyi összeget a nyugellátásokra és gyógyító-megelőző ellátásokra fordított kiadások is. Március végéig – a 13. és részbeni 14. havi nyugdíjjal és ellátással együtt – nyugellátásokra és nyugdíjszerű ellátásokra összesen 2506,1 milliárd forint, míg gyógyító-megelőző ellátásokra 798,3 milliárd forint kifizetése történt meg.</w:t>
      </w:r>
    </w:p>
    <w:p w14:paraId="7F10017F" w14:textId="77777777" w:rsidR="00B03727" w:rsidRPr="00B03727" w:rsidRDefault="00B03727" w:rsidP="00B03727">
      <w:pPr>
        <w:jc w:val="both"/>
        <w:rPr>
          <w:rFonts w:ascii="Times New Roman" w:eastAsia="Times New Roman" w:hAnsi="Times New Roman" w:cs="Times New Roman"/>
          <w:color w:val="000000" w:themeColor="text1"/>
          <w:sz w:val="25"/>
          <w:szCs w:val="25"/>
          <w:lang w:eastAsia="hu-HU"/>
        </w:rPr>
      </w:pPr>
      <w:r w:rsidRPr="00B03727">
        <w:rPr>
          <w:rFonts w:ascii="Times New Roman" w:eastAsia="Times New Roman" w:hAnsi="Times New Roman" w:cs="Times New Roman"/>
          <w:color w:val="000000" w:themeColor="text1"/>
          <w:sz w:val="25"/>
          <w:szCs w:val="25"/>
          <w:lang w:eastAsia="hu-HU"/>
        </w:rPr>
        <w:t>Márciusban (egy hónap alatt) a központi alrendszer 1313,6 milliárd forint hiánnyal zárt, szemben az előző évi azonos havi 831,2 milliárd forintos deficittel. Az eltérésben jelentős szerepet játszanak a kormány otthonteremtési, valamint közútépítési intézkedései.</w:t>
      </w:r>
    </w:p>
    <w:p w14:paraId="24165AB4" w14:textId="2D6D47FA" w:rsidR="00B03727" w:rsidRPr="00B03727" w:rsidRDefault="00B03727" w:rsidP="00B03727">
      <w:pPr>
        <w:jc w:val="both"/>
        <w:rPr>
          <w:rFonts w:ascii="Times New Roman" w:eastAsia="Times New Roman" w:hAnsi="Times New Roman" w:cs="Times New Roman"/>
          <w:color w:val="000000" w:themeColor="text1"/>
          <w:sz w:val="25"/>
          <w:szCs w:val="25"/>
          <w:lang w:eastAsia="hu-HU"/>
        </w:rPr>
      </w:pPr>
      <w:r w:rsidRPr="00B03727">
        <w:rPr>
          <w:rFonts w:ascii="Times New Roman" w:eastAsia="Times New Roman" w:hAnsi="Times New Roman" w:cs="Times New Roman"/>
          <w:color w:val="000000" w:themeColor="text1"/>
          <w:sz w:val="25"/>
          <w:szCs w:val="25"/>
          <w:lang w:eastAsia="hu-HU"/>
        </w:rPr>
        <w:t>A kiadási oldalon, az előző év azonos időszakához képest többletkiadásként jelentek meg a Vidéki Otthonfelújítási Program</w:t>
      </w:r>
      <w:r w:rsidR="00733246">
        <w:rPr>
          <w:rFonts w:ascii="Times New Roman" w:eastAsia="Times New Roman" w:hAnsi="Times New Roman" w:cs="Times New Roman"/>
          <w:color w:val="000000" w:themeColor="text1"/>
          <w:sz w:val="25"/>
          <w:szCs w:val="25"/>
          <w:lang w:eastAsia="hu-HU"/>
        </w:rPr>
        <w:t xml:space="preserve"> kifizetései, valamint </w:t>
      </w:r>
      <w:r w:rsidRPr="00B03727">
        <w:rPr>
          <w:rFonts w:ascii="Times New Roman" w:eastAsia="Times New Roman" w:hAnsi="Times New Roman" w:cs="Times New Roman"/>
          <w:color w:val="000000" w:themeColor="text1"/>
          <w:sz w:val="25"/>
          <w:szCs w:val="25"/>
          <w:lang w:eastAsia="hu-HU"/>
        </w:rPr>
        <w:t>2026 márciusában jelent meg először költségvetési kiadásként az Otthon Start Program keretében igénybe vett kölcsönök állami kamattámogatásának kifizetése.</w:t>
      </w:r>
    </w:p>
    <w:p w14:paraId="02CBEE7C" w14:textId="08A25EB8" w:rsidR="00A521C7" w:rsidRPr="00A521C7" w:rsidRDefault="00B03727" w:rsidP="00B03727">
      <w:pPr>
        <w:jc w:val="both"/>
        <w:rPr>
          <w:rFonts w:ascii="Times New Roman" w:eastAsia="Times New Roman" w:hAnsi="Times New Roman" w:cs="Times New Roman"/>
          <w:color w:val="000000" w:themeColor="text1"/>
          <w:sz w:val="25"/>
          <w:szCs w:val="25"/>
          <w:lang w:eastAsia="hu-HU"/>
        </w:rPr>
      </w:pPr>
      <w:r w:rsidRPr="00B03727">
        <w:rPr>
          <w:rFonts w:ascii="Times New Roman" w:eastAsia="Times New Roman" w:hAnsi="Times New Roman" w:cs="Times New Roman"/>
          <w:color w:val="000000" w:themeColor="text1"/>
          <w:sz w:val="25"/>
          <w:szCs w:val="25"/>
          <w:lang w:eastAsia="hu-HU"/>
        </w:rPr>
        <w:t>Jelentősen magasabb összegben teljesültek az állami beruházási fejezetek kiadásai is, elsősorban a közútfejlesztési beruházások előrehaladása okán. Ezen felül, március hónapban nagyobb összegben kerültek kiutalásra az uniós kiadások is, melynek túlnyomó részét, mintegy 150 milliárd forintot a gazdáknak nyújtott agrártámogatások tették ki</w:t>
      </w:r>
      <w:r w:rsidR="5E04AD7D" w:rsidRPr="5E04AD7D">
        <w:rPr>
          <w:rFonts w:ascii="Times New Roman" w:eastAsia="Times New Roman" w:hAnsi="Times New Roman" w:cs="Times New Roman"/>
          <w:color w:val="000000" w:themeColor="text1"/>
          <w:sz w:val="25"/>
          <w:szCs w:val="25"/>
          <w:lang w:eastAsia="hu-HU"/>
        </w:rPr>
        <w:t>.</w:t>
      </w:r>
    </w:p>
    <w:p w14:paraId="7B768A0B" w14:textId="774F0001" w:rsidR="005171E0" w:rsidRDefault="00920F4D" w:rsidP="5E04AD7D">
      <w:pPr>
        <w:widowControl w:val="0"/>
        <w:spacing w:after="120" w:line="254" w:lineRule="auto"/>
        <w:jc w:val="both"/>
        <w:rPr>
          <w:rFonts w:ascii="Times New Roman" w:eastAsia="Times New Roman" w:hAnsi="Times New Roman" w:cs="Times New Roman"/>
          <w:sz w:val="26"/>
          <w:szCs w:val="26"/>
          <w:lang w:eastAsia="hu-HU"/>
        </w:rPr>
      </w:pPr>
      <w:r>
        <w:rPr>
          <w:rFonts w:ascii="Times New Roman" w:eastAsia="Times New Roman" w:hAnsi="Times New Roman" w:cs="Times New Roman"/>
          <w:sz w:val="26"/>
          <w:szCs w:val="26"/>
          <w:lang w:eastAsia="hu-HU"/>
        </w:rPr>
        <w:br w:type="column"/>
      </w:r>
      <w:r w:rsidR="639E9B9B" w:rsidRPr="639E9B9B">
        <w:rPr>
          <w:rFonts w:ascii="Times New Roman" w:eastAsia="Times New Roman" w:hAnsi="Times New Roman" w:cs="Times New Roman"/>
          <w:sz w:val="26"/>
          <w:szCs w:val="26"/>
          <w:lang w:eastAsia="hu-HU"/>
        </w:rPr>
        <w:lastRenderedPageBreak/>
        <w:t xml:space="preserve">Az államháztartás központi </w:t>
      </w:r>
      <w:r w:rsidR="639E9B9B" w:rsidRPr="00456EAE">
        <w:rPr>
          <w:rFonts w:ascii="Times New Roman" w:eastAsia="Times New Roman" w:hAnsi="Times New Roman" w:cs="Times New Roman"/>
          <w:sz w:val="26"/>
          <w:szCs w:val="26"/>
          <w:lang w:eastAsia="hu-HU"/>
        </w:rPr>
        <w:t>alrendszerének 202</w:t>
      </w:r>
      <w:r w:rsidR="00EB62E4">
        <w:rPr>
          <w:rFonts w:ascii="Times New Roman" w:eastAsia="Times New Roman" w:hAnsi="Times New Roman" w:cs="Times New Roman"/>
          <w:sz w:val="26"/>
          <w:szCs w:val="26"/>
          <w:lang w:eastAsia="hu-HU"/>
        </w:rPr>
        <w:t>6</w:t>
      </w:r>
      <w:r w:rsidR="639E9B9B" w:rsidRPr="00456EAE">
        <w:rPr>
          <w:rFonts w:ascii="Times New Roman" w:eastAsia="Times New Roman" w:hAnsi="Times New Roman" w:cs="Times New Roman"/>
          <w:sz w:val="26"/>
          <w:szCs w:val="26"/>
          <w:lang w:eastAsia="hu-HU"/>
        </w:rPr>
        <w:t>.</w:t>
      </w:r>
      <w:r w:rsidR="00A673CC" w:rsidRPr="00456EAE">
        <w:rPr>
          <w:rFonts w:ascii="Times New Roman" w:eastAsia="Times New Roman" w:hAnsi="Times New Roman" w:cs="Times New Roman"/>
          <w:sz w:val="26"/>
          <w:szCs w:val="26"/>
          <w:lang w:eastAsia="hu-HU"/>
        </w:rPr>
        <w:t> </w:t>
      </w:r>
      <w:r w:rsidR="00215359">
        <w:rPr>
          <w:rFonts w:ascii="Times New Roman" w:eastAsia="Times New Roman" w:hAnsi="Times New Roman" w:cs="Times New Roman"/>
          <w:sz w:val="26"/>
          <w:szCs w:val="26"/>
          <w:lang w:eastAsia="hu-HU"/>
        </w:rPr>
        <w:t>március</w:t>
      </w:r>
      <w:r w:rsidR="00A673CC" w:rsidRPr="00456EAE">
        <w:rPr>
          <w:rFonts w:ascii="Times New Roman" w:eastAsia="Times New Roman" w:hAnsi="Times New Roman" w:cs="Times New Roman"/>
          <w:sz w:val="26"/>
          <w:szCs w:val="26"/>
          <w:lang w:eastAsia="hu-HU"/>
        </w:rPr>
        <w:t> </w:t>
      </w:r>
      <w:r w:rsidR="639E9B9B" w:rsidRPr="00456EAE">
        <w:rPr>
          <w:rFonts w:ascii="Times New Roman" w:eastAsia="Times New Roman" w:hAnsi="Times New Roman" w:cs="Times New Roman"/>
          <w:sz w:val="26"/>
          <w:szCs w:val="26"/>
          <w:lang w:eastAsia="hu-HU"/>
        </w:rPr>
        <w:t>végi főbb</w:t>
      </w:r>
      <w:r w:rsidR="639E9B9B" w:rsidRPr="639E9B9B">
        <w:rPr>
          <w:rFonts w:ascii="Times New Roman" w:eastAsia="Times New Roman" w:hAnsi="Times New Roman" w:cs="Times New Roman"/>
          <w:sz w:val="26"/>
          <w:szCs w:val="26"/>
          <w:lang w:eastAsia="hu-HU"/>
        </w:rPr>
        <w:t xml:space="preserve"> pé</w:t>
      </w:r>
      <w:r w:rsidR="006D5492">
        <w:rPr>
          <w:rFonts w:ascii="Times New Roman" w:eastAsia="Times New Roman" w:hAnsi="Times New Roman" w:cs="Times New Roman"/>
          <w:sz w:val="26"/>
          <w:szCs w:val="26"/>
          <w:lang w:eastAsia="hu-HU"/>
        </w:rPr>
        <w:t>nzforgalmi adatai a következők:</w:t>
      </w:r>
    </w:p>
    <w:tbl>
      <w:tblPr>
        <w:tblW w:w="10064" w:type="dxa"/>
        <w:jc w:val="center"/>
        <w:tblLayout w:type="fixed"/>
        <w:tblCellMar>
          <w:left w:w="70" w:type="dxa"/>
          <w:right w:w="70" w:type="dxa"/>
        </w:tblCellMar>
        <w:tblLook w:val="04A0" w:firstRow="1" w:lastRow="0" w:firstColumn="1" w:lastColumn="0" w:noHBand="0" w:noVBand="1"/>
      </w:tblPr>
      <w:tblGrid>
        <w:gridCol w:w="2047"/>
        <w:gridCol w:w="1067"/>
        <w:gridCol w:w="1134"/>
        <w:gridCol w:w="1217"/>
        <w:gridCol w:w="1103"/>
        <w:gridCol w:w="1224"/>
        <w:gridCol w:w="1275"/>
        <w:gridCol w:w="997"/>
      </w:tblGrid>
      <w:tr w:rsidR="00EB62E4" w:rsidRPr="003D514A" w14:paraId="44D583B1" w14:textId="77777777" w:rsidTr="28F9800E">
        <w:trPr>
          <w:trHeight w:val="1440"/>
          <w:jc w:val="center"/>
        </w:trPr>
        <w:tc>
          <w:tcPr>
            <w:tcW w:w="2047"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79E8F169" w14:textId="77777777" w:rsidR="00EB62E4" w:rsidRPr="00602E3C" w:rsidRDefault="28F9800E" w:rsidP="28F9800E">
            <w:pPr>
              <w:keepNext/>
              <w:keepLines/>
              <w:rPr>
                <w:rFonts w:ascii="Times New Roman" w:hAnsi="Times New Roman" w:cs="Times New Roman"/>
                <w:sz w:val="20"/>
                <w:szCs w:val="20"/>
              </w:rPr>
            </w:pPr>
            <w:r w:rsidRPr="28F9800E">
              <w:rPr>
                <w:rFonts w:ascii="Times New Roman" w:hAnsi="Times New Roman" w:cs="Times New Roman"/>
                <w:sz w:val="20"/>
                <w:szCs w:val="20"/>
              </w:rPr>
              <w:t> </w:t>
            </w:r>
          </w:p>
        </w:tc>
        <w:tc>
          <w:tcPr>
            <w:tcW w:w="1067"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78824DB1" w14:textId="22C0875A" w:rsidR="00EB62E4" w:rsidRDefault="5E04AD7D" w:rsidP="5E04AD7D">
            <w:pPr>
              <w:keepNext/>
              <w:keepLines/>
              <w:spacing w:after="0"/>
              <w:jc w:val="center"/>
              <w:rPr>
                <w:rFonts w:ascii="Times New Roman" w:hAnsi="Times New Roman" w:cs="Times New Roman"/>
                <w:sz w:val="20"/>
                <w:szCs w:val="20"/>
              </w:rPr>
            </w:pPr>
            <w:r w:rsidRPr="5E04AD7D">
              <w:rPr>
                <w:rFonts w:ascii="Times New Roman" w:hAnsi="Times New Roman" w:cs="Times New Roman"/>
                <w:b/>
                <w:bCs/>
                <w:sz w:val="20"/>
                <w:szCs w:val="20"/>
              </w:rPr>
              <w:t xml:space="preserve">2025. évi </w:t>
            </w:r>
            <w:r w:rsidR="1FABBDF6">
              <w:br/>
            </w:r>
            <w:r w:rsidRPr="5E04AD7D">
              <w:rPr>
                <w:rFonts w:ascii="Times New Roman" w:hAnsi="Times New Roman" w:cs="Times New Roman"/>
                <w:b/>
                <w:bCs/>
                <w:sz w:val="20"/>
                <w:szCs w:val="20"/>
              </w:rPr>
              <w:t>előzetes tény</w:t>
            </w:r>
            <w:r w:rsidR="1FABBDF6">
              <w:br/>
            </w:r>
            <w:r w:rsidRPr="5E04AD7D">
              <w:rPr>
                <w:rFonts w:ascii="Times New Roman" w:hAnsi="Times New Roman" w:cs="Times New Roman"/>
                <w:sz w:val="20"/>
                <w:szCs w:val="20"/>
              </w:rPr>
              <w:t>milliárd forintban</w:t>
            </w:r>
          </w:p>
          <w:p w14:paraId="16A4B65C" w14:textId="77777777" w:rsidR="00EB62E4" w:rsidRPr="00602E3C" w:rsidRDefault="5E04AD7D" w:rsidP="5E04AD7D">
            <w:pPr>
              <w:keepNext/>
              <w:keepLines/>
              <w:spacing w:after="0"/>
              <w:jc w:val="center"/>
              <w:rPr>
                <w:rFonts w:ascii="Times New Roman" w:hAnsi="Times New Roman" w:cs="Times New Roman"/>
                <w:sz w:val="20"/>
                <w:szCs w:val="20"/>
              </w:rPr>
            </w:pPr>
            <w:r w:rsidRPr="5E04AD7D">
              <w:rPr>
                <w:rFonts w:ascii="Times New Roman" w:hAnsi="Times New Roman" w:cs="Times New Roman"/>
                <w:sz w:val="20"/>
                <w:szCs w:val="20"/>
              </w:rPr>
              <w:t>(1)</w:t>
            </w:r>
          </w:p>
        </w:tc>
        <w:tc>
          <w:tcPr>
            <w:tcW w:w="1134"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47F4A7DC" w14:textId="777E5259" w:rsidR="00EB62E4" w:rsidRPr="00602E3C" w:rsidRDefault="5E04AD7D" w:rsidP="5E04AD7D">
            <w:pPr>
              <w:keepNext/>
              <w:keepLines/>
              <w:spacing w:after="0"/>
              <w:jc w:val="center"/>
              <w:rPr>
                <w:rFonts w:ascii="Times New Roman" w:hAnsi="Times New Roman" w:cs="Times New Roman"/>
                <w:sz w:val="20"/>
                <w:szCs w:val="20"/>
              </w:rPr>
            </w:pPr>
            <w:r w:rsidRPr="5E04AD7D">
              <w:rPr>
                <w:rFonts w:ascii="Times New Roman" w:hAnsi="Times New Roman" w:cs="Times New Roman"/>
                <w:b/>
                <w:bCs/>
                <w:sz w:val="20"/>
                <w:szCs w:val="20"/>
              </w:rPr>
              <w:t>2025. I-I</w:t>
            </w:r>
            <w:r w:rsidR="00215359">
              <w:rPr>
                <w:rFonts w:ascii="Times New Roman" w:hAnsi="Times New Roman" w:cs="Times New Roman"/>
                <w:b/>
                <w:bCs/>
                <w:sz w:val="20"/>
                <w:szCs w:val="20"/>
              </w:rPr>
              <w:t>I</w:t>
            </w:r>
            <w:r w:rsidRPr="5E04AD7D">
              <w:rPr>
                <w:rFonts w:ascii="Times New Roman" w:hAnsi="Times New Roman" w:cs="Times New Roman"/>
                <w:b/>
                <w:bCs/>
                <w:sz w:val="20"/>
                <w:szCs w:val="20"/>
              </w:rPr>
              <w:t>I. hó tény</w:t>
            </w:r>
            <w:r w:rsidR="1FABBDF6">
              <w:br/>
            </w:r>
            <w:r w:rsidRPr="5E04AD7D">
              <w:rPr>
                <w:rFonts w:ascii="Times New Roman" w:hAnsi="Times New Roman" w:cs="Times New Roman"/>
                <w:sz w:val="20"/>
                <w:szCs w:val="20"/>
              </w:rPr>
              <w:t>milliárd forintban</w:t>
            </w:r>
          </w:p>
          <w:p w14:paraId="0FD884DB" w14:textId="77777777" w:rsidR="00EB62E4" w:rsidRPr="00602E3C" w:rsidRDefault="00EB62E4" w:rsidP="0041684E">
            <w:pPr>
              <w:keepNext/>
              <w:keepLines/>
              <w:spacing w:after="0"/>
              <w:jc w:val="center"/>
              <w:rPr>
                <w:rFonts w:ascii="Times New Roman" w:hAnsi="Times New Roman" w:cs="Times New Roman"/>
                <w:sz w:val="20"/>
                <w:szCs w:val="20"/>
              </w:rPr>
            </w:pPr>
          </w:p>
          <w:p w14:paraId="006D888C" w14:textId="77777777" w:rsidR="00EB62E4" w:rsidRPr="00602E3C" w:rsidRDefault="5E04AD7D" w:rsidP="5E04AD7D">
            <w:pPr>
              <w:keepNext/>
              <w:keepLines/>
              <w:spacing w:after="0"/>
              <w:jc w:val="center"/>
              <w:rPr>
                <w:rFonts w:ascii="Times New Roman" w:hAnsi="Times New Roman" w:cs="Times New Roman"/>
                <w:sz w:val="20"/>
                <w:szCs w:val="20"/>
              </w:rPr>
            </w:pPr>
            <w:r w:rsidRPr="5E04AD7D">
              <w:rPr>
                <w:rFonts w:ascii="Times New Roman" w:hAnsi="Times New Roman" w:cs="Times New Roman"/>
                <w:sz w:val="20"/>
                <w:szCs w:val="20"/>
              </w:rPr>
              <w:t>(2)</w:t>
            </w:r>
          </w:p>
        </w:tc>
        <w:tc>
          <w:tcPr>
            <w:tcW w:w="1217"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051C252D" w14:textId="77777777" w:rsidR="00EB62E4" w:rsidRPr="00602E3C" w:rsidRDefault="5E04AD7D" w:rsidP="5E04AD7D">
            <w:pPr>
              <w:keepNext/>
              <w:keepLines/>
              <w:spacing w:after="0"/>
              <w:jc w:val="center"/>
              <w:rPr>
                <w:rFonts w:ascii="Times New Roman" w:hAnsi="Times New Roman" w:cs="Times New Roman"/>
                <w:sz w:val="20"/>
                <w:szCs w:val="20"/>
              </w:rPr>
            </w:pPr>
            <w:r w:rsidRPr="5E04AD7D">
              <w:rPr>
                <w:rFonts w:ascii="Times New Roman" w:hAnsi="Times New Roman" w:cs="Times New Roman"/>
                <w:sz w:val="20"/>
                <w:szCs w:val="20"/>
              </w:rPr>
              <w:t>éves tény=100%</w:t>
            </w:r>
            <w:r w:rsidR="1FABBDF6">
              <w:br/>
            </w:r>
            <w:r w:rsidRPr="5E04AD7D">
              <w:rPr>
                <w:rFonts w:ascii="Times New Roman" w:hAnsi="Times New Roman" w:cs="Times New Roman"/>
                <w:sz w:val="20"/>
                <w:szCs w:val="20"/>
              </w:rPr>
              <w:t>Index (%)</w:t>
            </w:r>
          </w:p>
          <w:p w14:paraId="23CAD950" w14:textId="77777777" w:rsidR="00EB62E4" w:rsidRDefault="00EB62E4" w:rsidP="0041684E">
            <w:pPr>
              <w:keepNext/>
              <w:keepLines/>
              <w:spacing w:after="0"/>
              <w:jc w:val="center"/>
              <w:rPr>
                <w:rFonts w:ascii="Times New Roman" w:hAnsi="Times New Roman" w:cs="Times New Roman"/>
                <w:sz w:val="20"/>
                <w:szCs w:val="20"/>
              </w:rPr>
            </w:pPr>
          </w:p>
          <w:p w14:paraId="37FF863F" w14:textId="77777777" w:rsidR="00EB62E4" w:rsidRPr="00602E3C" w:rsidRDefault="00EB62E4" w:rsidP="0041684E">
            <w:pPr>
              <w:keepNext/>
              <w:keepLines/>
              <w:spacing w:after="0"/>
              <w:jc w:val="center"/>
              <w:rPr>
                <w:rFonts w:ascii="Times New Roman" w:hAnsi="Times New Roman" w:cs="Times New Roman"/>
                <w:sz w:val="20"/>
                <w:szCs w:val="20"/>
              </w:rPr>
            </w:pPr>
          </w:p>
          <w:p w14:paraId="60CDF192" w14:textId="77777777" w:rsidR="00EB62E4" w:rsidRPr="00602E3C" w:rsidRDefault="5E04AD7D" w:rsidP="5E04AD7D">
            <w:pPr>
              <w:keepNext/>
              <w:keepLines/>
              <w:spacing w:after="0"/>
              <w:jc w:val="center"/>
              <w:rPr>
                <w:rFonts w:ascii="Times New Roman" w:hAnsi="Times New Roman" w:cs="Times New Roman"/>
                <w:sz w:val="20"/>
                <w:szCs w:val="20"/>
              </w:rPr>
            </w:pPr>
            <w:r w:rsidRPr="5E04AD7D">
              <w:rPr>
                <w:rFonts w:ascii="Times New Roman" w:hAnsi="Times New Roman" w:cs="Times New Roman"/>
                <w:sz w:val="20"/>
                <w:szCs w:val="20"/>
              </w:rPr>
              <w:t>(2/1)</w:t>
            </w:r>
          </w:p>
        </w:tc>
        <w:tc>
          <w:tcPr>
            <w:tcW w:w="1103"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57B9458E" w14:textId="2812FA50" w:rsidR="00EB62E4" w:rsidRPr="00602E3C" w:rsidRDefault="5E04AD7D" w:rsidP="5E04AD7D">
            <w:pPr>
              <w:keepNext/>
              <w:keepLines/>
              <w:spacing w:after="0"/>
              <w:jc w:val="center"/>
              <w:rPr>
                <w:rFonts w:ascii="Times New Roman" w:hAnsi="Times New Roman" w:cs="Times New Roman"/>
                <w:sz w:val="20"/>
                <w:szCs w:val="20"/>
              </w:rPr>
            </w:pPr>
            <w:r w:rsidRPr="5E04AD7D">
              <w:rPr>
                <w:rFonts w:ascii="Times New Roman" w:hAnsi="Times New Roman" w:cs="Times New Roman"/>
                <w:b/>
                <w:bCs/>
                <w:sz w:val="20"/>
                <w:szCs w:val="20"/>
              </w:rPr>
              <w:t>2026. évi előirányzat</w:t>
            </w:r>
            <w:r w:rsidR="1FABBDF6">
              <w:br/>
            </w:r>
            <w:r w:rsidRPr="5E04AD7D">
              <w:rPr>
                <w:rFonts w:ascii="Times New Roman" w:hAnsi="Times New Roman" w:cs="Times New Roman"/>
                <w:sz w:val="20"/>
                <w:szCs w:val="20"/>
              </w:rPr>
              <w:t>milliárd forintban</w:t>
            </w:r>
          </w:p>
          <w:p w14:paraId="79AE386B" w14:textId="77777777" w:rsidR="00EB62E4" w:rsidRPr="00602E3C" w:rsidRDefault="00EB62E4" w:rsidP="0041684E">
            <w:pPr>
              <w:keepNext/>
              <w:keepLines/>
              <w:spacing w:after="0"/>
              <w:jc w:val="center"/>
              <w:rPr>
                <w:rFonts w:ascii="Times New Roman" w:hAnsi="Times New Roman" w:cs="Times New Roman"/>
                <w:sz w:val="20"/>
                <w:szCs w:val="20"/>
              </w:rPr>
            </w:pPr>
          </w:p>
          <w:p w14:paraId="2BB746ED" w14:textId="77777777" w:rsidR="00EB62E4" w:rsidRPr="00602E3C" w:rsidRDefault="5E04AD7D" w:rsidP="5E04AD7D">
            <w:pPr>
              <w:keepNext/>
              <w:keepLines/>
              <w:spacing w:after="0"/>
              <w:jc w:val="center"/>
              <w:rPr>
                <w:rFonts w:ascii="Times New Roman" w:hAnsi="Times New Roman" w:cs="Times New Roman"/>
                <w:sz w:val="20"/>
                <w:szCs w:val="20"/>
              </w:rPr>
            </w:pPr>
            <w:r w:rsidRPr="5E04AD7D">
              <w:rPr>
                <w:rFonts w:ascii="Times New Roman" w:hAnsi="Times New Roman" w:cs="Times New Roman"/>
                <w:sz w:val="20"/>
                <w:szCs w:val="20"/>
              </w:rPr>
              <w:t>(3)</w:t>
            </w:r>
          </w:p>
        </w:tc>
        <w:tc>
          <w:tcPr>
            <w:tcW w:w="1224"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3128B4DC" w14:textId="442A0735" w:rsidR="00EB62E4" w:rsidRPr="00602E3C" w:rsidRDefault="5E04AD7D" w:rsidP="5E04AD7D">
            <w:pPr>
              <w:keepNext/>
              <w:keepLines/>
              <w:spacing w:after="0"/>
              <w:jc w:val="center"/>
              <w:rPr>
                <w:rFonts w:ascii="Times New Roman" w:hAnsi="Times New Roman" w:cs="Times New Roman"/>
                <w:sz w:val="20"/>
                <w:szCs w:val="20"/>
              </w:rPr>
            </w:pPr>
            <w:r w:rsidRPr="5E04AD7D">
              <w:rPr>
                <w:rFonts w:ascii="Times New Roman" w:hAnsi="Times New Roman" w:cs="Times New Roman"/>
                <w:b/>
                <w:bCs/>
                <w:sz w:val="20"/>
                <w:szCs w:val="20"/>
              </w:rPr>
              <w:t>2026. I-I</w:t>
            </w:r>
            <w:r w:rsidR="00215359">
              <w:rPr>
                <w:rFonts w:ascii="Times New Roman" w:hAnsi="Times New Roman" w:cs="Times New Roman"/>
                <w:b/>
                <w:bCs/>
                <w:sz w:val="20"/>
                <w:szCs w:val="20"/>
              </w:rPr>
              <w:t>I</w:t>
            </w:r>
            <w:r w:rsidRPr="5E04AD7D">
              <w:rPr>
                <w:rFonts w:ascii="Times New Roman" w:hAnsi="Times New Roman" w:cs="Times New Roman"/>
                <w:b/>
                <w:bCs/>
                <w:sz w:val="20"/>
                <w:szCs w:val="20"/>
              </w:rPr>
              <w:t>I. hó tény</w:t>
            </w:r>
            <w:r w:rsidR="1FABBDF6">
              <w:br/>
            </w:r>
            <w:r w:rsidRPr="5E04AD7D">
              <w:rPr>
                <w:rFonts w:ascii="Times New Roman" w:hAnsi="Times New Roman" w:cs="Times New Roman"/>
                <w:sz w:val="20"/>
                <w:szCs w:val="20"/>
              </w:rPr>
              <w:t>milliárd forintban</w:t>
            </w:r>
          </w:p>
          <w:p w14:paraId="01AF2FB2" w14:textId="77777777" w:rsidR="00EB62E4" w:rsidRPr="00602E3C" w:rsidRDefault="00EB62E4" w:rsidP="0041684E">
            <w:pPr>
              <w:keepNext/>
              <w:keepLines/>
              <w:spacing w:after="0"/>
              <w:jc w:val="center"/>
              <w:rPr>
                <w:rFonts w:ascii="Times New Roman" w:hAnsi="Times New Roman" w:cs="Times New Roman"/>
                <w:sz w:val="20"/>
                <w:szCs w:val="20"/>
              </w:rPr>
            </w:pPr>
          </w:p>
          <w:p w14:paraId="38C575FD" w14:textId="77777777" w:rsidR="00EB62E4" w:rsidRPr="00602E3C" w:rsidRDefault="5E04AD7D" w:rsidP="5E04AD7D">
            <w:pPr>
              <w:keepNext/>
              <w:keepLines/>
              <w:spacing w:after="0"/>
              <w:jc w:val="center"/>
              <w:rPr>
                <w:rFonts w:ascii="Times New Roman" w:hAnsi="Times New Roman" w:cs="Times New Roman"/>
                <w:sz w:val="20"/>
                <w:szCs w:val="20"/>
              </w:rPr>
            </w:pPr>
            <w:r w:rsidRPr="5E04AD7D">
              <w:rPr>
                <w:rFonts w:ascii="Times New Roman" w:hAnsi="Times New Roman" w:cs="Times New Roman"/>
                <w:sz w:val="20"/>
                <w:szCs w:val="20"/>
              </w:rPr>
              <w:t>(4)</w:t>
            </w:r>
          </w:p>
        </w:tc>
        <w:tc>
          <w:tcPr>
            <w:tcW w:w="1275"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0A4C38D7" w14:textId="77777777" w:rsidR="00EB62E4" w:rsidRPr="00602E3C" w:rsidRDefault="5E04AD7D" w:rsidP="5E04AD7D">
            <w:pPr>
              <w:keepNext/>
              <w:keepLines/>
              <w:spacing w:after="0"/>
              <w:jc w:val="center"/>
              <w:rPr>
                <w:rFonts w:ascii="Times New Roman" w:hAnsi="Times New Roman" w:cs="Times New Roman"/>
                <w:sz w:val="20"/>
                <w:szCs w:val="20"/>
              </w:rPr>
            </w:pPr>
            <w:r w:rsidRPr="5E04AD7D">
              <w:rPr>
                <w:rFonts w:ascii="Times New Roman" w:hAnsi="Times New Roman" w:cs="Times New Roman"/>
                <w:sz w:val="20"/>
                <w:szCs w:val="20"/>
              </w:rPr>
              <w:t>előirányzat=</w:t>
            </w:r>
            <w:r w:rsidR="1FABBDF6">
              <w:br/>
            </w:r>
            <w:r w:rsidRPr="5E04AD7D">
              <w:rPr>
                <w:rFonts w:ascii="Times New Roman" w:hAnsi="Times New Roman" w:cs="Times New Roman"/>
                <w:sz w:val="20"/>
                <w:szCs w:val="20"/>
              </w:rPr>
              <w:t>100%</w:t>
            </w:r>
            <w:r w:rsidR="1FABBDF6">
              <w:br/>
            </w:r>
            <w:r w:rsidRPr="5E04AD7D">
              <w:rPr>
                <w:rFonts w:ascii="Times New Roman" w:hAnsi="Times New Roman" w:cs="Times New Roman"/>
                <w:sz w:val="20"/>
                <w:szCs w:val="20"/>
              </w:rPr>
              <w:t>Index (%)</w:t>
            </w:r>
          </w:p>
          <w:p w14:paraId="292D56FD" w14:textId="77777777" w:rsidR="00EB62E4" w:rsidRDefault="00EB62E4" w:rsidP="0041684E">
            <w:pPr>
              <w:keepNext/>
              <w:keepLines/>
              <w:spacing w:after="0"/>
              <w:jc w:val="center"/>
              <w:rPr>
                <w:rFonts w:ascii="Times New Roman" w:hAnsi="Times New Roman" w:cs="Times New Roman"/>
                <w:sz w:val="20"/>
                <w:szCs w:val="20"/>
              </w:rPr>
            </w:pPr>
          </w:p>
          <w:p w14:paraId="4B6EFB4E" w14:textId="77777777" w:rsidR="00EB62E4" w:rsidRPr="00602E3C" w:rsidRDefault="00EB62E4" w:rsidP="0041684E">
            <w:pPr>
              <w:keepNext/>
              <w:keepLines/>
              <w:spacing w:after="0"/>
              <w:jc w:val="center"/>
              <w:rPr>
                <w:rFonts w:ascii="Times New Roman" w:hAnsi="Times New Roman" w:cs="Times New Roman"/>
                <w:sz w:val="20"/>
                <w:szCs w:val="20"/>
              </w:rPr>
            </w:pPr>
          </w:p>
          <w:p w14:paraId="7BABBF8A" w14:textId="77777777" w:rsidR="00EB62E4" w:rsidRPr="00602E3C" w:rsidRDefault="5E04AD7D" w:rsidP="5E04AD7D">
            <w:pPr>
              <w:keepNext/>
              <w:keepLines/>
              <w:spacing w:after="0"/>
              <w:jc w:val="center"/>
              <w:rPr>
                <w:rFonts w:ascii="Times New Roman" w:hAnsi="Times New Roman" w:cs="Times New Roman"/>
                <w:sz w:val="20"/>
                <w:szCs w:val="20"/>
              </w:rPr>
            </w:pPr>
            <w:r w:rsidRPr="5E04AD7D">
              <w:rPr>
                <w:rFonts w:ascii="Times New Roman" w:hAnsi="Times New Roman" w:cs="Times New Roman"/>
                <w:sz w:val="20"/>
                <w:szCs w:val="20"/>
              </w:rPr>
              <w:t>(4/3)</w:t>
            </w:r>
          </w:p>
        </w:tc>
        <w:tc>
          <w:tcPr>
            <w:tcW w:w="997"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06E01A08" w14:textId="77777777" w:rsidR="00EB62E4" w:rsidRPr="00602E3C" w:rsidRDefault="5E04AD7D" w:rsidP="5E04AD7D">
            <w:pPr>
              <w:keepNext/>
              <w:keepLines/>
              <w:spacing w:after="0"/>
              <w:jc w:val="center"/>
              <w:rPr>
                <w:rFonts w:ascii="Times New Roman" w:hAnsi="Times New Roman" w:cs="Times New Roman"/>
                <w:sz w:val="20"/>
                <w:szCs w:val="20"/>
              </w:rPr>
            </w:pPr>
            <w:r w:rsidRPr="5E04AD7D">
              <w:rPr>
                <w:rFonts w:ascii="Times New Roman" w:hAnsi="Times New Roman" w:cs="Times New Roman"/>
                <w:sz w:val="20"/>
                <w:szCs w:val="20"/>
              </w:rPr>
              <w:t>előző év=</w:t>
            </w:r>
            <w:r w:rsidR="1FABBDF6">
              <w:br/>
            </w:r>
            <w:r w:rsidRPr="5E04AD7D">
              <w:rPr>
                <w:rFonts w:ascii="Times New Roman" w:hAnsi="Times New Roman" w:cs="Times New Roman"/>
                <w:sz w:val="20"/>
                <w:szCs w:val="20"/>
              </w:rPr>
              <w:t>100%</w:t>
            </w:r>
            <w:r w:rsidR="1FABBDF6">
              <w:br/>
            </w:r>
            <w:r w:rsidRPr="5E04AD7D">
              <w:rPr>
                <w:rFonts w:ascii="Times New Roman" w:hAnsi="Times New Roman" w:cs="Times New Roman"/>
                <w:sz w:val="20"/>
                <w:szCs w:val="20"/>
              </w:rPr>
              <w:t>Index (%)</w:t>
            </w:r>
          </w:p>
          <w:p w14:paraId="5E5352FC" w14:textId="77777777" w:rsidR="00EB62E4" w:rsidRPr="00602E3C" w:rsidRDefault="00EB62E4" w:rsidP="0041684E">
            <w:pPr>
              <w:keepNext/>
              <w:keepLines/>
              <w:spacing w:after="0"/>
              <w:jc w:val="center"/>
              <w:rPr>
                <w:rFonts w:ascii="Times New Roman" w:hAnsi="Times New Roman" w:cs="Times New Roman"/>
                <w:sz w:val="20"/>
                <w:szCs w:val="20"/>
              </w:rPr>
            </w:pPr>
          </w:p>
          <w:p w14:paraId="3DA38296" w14:textId="77777777" w:rsidR="00EB62E4" w:rsidRPr="00602E3C" w:rsidRDefault="00EB62E4" w:rsidP="5E04AD7D">
            <w:pPr>
              <w:keepNext/>
              <w:keepLines/>
              <w:spacing w:after="0"/>
              <w:jc w:val="center"/>
              <w:rPr>
                <w:rFonts w:ascii="Times New Roman" w:hAnsi="Times New Roman" w:cs="Times New Roman"/>
                <w:sz w:val="20"/>
                <w:szCs w:val="20"/>
              </w:rPr>
            </w:pPr>
            <w:r>
              <w:br/>
            </w:r>
            <w:r w:rsidR="5E04AD7D" w:rsidRPr="5E04AD7D">
              <w:rPr>
                <w:rFonts w:ascii="Times New Roman" w:hAnsi="Times New Roman" w:cs="Times New Roman"/>
                <w:sz w:val="20"/>
                <w:szCs w:val="20"/>
              </w:rPr>
              <w:t>(4/2)</w:t>
            </w:r>
          </w:p>
        </w:tc>
      </w:tr>
      <w:tr w:rsidR="00215359" w:rsidRPr="003D514A" w14:paraId="07500852" w14:textId="77777777" w:rsidTr="28F9800E">
        <w:trPr>
          <w:trHeight w:val="170"/>
          <w:jc w:val="center"/>
        </w:trPr>
        <w:tc>
          <w:tcPr>
            <w:tcW w:w="2047" w:type="dxa"/>
            <w:tcBorders>
              <w:top w:val="nil"/>
              <w:left w:val="single" w:sz="4" w:space="0" w:color="auto"/>
              <w:bottom w:val="single" w:sz="4" w:space="0" w:color="auto"/>
              <w:right w:val="single" w:sz="4" w:space="0" w:color="auto"/>
            </w:tcBorders>
            <w:vAlign w:val="center"/>
            <w:hideMark/>
          </w:tcPr>
          <w:p w14:paraId="4E29F6EA" w14:textId="77777777" w:rsidR="00215359" w:rsidRPr="00602E3C" w:rsidRDefault="00215359" w:rsidP="00215359">
            <w:pPr>
              <w:keepNext/>
              <w:keepLines/>
              <w:spacing w:before="120" w:after="120"/>
              <w:rPr>
                <w:rFonts w:ascii="Times New Roman" w:hAnsi="Times New Roman" w:cs="Times New Roman"/>
                <w:b/>
                <w:bCs/>
                <w:sz w:val="20"/>
                <w:szCs w:val="20"/>
              </w:rPr>
            </w:pPr>
            <w:r w:rsidRPr="5E04AD7D">
              <w:rPr>
                <w:rFonts w:ascii="Times New Roman" w:hAnsi="Times New Roman" w:cs="Times New Roman"/>
                <w:b/>
                <w:bCs/>
                <w:sz w:val="20"/>
                <w:szCs w:val="20"/>
              </w:rPr>
              <w:t>Központi költségvetés egyenlege</w:t>
            </w:r>
          </w:p>
        </w:tc>
        <w:tc>
          <w:tcPr>
            <w:tcW w:w="1067" w:type="dxa"/>
            <w:tcBorders>
              <w:top w:val="single" w:sz="4" w:space="0" w:color="auto"/>
              <w:left w:val="single" w:sz="4" w:space="0" w:color="auto"/>
              <w:bottom w:val="single" w:sz="4" w:space="0" w:color="auto"/>
              <w:right w:val="single" w:sz="4" w:space="0" w:color="auto"/>
            </w:tcBorders>
            <w:noWrap/>
            <w:vAlign w:val="center"/>
          </w:tcPr>
          <w:p w14:paraId="3AF25223" w14:textId="0BFBD540" w:rsidR="00215359" w:rsidRPr="007007A3" w:rsidRDefault="00215359" w:rsidP="00215359">
            <w:pPr>
              <w:spacing w:before="120" w:after="120"/>
              <w:jc w:val="right"/>
              <w:rPr>
                <w:rFonts w:ascii="Times New Roman" w:hAnsi="Times New Roman" w:cs="Times New Roman"/>
                <w:b/>
                <w:bCs/>
                <w:sz w:val="20"/>
                <w:szCs w:val="20"/>
              </w:rPr>
            </w:pPr>
            <w:r w:rsidRPr="00755B3B">
              <w:rPr>
                <w:rFonts w:ascii="Garamond" w:hAnsi="Garamond"/>
                <w:b/>
                <w:bCs/>
                <w:sz w:val="20"/>
                <w:szCs w:val="20"/>
              </w:rPr>
              <w:t>-5 500,1</w:t>
            </w:r>
          </w:p>
        </w:tc>
        <w:tc>
          <w:tcPr>
            <w:tcW w:w="1134" w:type="dxa"/>
            <w:tcBorders>
              <w:top w:val="single" w:sz="4" w:space="0" w:color="auto"/>
              <w:left w:val="nil"/>
              <w:bottom w:val="single" w:sz="4" w:space="0" w:color="auto"/>
              <w:right w:val="single" w:sz="4" w:space="0" w:color="auto"/>
            </w:tcBorders>
            <w:noWrap/>
            <w:vAlign w:val="center"/>
          </w:tcPr>
          <w:p w14:paraId="7D45EE77" w14:textId="7FCEA089" w:rsidR="00215359" w:rsidRPr="007007A3" w:rsidRDefault="00215359" w:rsidP="00215359">
            <w:pPr>
              <w:spacing w:before="120" w:after="120"/>
              <w:jc w:val="right"/>
              <w:rPr>
                <w:rFonts w:ascii="Times New Roman" w:hAnsi="Times New Roman" w:cs="Times New Roman"/>
                <w:b/>
                <w:bCs/>
                <w:sz w:val="20"/>
                <w:szCs w:val="20"/>
              </w:rPr>
            </w:pPr>
            <w:r w:rsidRPr="00755B3B">
              <w:rPr>
                <w:rFonts w:ascii="Garamond" w:hAnsi="Garamond"/>
                <w:b/>
                <w:bCs/>
                <w:sz w:val="20"/>
                <w:szCs w:val="20"/>
              </w:rPr>
              <w:t>-2 458,4</w:t>
            </w:r>
          </w:p>
        </w:tc>
        <w:tc>
          <w:tcPr>
            <w:tcW w:w="1217" w:type="dxa"/>
            <w:tcBorders>
              <w:top w:val="single" w:sz="4" w:space="0" w:color="auto"/>
              <w:left w:val="nil"/>
              <w:bottom w:val="single" w:sz="4" w:space="0" w:color="auto"/>
              <w:right w:val="single" w:sz="4" w:space="0" w:color="auto"/>
            </w:tcBorders>
            <w:noWrap/>
            <w:vAlign w:val="center"/>
          </w:tcPr>
          <w:p w14:paraId="7EDA3EB1" w14:textId="33086CC3"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44,7</w:t>
            </w:r>
          </w:p>
        </w:tc>
        <w:tc>
          <w:tcPr>
            <w:tcW w:w="1103" w:type="dxa"/>
            <w:tcBorders>
              <w:top w:val="single" w:sz="4" w:space="0" w:color="auto"/>
              <w:left w:val="nil"/>
              <w:bottom w:val="single" w:sz="4" w:space="0" w:color="auto"/>
              <w:right w:val="single" w:sz="4" w:space="0" w:color="auto"/>
            </w:tcBorders>
            <w:noWrap/>
            <w:vAlign w:val="center"/>
          </w:tcPr>
          <w:p w14:paraId="15A4090F" w14:textId="11E503E2" w:rsidR="00215359" w:rsidRPr="007007A3" w:rsidRDefault="00215359" w:rsidP="00215359">
            <w:pPr>
              <w:spacing w:before="120" w:after="120"/>
              <w:jc w:val="right"/>
              <w:rPr>
                <w:rFonts w:ascii="Times New Roman" w:hAnsi="Times New Roman" w:cs="Times New Roman"/>
                <w:b/>
                <w:bCs/>
                <w:sz w:val="20"/>
                <w:szCs w:val="20"/>
              </w:rPr>
            </w:pPr>
            <w:r w:rsidRPr="00755B3B">
              <w:rPr>
                <w:rFonts w:ascii="Garamond" w:hAnsi="Garamond"/>
                <w:b/>
                <w:bCs/>
                <w:sz w:val="20"/>
                <w:szCs w:val="20"/>
              </w:rPr>
              <w:t>-4 294,0</w:t>
            </w:r>
          </w:p>
        </w:tc>
        <w:tc>
          <w:tcPr>
            <w:tcW w:w="1224" w:type="dxa"/>
            <w:tcBorders>
              <w:top w:val="single" w:sz="4" w:space="0" w:color="auto"/>
              <w:left w:val="nil"/>
              <w:bottom w:val="single" w:sz="4" w:space="0" w:color="auto"/>
              <w:right w:val="single" w:sz="4" w:space="0" w:color="auto"/>
            </w:tcBorders>
            <w:noWrap/>
            <w:vAlign w:val="center"/>
          </w:tcPr>
          <w:p w14:paraId="50FC488F" w14:textId="41D664B9" w:rsidR="00215359" w:rsidRPr="007007A3" w:rsidRDefault="00215359" w:rsidP="00215359">
            <w:pPr>
              <w:spacing w:before="120" w:after="120"/>
              <w:jc w:val="right"/>
              <w:rPr>
                <w:rFonts w:ascii="Times New Roman" w:hAnsi="Times New Roman" w:cs="Times New Roman"/>
                <w:b/>
                <w:bCs/>
                <w:sz w:val="20"/>
                <w:szCs w:val="20"/>
              </w:rPr>
            </w:pPr>
            <w:r w:rsidRPr="00755B3B">
              <w:rPr>
                <w:rFonts w:ascii="Garamond" w:hAnsi="Garamond"/>
                <w:b/>
                <w:bCs/>
                <w:sz w:val="20"/>
                <w:szCs w:val="20"/>
              </w:rPr>
              <w:t>-3 242,6</w:t>
            </w:r>
          </w:p>
        </w:tc>
        <w:tc>
          <w:tcPr>
            <w:tcW w:w="1275" w:type="dxa"/>
            <w:tcBorders>
              <w:top w:val="single" w:sz="4" w:space="0" w:color="auto"/>
              <w:left w:val="nil"/>
              <w:bottom w:val="single" w:sz="4" w:space="0" w:color="auto"/>
              <w:right w:val="single" w:sz="4" w:space="0" w:color="auto"/>
            </w:tcBorders>
            <w:noWrap/>
            <w:vAlign w:val="center"/>
          </w:tcPr>
          <w:p w14:paraId="7978740E" w14:textId="123CBAC1"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75,5</w:t>
            </w:r>
          </w:p>
        </w:tc>
        <w:tc>
          <w:tcPr>
            <w:tcW w:w="997" w:type="dxa"/>
            <w:tcBorders>
              <w:top w:val="single" w:sz="4" w:space="0" w:color="auto"/>
              <w:left w:val="nil"/>
              <w:bottom w:val="single" w:sz="4" w:space="0" w:color="auto"/>
              <w:right w:val="single" w:sz="4" w:space="0" w:color="auto"/>
            </w:tcBorders>
            <w:noWrap/>
            <w:vAlign w:val="center"/>
          </w:tcPr>
          <w:p w14:paraId="1D0942AF" w14:textId="122A330F"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131,9</w:t>
            </w:r>
          </w:p>
        </w:tc>
      </w:tr>
      <w:tr w:rsidR="00215359" w:rsidRPr="003D514A" w14:paraId="7ED7811A" w14:textId="77777777" w:rsidTr="28F9800E">
        <w:trPr>
          <w:trHeight w:val="170"/>
          <w:jc w:val="center"/>
        </w:trPr>
        <w:tc>
          <w:tcPr>
            <w:tcW w:w="2047" w:type="dxa"/>
            <w:tcBorders>
              <w:top w:val="nil"/>
              <w:left w:val="single" w:sz="4" w:space="0" w:color="auto"/>
              <w:bottom w:val="single" w:sz="4" w:space="0" w:color="auto"/>
              <w:right w:val="single" w:sz="4" w:space="0" w:color="auto"/>
            </w:tcBorders>
            <w:vAlign w:val="center"/>
            <w:hideMark/>
          </w:tcPr>
          <w:p w14:paraId="245BF5FA" w14:textId="77777777" w:rsidR="00215359" w:rsidRPr="00602E3C" w:rsidRDefault="00215359" w:rsidP="00215359">
            <w:pPr>
              <w:keepNext/>
              <w:keepLines/>
              <w:spacing w:before="120" w:after="120"/>
              <w:jc w:val="right"/>
              <w:rPr>
                <w:rFonts w:ascii="Times New Roman" w:hAnsi="Times New Roman" w:cs="Times New Roman"/>
                <w:sz w:val="20"/>
                <w:szCs w:val="20"/>
              </w:rPr>
            </w:pPr>
            <w:r w:rsidRPr="5E04AD7D">
              <w:rPr>
                <w:rFonts w:ascii="Times New Roman" w:hAnsi="Times New Roman" w:cs="Times New Roman"/>
                <w:sz w:val="20"/>
                <w:szCs w:val="20"/>
              </w:rPr>
              <w:t>bevétel:</w:t>
            </w:r>
          </w:p>
        </w:tc>
        <w:tc>
          <w:tcPr>
            <w:tcW w:w="1067" w:type="dxa"/>
            <w:tcBorders>
              <w:top w:val="nil"/>
              <w:left w:val="single" w:sz="4" w:space="0" w:color="auto"/>
              <w:bottom w:val="single" w:sz="4" w:space="0" w:color="auto"/>
              <w:right w:val="single" w:sz="4" w:space="0" w:color="auto"/>
            </w:tcBorders>
            <w:noWrap/>
            <w:vAlign w:val="center"/>
          </w:tcPr>
          <w:p w14:paraId="76F83688" w14:textId="2086DCEF"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27 058,6</w:t>
            </w:r>
          </w:p>
        </w:tc>
        <w:tc>
          <w:tcPr>
            <w:tcW w:w="1134" w:type="dxa"/>
            <w:tcBorders>
              <w:top w:val="nil"/>
              <w:left w:val="nil"/>
              <w:bottom w:val="single" w:sz="4" w:space="0" w:color="auto"/>
              <w:right w:val="single" w:sz="4" w:space="0" w:color="auto"/>
            </w:tcBorders>
            <w:noWrap/>
            <w:vAlign w:val="center"/>
          </w:tcPr>
          <w:p w14:paraId="2B5100E2" w14:textId="70792ACB"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5 865,7</w:t>
            </w:r>
          </w:p>
        </w:tc>
        <w:tc>
          <w:tcPr>
            <w:tcW w:w="1217" w:type="dxa"/>
            <w:tcBorders>
              <w:top w:val="nil"/>
              <w:left w:val="nil"/>
              <w:bottom w:val="single" w:sz="4" w:space="0" w:color="auto"/>
              <w:right w:val="single" w:sz="4" w:space="0" w:color="auto"/>
            </w:tcBorders>
            <w:noWrap/>
            <w:vAlign w:val="center"/>
          </w:tcPr>
          <w:p w14:paraId="5D9BB325" w14:textId="034828B0"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21,7</w:t>
            </w:r>
          </w:p>
        </w:tc>
        <w:tc>
          <w:tcPr>
            <w:tcW w:w="1103" w:type="dxa"/>
            <w:tcBorders>
              <w:top w:val="nil"/>
              <w:left w:val="nil"/>
              <w:bottom w:val="single" w:sz="4" w:space="0" w:color="auto"/>
              <w:right w:val="single" w:sz="4" w:space="0" w:color="auto"/>
            </w:tcBorders>
            <w:noWrap/>
            <w:vAlign w:val="center"/>
          </w:tcPr>
          <w:p w14:paraId="39347280" w14:textId="73702449"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26 702,8</w:t>
            </w:r>
          </w:p>
        </w:tc>
        <w:tc>
          <w:tcPr>
            <w:tcW w:w="1224" w:type="dxa"/>
            <w:tcBorders>
              <w:top w:val="nil"/>
              <w:left w:val="nil"/>
              <w:bottom w:val="single" w:sz="4" w:space="0" w:color="auto"/>
              <w:right w:val="single" w:sz="4" w:space="0" w:color="auto"/>
            </w:tcBorders>
            <w:noWrap/>
            <w:vAlign w:val="center"/>
          </w:tcPr>
          <w:p w14:paraId="2C196D18" w14:textId="4A9C2B34"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6 855,7</w:t>
            </w:r>
          </w:p>
        </w:tc>
        <w:tc>
          <w:tcPr>
            <w:tcW w:w="1275" w:type="dxa"/>
            <w:tcBorders>
              <w:top w:val="nil"/>
              <w:left w:val="nil"/>
              <w:bottom w:val="single" w:sz="4" w:space="0" w:color="auto"/>
              <w:right w:val="single" w:sz="4" w:space="0" w:color="auto"/>
            </w:tcBorders>
            <w:noWrap/>
            <w:vAlign w:val="center"/>
          </w:tcPr>
          <w:p w14:paraId="667B0E54" w14:textId="774ECF40"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25,7</w:t>
            </w:r>
          </w:p>
        </w:tc>
        <w:tc>
          <w:tcPr>
            <w:tcW w:w="997" w:type="dxa"/>
            <w:tcBorders>
              <w:top w:val="nil"/>
              <w:left w:val="nil"/>
              <w:bottom w:val="single" w:sz="4" w:space="0" w:color="auto"/>
              <w:right w:val="single" w:sz="4" w:space="0" w:color="auto"/>
            </w:tcBorders>
            <w:noWrap/>
            <w:vAlign w:val="center"/>
          </w:tcPr>
          <w:p w14:paraId="19E199D7" w14:textId="16B6153E"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116,9</w:t>
            </w:r>
          </w:p>
        </w:tc>
      </w:tr>
      <w:tr w:rsidR="00215359" w:rsidRPr="003D514A" w14:paraId="7AE9D9AD" w14:textId="77777777" w:rsidTr="28F9800E">
        <w:trPr>
          <w:trHeight w:val="170"/>
          <w:jc w:val="center"/>
        </w:trPr>
        <w:tc>
          <w:tcPr>
            <w:tcW w:w="2047" w:type="dxa"/>
            <w:tcBorders>
              <w:top w:val="nil"/>
              <w:left w:val="single" w:sz="4" w:space="0" w:color="auto"/>
              <w:bottom w:val="single" w:sz="4" w:space="0" w:color="auto"/>
              <w:right w:val="single" w:sz="4" w:space="0" w:color="auto"/>
            </w:tcBorders>
            <w:vAlign w:val="center"/>
            <w:hideMark/>
          </w:tcPr>
          <w:p w14:paraId="2C80C4E6" w14:textId="77777777" w:rsidR="00215359" w:rsidRPr="00602E3C" w:rsidRDefault="00215359" w:rsidP="00215359">
            <w:pPr>
              <w:keepNext/>
              <w:keepLines/>
              <w:spacing w:before="120" w:after="120"/>
              <w:jc w:val="right"/>
              <w:rPr>
                <w:rFonts w:ascii="Times New Roman" w:hAnsi="Times New Roman" w:cs="Times New Roman"/>
                <w:sz w:val="20"/>
                <w:szCs w:val="20"/>
              </w:rPr>
            </w:pPr>
            <w:r w:rsidRPr="5E04AD7D">
              <w:rPr>
                <w:rFonts w:ascii="Times New Roman" w:hAnsi="Times New Roman" w:cs="Times New Roman"/>
                <w:sz w:val="20"/>
                <w:szCs w:val="20"/>
              </w:rPr>
              <w:t>kiadás:</w:t>
            </w:r>
          </w:p>
        </w:tc>
        <w:tc>
          <w:tcPr>
            <w:tcW w:w="1067" w:type="dxa"/>
            <w:tcBorders>
              <w:top w:val="nil"/>
              <w:left w:val="single" w:sz="4" w:space="0" w:color="auto"/>
              <w:bottom w:val="single" w:sz="4" w:space="0" w:color="auto"/>
              <w:right w:val="single" w:sz="4" w:space="0" w:color="auto"/>
            </w:tcBorders>
            <w:noWrap/>
            <w:vAlign w:val="center"/>
          </w:tcPr>
          <w:p w14:paraId="630E682B" w14:textId="23BCAE98"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32 558,7</w:t>
            </w:r>
          </w:p>
        </w:tc>
        <w:tc>
          <w:tcPr>
            <w:tcW w:w="1134" w:type="dxa"/>
            <w:tcBorders>
              <w:top w:val="nil"/>
              <w:left w:val="nil"/>
              <w:bottom w:val="single" w:sz="4" w:space="0" w:color="auto"/>
              <w:right w:val="single" w:sz="4" w:space="0" w:color="auto"/>
            </w:tcBorders>
            <w:noWrap/>
            <w:vAlign w:val="center"/>
          </w:tcPr>
          <w:p w14:paraId="3ABF37CD" w14:textId="6E281021"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8 324,2</w:t>
            </w:r>
          </w:p>
        </w:tc>
        <w:tc>
          <w:tcPr>
            <w:tcW w:w="1217" w:type="dxa"/>
            <w:tcBorders>
              <w:top w:val="nil"/>
              <w:left w:val="nil"/>
              <w:bottom w:val="single" w:sz="4" w:space="0" w:color="auto"/>
              <w:right w:val="single" w:sz="4" w:space="0" w:color="auto"/>
            </w:tcBorders>
            <w:noWrap/>
            <w:vAlign w:val="center"/>
          </w:tcPr>
          <w:p w14:paraId="54CC88D1" w14:textId="17DE70C3"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25,6</w:t>
            </w:r>
          </w:p>
        </w:tc>
        <w:tc>
          <w:tcPr>
            <w:tcW w:w="1103" w:type="dxa"/>
            <w:tcBorders>
              <w:top w:val="nil"/>
              <w:left w:val="nil"/>
              <w:bottom w:val="single" w:sz="4" w:space="0" w:color="auto"/>
              <w:right w:val="single" w:sz="4" w:space="0" w:color="auto"/>
            </w:tcBorders>
            <w:noWrap/>
            <w:vAlign w:val="center"/>
          </w:tcPr>
          <w:p w14:paraId="45A98F7E" w14:textId="37C8CB93"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30 996,9</w:t>
            </w:r>
          </w:p>
        </w:tc>
        <w:tc>
          <w:tcPr>
            <w:tcW w:w="1224" w:type="dxa"/>
            <w:tcBorders>
              <w:top w:val="nil"/>
              <w:left w:val="nil"/>
              <w:bottom w:val="single" w:sz="4" w:space="0" w:color="auto"/>
              <w:right w:val="single" w:sz="4" w:space="0" w:color="auto"/>
            </w:tcBorders>
            <w:noWrap/>
            <w:vAlign w:val="center"/>
          </w:tcPr>
          <w:p w14:paraId="14F2BF40" w14:textId="21E530C3"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10 098,3</w:t>
            </w:r>
          </w:p>
        </w:tc>
        <w:tc>
          <w:tcPr>
            <w:tcW w:w="1275" w:type="dxa"/>
            <w:tcBorders>
              <w:top w:val="nil"/>
              <w:left w:val="nil"/>
              <w:bottom w:val="single" w:sz="4" w:space="0" w:color="auto"/>
              <w:right w:val="single" w:sz="4" w:space="0" w:color="auto"/>
            </w:tcBorders>
            <w:noWrap/>
            <w:vAlign w:val="center"/>
          </w:tcPr>
          <w:p w14:paraId="3F9FB1FF" w14:textId="5422FC92"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32,6</w:t>
            </w:r>
          </w:p>
        </w:tc>
        <w:tc>
          <w:tcPr>
            <w:tcW w:w="997" w:type="dxa"/>
            <w:tcBorders>
              <w:top w:val="nil"/>
              <w:left w:val="nil"/>
              <w:bottom w:val="single" w:sz="4" w:space="0" w:color="auto"/>
              <w:right w:val="single" w:sz="4" w:space="0" w:color="auto"/>
            </w:tcBorders>
            <w:noWrap/>
            <w:vAlign w:val="center"/>
          </w:tcPr>
          <w:p w14:paraId="6C7C62DE" w14:textId="073F2827"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121,3</w:t>
            </w:r>
          </w:p>
        </w:tc>
      </w:tr>
      <w:tr w:rsidR="00215359" w:rsidRPr="003D514A" w14:paraId="1F6C0145" w14:textId="77777777" w:rsidTr="28F9800E">
        <w:trPr>
          <w:trHeight w:val="170"/>
          <w:jc w:val="center"/>
        </w:trPr>
        <w:tc>
          <w:tcPr>
            <w:tcW w:w="2047" w:type="dxa"/>
            <w:tcBorders>
              <w:top w:val="nil"/>
              <w:left w:val="single" w:sz="4" w:space="0" w:color="auto"/>
              <w:bottom w:val="single" w:sz="4" w:space="0" w:color="auto"/>
              <w:right w:val="single" w:sz="4" w:space="0" w:color="auto"/>
            </w:tcBorders>
            <w:vAlign w:val="center"/>
            <w:hideMark/>
          </w:tcPr>
          <w:p w14:paraId="7850CBF0" w14:textId="77777777" w:rsidR="00215359" w:rsidRPr="00602E3C" w:rsidRDefault="00215359" w:rsidP="00215359">
            <w:pPr>
              <w:keepNext/>
              <w:keepLines/>
              <w:spacing w:before="120" w:after="120"/>
              <w:rPr>
                <w:rFonts w:ascii="Times New Roman" w:hAnsi="Times New Roman" w:cs="Times New Roman"/>
                <w:b/>
                <w:bCs/>
                <w:sz w:val="20"/>
                <w:szCs w:val="20"/>
              </w:rPr>
            </w:pPr>
            <w:r w:rsidRPr="5E04AD7D">
              <w:rPr>
                <w:rFonts w:ascii="Times New Roman" w:hAnsi="Times New Roman" w:cs="Times New Roman"/>
                <w:b/>
                <w:bCs/>
                <w:sz w:val="20"/>
                <w:szCs w:val="20"/>
              </w:rPr>
              <w:t>Elkülönített állami pénzalapok egyenlege</w:t>
            </w:r>
          </w:p>
        </w:tc>
        <w:tc>
          <w:tcPr>
            <w:tcW w:w="1067" w:type="dxa"/>
            <w:tcBorders>
              <w:top w:val="nil"/>
              <w:left w:val="single" w:sz="4" w:space="0" w:color="auto"/>
              <w:bottom w:val="single" w:sz="4" w:space="0" w:color="auto"/>
              <w:right w:val="single" w:sz="4" w:space="0" w:color="auto"/>
            </w:tcBorders>
            <w:noWrap/>
            <w:vAlign w:val="center"/>
          </w:tcPr>
          <w:p w14:paraId="4EACAD66" w14:textId="5C6E5DEB" w:rsidR="00215359" w:rsidRPr="007007A3" w:rsidRDefault="00215359" w:rsidP="00215359">
            <w:pPr>
              <w:spacing w:before="120" w:after="120"/>
              <w:jc w:val="right"/>
              <w:rPr>
                <w:rFonts w:ascii="Times New Roman" w:hAnsi="Times New Roman" w:cs="Times New Roman"/>
                <w:b/>
                <w:bCs/>
                <w:sz w:val="20"/>
                <w:szCs w:val="20"/>
              </w:rPr>
            </w:pPr>
            <w:r w:rsidRPr="00755B3B">
              <w:rPr>
                <w:rFonts w:ascii="Garamond" w:hAnsi="Garamond"/>
                <w:b/>
                <w:bCs/>
                <w:sz w:val="20"/>
                <w:szCs w:val="20"/>
              </w:rPr>
              <w:t>7,3</w:t>
            </w:r>
          </w:p>
        </w:tc>
        <w:tc>
          <w:tcPr>
            <w:tcW w:w="1134" w:type="dxa"/>
            <w:tcBorders>
              <w:top w:val="nil"/>
              <w:left w:val="nil"/>
              <w:bottom w:val="single" w:sz="4" w:space="0" w:color="auto"/>
              <w:right w:val="single" w:sz="4" w:space="0" w:color="auto"/>
            </w:tcBorders>
            <w:noWrap/>
            <w:vAlign w:val="center"/>
          </w:tcPr>
          <w:p w14:paraId="5184FB98" w14:textId="12FBA645" w:rsidR="00215359" w:rsidRPr="007007A3" w:rsidRDefault="00215359" w:rsidP="00215359">
            <w:pPr>
              <w:spacing w:before="120" w:after="120"/>
              <w:jc w:val="right"/>
              <w:rPr>
                <w:rFonts w:ascii="Times New Roman" w:hAnsi="Times New Roman" w:cs="Times New Roman"/>
                <w:b/>
                <w:bCs/>
                <w:sz w:val="20"/>
                <w:szCs w:val="20"/>
              </w:rPr>
            </w:pPr>
            <w:r w:rsidRPr="00755B3B">
              <w:rPr>
                <w:rFonts w:ascii="Garamond" w:hAnsi="Garamond"/>
                <w:b/>
                <w:bCs/>
                <w:sz w:val="20"/>
                <w:szCs w:val="20"/>
              </w:rPr>
              <w:t>19,</w:t>
            </w:r>
            <w:r>
              <w:rPr>
                <w:rFonts w:ascii="Garamond" w:hAnsi="Garamond"/>
                <w:b/>
                <w:bCs/>
                <w:sz w:val="20"/>
                <w:szCs w:val="20"/>
              </w:rPr>
              <w:t>3</w:t>
            </w:r>
          </w:p>
        </w:tc>
        <w:tc>
          <w:tcPr>
            <w:tcW w:w="1217" w:type="dxa"/>
            <w:tcBorders>
              <w:top w:val="nil"/>
              <w:left w:val="nil"/>
              <w:bottom w:val="single" w:sz="4" w:space="0" w:color="auto"/>
              <w:right w:val="single" w:sz="4" w:space="0" w:color="auto"/>
            </w:tcBorders>
            <w:noWrap/>
            <w:vAlign w:val="center"/>
          </w:tcPr>
          <w:p w14:paraId="75B4D261" w14:textId="68CF21C9"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26</w:t>
            </w:r>
            <w:r>
              <w:rPr>
                <w:rFonts w:ascii="Garamond" w:hAnsi="Garamond"/>
                <w:sz w:val="20"/>
                <w:szCs w:val="20"/>
              </w:rPr>
              <w:t>4,4</w:t>
            </w:r>
          </w:p>
        </w:tc>
        <w:tc>
          <w:tcPr>
            <w:tcW w:w="1103" w:type="dxa"/>
            <w:tcBorders>
              <w:top w:val="nil"/>
              <w:left w:val="nil"/>
              <w:bottom w:val="single" w:sz="4" w:space="0" w:color="auto"/>
              <w:right w:val="single" w:sz="4" w:space="0" w:color="auto"/>
            </w:tcBorders>
            <w:noWrap/>
            <w:vAlign w:val="center"/>
          </w:tcPr>
          <w:p w14:paraId="34F7BD1D" w14:textId="3551C8A3" w:rsidR="00215359" w:rsidRPr="007007A3" w:rsidRDefault="00215359" w:rsidP="00215359">
            <w:pPr>
              <w:spacing w:before="120" w:after="120"/>
              <w:jc w:val="right"/>
              <w:rPr>
                <w:rFonts w:ascii="Times New Roman" w:hAnsi="Times New Roman" w:cs="Times New Roman"/>
                <w:b/>
                <w:bCs/>
                <w:sz w:val="20"/>
                <w:szCs w:val="20"/>
              </w:rPr>
            </w:pPr>
            <w:r w:rsidRPr="00755B3B">
              <w:rPr>
                <w:rFonts w:ascii="Garamond" w:hAnsi="Garamond"/>
                <w:b/>
                <w:bCs/>
                <w:sz w:val="20"/>
                <w:szCs w:val="20"/>
              </w:rPr>
              <w:t>75,5</w:t>
            </w:r>
          </w:p>
        </w:tc>
        <w:tc>
          <w:tcPr>
            <w:tcW w:w="1224" w:type="dxa"/>
            <w:tcBorders>
              <w:top w:val="nil"/>
              <w:left w:val="nil"/>
              <w:bottom w:val="single" w:sz="4" w:space="0" w:color="auto"/>
              <w:right w:val="single" w:sz="4" w:space="0" w:color="auto"/>
            </w:tcBorders>
            <w:noWrap/>
            <w:vAlign w:val="center"/>
          </w:tcPr>
          <w:p w14:paraId="1F1ECE57" w14:textId="772CB04E" w:rsidR="00215359" w:rsidRPr="007007A3" w:rsidRDefault="00215359" w:rsidP="00215359">
            <w:pPr>
              <w:spacing w:before="120" w:after="120"/>
              <w:jc w:val="right"/>
              <w:rPr>
                <w:rFonts w:ascii="Times New Roman" w:hAnsi="Times New Roman" w:cs="Times New Roman"/>
                <w:b/>
                <w:bCs/>
                <w:sz w:val="20"/>
                <w:szCs w:val="20"/>
              </w:rPr>
            </w:pPr>
            <w:r w:rsidRPr="00755B3B">
              <w:rPr>
                <w:rFonts w:ascii="Garamond" w:hAnsi="Garamond"/>
                <w:b/>
                <w:bCs/>
                <w:sz w:val="20"/>
                <w:szCs w:val="20"/>
              </w:rPr>
              <w:t>12,5</w:t>
            </w:r>
          </w:p>
        </w:tc>
        <w:tc>
          <w:tcPr>
            <w:tcW w:w="1275" w:type="dxa"/>
            <w:tcBorders>
              <w:top w:val="nil"/>
              <w:left w:val="nil"/>
              <w:bottom w:val="single" w:sz="4" w:space="0" w:color="auto"/>
              <w:right w:val="single" w:sz="4" w:space="0" w:color="auto"/>
            </w:tcBorders>
            <w:noWrap/>
            <w:vAlign w:val="center"/>
          </w:tcPr>
          <w:p w14:paraId="7BDE9A0C" w14:textId="7C316C08"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16,6</w:t>
            </w:r>
          </w:p>
        </w:tc>
        <w:tc>
          <w:tcPr>
            <w:tcW w:w="997" w:type="dxa"/>
            <w:tcBorders>
              <w:top w:val="nil"/>
              <w:left w:val="nil"/>
              <w:bottom w:val="single" w:sz="4" w:space="0" w:color="auto"/>
              <w:right w:val="single" w:sz="4" w:space="0" w:color="auto"/>
            </w:tcBorders>
            <w:noWrap/>
            <w:vAlign w:val="center"/>
          </w:tcPr>
          <w:p w14:paraId="25C8B246" w14:textId="1FDF2521"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64,</w:t>
            </w:r>
            <w:r>
              <w:rPr>
                <w:rFonts w:ascii="Garamond" w:hAnsi="Garamond"/>
                <w:sz w:val="20"/>
                <w:szCs w:val="20"/>
              </w:rPr>
              <w:t>8</w:t>
            </w:r>
          </w:p>
        </w:tc>
      </w:tr>
      <w:tr w:rsidR="00215359" w:rsidRPr="003D514A" w14:paraId="0BEB8BDA" w14:textId="77777777" w:rsidTr="28F9800E">
        <w:trPr>
          <w:trHeight w:val="170"/>
          <w:jc w:val="center"/>
        </w:trPr>
        <w:tc>
          <w:tcPr>
            <w:tcW w:w="2047" w:type="dxa"/>
            <w:tcBorders>
              <w:top w:val="nil"/>
              <w:left w:val="single" w:sz="4" w:space="0" w:color="auto"/>
              <w:bottom w:val="single" w:sz="4" w:space="0" w:color="auto"/>
              <w:right w:val="single" w:sz="4" w:space="0" w:color="auto"/>
            </w:tcBorders>
            <w:vAlign w:val="center"/>
            <w:hideMark/>
          </w:tcPr>
          <w:p w14:paraId="0D7985BE" w14:textId="77777777" w:rsidR="00215359" w:rsidRPr="00602E3C" w:rsidRDefault="00215359" w:rsidP="00215359">
            <w:pPr>
              <w:keepNext/>
              <w:keepLines/>
              <w:spacing w:before="120" w:after="120"/>
              <w:jc w:val="right"/>
              <w:rPr>
                <w:rFonts w:ascii="Times New Roman" w:hAnsi="Times New Roman" w:cs="Times New Roman"/>
                <w:sz w:val="20"/>
                <w:szCs w:val="20"/>
              </w:rPr>
            </w:pPr>
            <w:r w:rsidRPr="5E04AD7D">
              <w:rPr>
                <w:rFonts w:ascii="Times New Roman" w:hAnsi="Times New Roman" w:cs="Times New Roman"/>
                <w:sz w:val="20"/>
                <w:szCs w:val="20"/>
              </w:rPr>
              <w:t>bevétel:</w:t>
            </w:r>
          </w:p>
        </w:tc>
        <w:tc>
          <w:tcPr>
            <w:tcW w:w="1067" w:type="dxa"/>
            <w:tcBorders>
              <w:top w:val="nil"/>
              <w:left w:val="single" w:sz="4" w:space="0" w:color="auto"/>
              <w:bottom w:val="single" w:sz="4" w:space="0" w:color="auto"/>
              <w:right w:val="single" w:sz="4" w:space="0" w:color="auto"/>
            </w:tcBorders>
            <w:noWrap/>
            <w:vAlign w:val="center"/>
          </w:tcPr>
          <w:p w14:paraId="0A0C7D0E" w14:textId="701A32EC"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838,2</w:t>
            </w:r>
          </w:p>
        </w:tc>
        <w:tc>
          <w:tcPr>
            <w:tcW w:w="1134" w:type="dxa"/>
            <w:tcBorders>
              <w:top w:val="nil"/>
              <w:left w:val="nil"/>
              <w:bottom w:val="single" w:sz="4" w:space="0" w:color="auto"/>
              <w:right w:val="single" w:sz="4" w:space="0" w:color="auto"/>
            </w:tcBorders>
            <w:noWrap/>
            <w:vAlign w:val="center"/>
          </w:tcPr>
          <w:p w14:paraId="1C2629F3" w14:textId="535F301C"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190,9</w:t>
            </w:r>
          </w:p>
        </w:tc>
        <w:tc>
          <w:tcPr>
            <w:tcW w:w="1217" w:type="dxa"/>
            <w:tcBorders>
              <w:top w:val="nil"/>
              <w:left w:val="nil"/>
              <w:bottom w:val="single" w:sz="4" w:space="0" w:color="auto"/>
              <w:right w:val="single" w:sz="4" w:space="0" w:color="auto"/>
            </w:tcBorders>
            <w:noWrap/>
            <w:vAlign w:val="center"/>
          </w:tcPr>
          <w:p w14:paraId="7F241B07" w14:textId="0378792C"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22,8</w:t>
            </w:r>
          </w:p>
        </w:tc>
        <w:tc>
          <w:tcPr>
            <w:tcW w:w="1103" w:type="dxa"/>
            <w:tcBorders>
              <w:top w:val="nil"/>
              <w:left w:val="nil"/>
              <w:bottom w:val="single" w:sz="4" w:space="0" w:color="auto"/>
              <w:right w:val="single" w:sz="4" w:space="0" w:color="auto"/>
            </w:tcBorders>
            <w:noWrap/>
            <w:vAlign w:val="center"/>
          </w:tcPr>
          <w:p w14:paraId="272DCDE3" w14:textId="4003A27B"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918,3</w:t>
            </w:r>
          </w:p>
        </w:tc>
        <w:tc>
          <w:tcPr>
            <w:tcW w:w="1224" w:type="dxa"/>
            <w:tcBorders>
              <w:top w:val="nil"/>
              <w:left w:val="nil"/>
              <w:bottom w:val="single" w:sz="4" w:space="0" w:color="auto"/>
              <w:right w:val="single" w:sz="4" w:space="0" w:color="auto"/>
            </w:tcBorders>
            <w:noWrap/>
            <w:vAlign w:val="center"/>
          </w:tcPr>
          <w:p w14:paraId="23403823" w14:textId="6754FADC"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231,2</w:t>
            </w:r>
          </w:p>
        </w:tc>
        <w:tc>
          <w:tcPr>
            <w:tcW w:w="1275" w:type="dxa"/>
            <w:tcBorders>
              <w:top w:val="nil"/>
              <w:left w:val="nil"/>
              <w:bottom w:val="single" w:sz="4" w:space="0" w:color="auto"/>
              <w:right w:val="single" w:sz="4" w:space="0" w:color="auto"/>
            </w:tcBorders>
            <w:noWrap/>
            <w:vAlign w:val="center"/>
          </w:tcPr>
          <w:p w14:paraId="71B652CE" w14:textId="31ED5EA7"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25,2</w:t>
            </w:r>
          </w:p>
        </w:tc>
        <w:tc>
          <w:tcPr>
            <w:tcW w:w="997" w:type="dxa"/>
            <w:tcBorders>
              <w:top w:val="nil"/>
              <w:left w:val="nil"/>
              <w:bottom w:val="single" w:sz="4" w:space="0" w:color="auto"/>
              <w:right w:val="single" w:sz="4" w:space="0" w:color="auto"/>
            </w:tcBorders>
            <w:noWrap/>
            <w:vAlign w:val="center"/>
          </w:tcPr>
          <w:p w14:paraId="7A939C99" w14:textId="27BFBF3E"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121,1</w:t>
            </w:r>
          </w:p>
        </w:tc>
      </w:tr>
      <w:tr w:rsidR="00215359" w:rsidRPr="00190176" w14:paraId="21851932" w14:textId="77777777" w:rsidTr="28F9800E">
        <w:trPr>
          <w:trHeight w:val="170"/>
          <w:jc w:val="center"/>
        </w:trPr>
        <w:tc>
          <w:tcPr>
            <w:tcW w:w="2047" w:type="dxa"/>
            <w:tcBorders>
              <w:top w:val="nil"/>
              <w:left w:val="single" w:sz="4" w:space="0" w:color="auto"/>
              <w:bottom w:val="single" w:sz="4" w:space="0" w:color="auto"/>
              <w:right w:val="single" w:sz="4" w:space="0" w:color="auto"/>
            </w:tcBorders>
            <w:vAlign w:val="center"/>
            <w:hideMark/>
          </w:tcPr>
          <w:p w14:paraId="6660DDD2" w14:textId="77777777" w:rsidR="00215359" w:rsidRPr="00602E3C" w:rsidRDefault="00215359" w:rsidP="00215359">
            <w:pPr>
              <w:keepNext/>
              <w:keepLines/>
              <w:spacing w:before="120" w:after="120"/>
              <w:jc w:val="right"/>
              <w:rPr>
                <w:rFonts w:ascii="Times New Roman" w:hAnsi="Times New Roman" w:cs="Times New Roman"/>
                <w:sz w:val="20"/>
                <w:szCs w:val="20"/>
              </w:rPr>
            </w:pPr>
            <w:r w:rsidRPr="5E04AD7D">
              <w:rPr>
                <w:rFonts w:ascii="Times New Roman" w:hAnsi="Times New Roman" w:cs="Times New Roman"/>
                <w:sz w:val="20"/>
                <w:szCs w:val="20"/>
              </w:rPr>
              <w:t>kiadás:</w:t>
            </w:r>
          </w:p>
        </w:tc>
        <w:tc>
          <w:tcPr>
            <w:tcW w:w="1067" w:type="dxa"/>
            <w:tcBorders>
              <w:top w:val="nil"/>
              <w:left w:val="single" w:sz="4" w:space="0" w:color="auto"/>
              <w:bottom w:val="single" w:sz="4" w:space="0" w:color="auto"/>
              <w:right w:val="single" w:sz="4" w:space="0" w:color="auto"/>
            </w:tcBorders>
            <w:noWrap/>
            <w:vAlign w:val="center"/>
          </w:tcPr>
          <w:p w14:paraId="2D2AA0E6" w14:textId="7D50C307"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830,9</w:t>
            </w:r>
          </w:p>
        </w:tc>
        <w:tc>
          <w:tcPr>
            <w:tcW w:w="1134" w:type="dxa"/>
            <w:tcBorders>
              <w:top w:val="nil"/>
              <w:left w:val="nil"/>
              <w:bottom w:val="single" w:sz="4" w:space="0" w:color="auto"/>
              <w:right w:val="single" w:sz="4" w:space="0" w:color="auto"/>
            </w:tcBorders>
            <w:noWrap/>
            <w:vAlign w:val="center"/>
          </w:tcPr>
          <w:p w14:paraId="576B68B3" w14:textId="084369DB"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171,6</w:t>
            </w:r>
          </w:p>
        </w:tc>
        <w:tc>
          <w:tcPr>
            <w:tcW w:w="1217" w:type="dxa"/>
            <w:tcBorders>
              <w:top w:val="nil"/>
              <w:left w:val="nil"/>
              <w:bottom w:val="single" w:sz="4" w:space="0" w:color="auto"/>
              <w:right w:val="single" w:sz="4" w:space="0" w:color="auto"/>
            </w:tcBorders>
            <w:noWrap/>
            <w:vAlign w:val="center"/>
          </w:tcPr>
          <w:p w14:paraId="4E9C905D" w14:textId="558E4404"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20,7</w:t>
            </w:r>
          </w:p>
        </w:tc>
        <w:tc>
          <w:tcPr>
            <w:tcW w:w="1103" w:type="dxa"/>
            <w:tcBorders>
              <w:top w:val="nil"/>
              <w:left w:val="nil"/>
              <w:bottom w:val="single" w:sz="4" w:space="0" w:color="auto"/>
              <w:right w:val="single" w:sz="4" w:space="0" w:color="auto"/>
            </w:tcBorders>
            <w:noWrap/>
            <w:vAlign w:val="center"/>
          </w:tcPr>
          <w:p w14:paraId="675B2ADB" w14:textId="624433C4"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842,8</w:t>
            </w:r>
          </w:p>
        </w:tc>
        <w:tc>
          <w:tcPr>
            <w:tcW w:w="1224" w:type="dxa"/>
            <w:tcBorders>
              <w:top w:val="nil"/>
              <w:left w:val="nil"/>
              <w:bottom w:val="single" w:sz="4" w:space="0" w:color="auto"/>
              <w:right w:val="single" w:sz="4" w:space="0" w:color="auto"/>
            </w:tcBorders>
            <w:noWrap/>
            <w:vAlign w:val="center"/>
          </w:tcPr>
          <w:p w14:paraId="2F88030E" w14:textId="4DC603E1"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218,7</w:t>
            </w:r>
          </w:p>
        </w:tc>
        <w:tc>
          <w:tcPr>
            <w:tcW w:w="1275" w:type="dxa"/>
            <w:tcBorders>
              <w:top w:val="nil"/>
              <w:left w:val="nil"/>
              <w:bottom w:val="single" w:sz="4" w:space="0" w:color="auto"/>
              <w:right w:val="single" w:sz="4" w:space="0" w:color="auto"/>
            </w:tcBorders>
            <w:noWrap/>
            <w:vAlign w:val="center"/>
          </w:tcPr>
          <w:p w14:paraId="0FE9EE5B" w14:textId="657362B5"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25,9</w:t>
            </w:r>
          </w:p>
        </w:tc>
        <w:tc>
          <w:tcPr>
            <w:tcW w:w="997" w:type="dxa"/>
            <w:tcBorders>
              <w:top w:val="nil"/>
              <w:left w:val="nil"/>
              <w:bottom w:val="single" w:sz="4" w:space="0" w:color="auto"/>
              <w:right w:val="single" w:sz="4" w:space="0" w:color="auto"/>
            </w:tcBorders>
            <w:noWrap/>
            <w:vAlign w:val="center"/>
          </w:tcPr>
          <w:p w14:paraId="1C69CA5D" w14:textId="5F542013"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127,4</w:t>
            </w:r>
          </w:p>
        </w:tc>
      </w:tr>
      <w:tr w:rsidR="00215359" w:rsidRPr="003D514A" w14:paraId="60B524D9" w14:textId="77777777" w:rsidTr="28F9800E">
        <w:trPr>
          <w:trHeight w:val="170"/>
          <w:jc w:val="center"/>
        </w:trPr>
        <w:tc>
          <w:tcPr>
            <w:tcW w:w="2047" w:type="dxa"/>
            <w:tcBorders>
              <w:top w:val="nil"/>
              <w:left w:val="single" w:sz="4" w:space="0" w:color="auto"/>
              <w:bottom w:val="single" w:sz="4" w:space="0" w:color="auto"/>
              <w:right w:val="single" w:sz="4" w:space="0" w:color="auto"/>
            </w:tcBorders>
            <w:vAlign w:val="center"/>
            <w:hideMark/>
          </w:tcPr>
          <w:p w14:paraId="0A244A9D" w14:textId="77777777" w:rsidR="00215359" w:rsidRPr="00602E3C" w:rsidRDefault="00215359" w:rsidP="00215359">
            <w:pPr>
              <w:keepNext/>
              <w:keepLines/>
              <w:spacing w:before="120" w:after="120"/>
              <w:rPr>
                <w:rFonts w:ascii="Times New Roman" w:hAnsi="Times New Roman" w:cs="Times New Roman"/>
                <w:b/>
                <w:bCs/>
                <w:sz w:val="20"/>
                <w:szCs w:val="20"/>
              </w:rPr>
            </w:pPr>
            <w:r w:rsidRPr="5E04AD7D">
              <w:rPr>
                <w:rFonts w:ascii="Times New Roman" w:hAnsi="Times New Roman" w:cs="Times New Roman"/>
                <w:b/>
                <w:bCs/>
                <w:sz w:val="20"/>
                <w:szCs w:val="20"/>
              </w:rPr>
              <w:t>Társadalombiztosítás pénzügyi alapjainak egyenlege</w:t>
            </w:r>
          </w:p>
        </w:tc>
        <w:tc>
          <w:tcPr>
            <w:tcW w:w="1067" w:type="dxa"/>
            <w:tcBorders>
              <w:top w:val="nil"/>
              <w:left w:val="single" w:sz="4" w:space="0" w:color="auto"/>
              <w:bottom w:val="single" w:sz="4" w:space="0" w:color="auto"/>
              <w:right w:val="single" w:sz="4" w:space="0" w:color="auto"/>
            </w:tcBorders>
            <w:noWrap/>
            <w:vAlign w:val="center"/>
          </w:tcPr>
          <w:p w14:paraId="2D4F2C66" w14:textId="1C31EF74" w:rsidR="00215359" w:rsidRPr="007007A3" w:rsidRDefault="00215359" w:rsidP="00215359">
            <w:pPr>
              <w:spacing w:before="120" w:after="120"/>
              <w:jc w:val="right"/>
              <w:rPr>
                <w:rFonts w:ascii="Times New Roman" w:hAnsi="Times New Roman" w:cs="Times New Roman"/>
                <w:b/>
                <w:bCs/>
                <w:sz w:val="20"/>
                <w:szCs w:val="20"/>
              </w:rPr>
            </w:pPr>
            <w:r w:rsidRPr="00755B3B">
              <w:rPr>
                <w:rFonts w:ascii="Garamond" w:hAnsi="Garamond"/>
                <w:b/>
                <w:bCs/>
                <w:sz w:val="20"/>
                <w:szCs w:val="20"/>
              </w:rPr>
              <w:t>-245,9</w:t>
            </w:r>
          </w:p>
        </w:tc>
        <w:tc>
          <w:tcPr>
            <w:tcW w:w="1134" w:type="dxa"/>
            <w:tcBorders>
              <w:top w:val="nil"/>
              <w:left w:val="nil"/>
              <w:bottom w:val="single" w:sz="4" w:space="0" w:color="auto"/>
              <w:right w:val="single" w:sz="4" w:space="0" w:color="auto"/>
            </w:tcBorders>
            <w:noWrap/>
            <w:vAlign w:val="center"/>
          </w:tcPr>
          <w:p w14:paraId="516703D8" w14:textId="3E2283B5" w:rsidR="00215359" w:rsidRPr="007007A3" w:rsidRDefault="00215359" w:rsidP="00215359">
            <w:pPr>
              <w:spacing w:before="120" w:after="120"/>
              <w:jc w:val="right"/>
              <w:rPr>
                <w:rFonts w:ascii="Times New Roman" w:hAnsi="Times New Roman" w:cs="Times New Roman"/>
                <w:b/>
                <w:bCs/>
                <w:sz w:val="20"/>
                <w:szCs w:val="20"/>
              </w:rPr>
            </w:pPr>
            <w:r w:rsidRPr="00755B3B">
              <w:rPr>
                <w:rFonts w:ascii="Garamond" w:hAnsi="Garamond"/>
                <w:b/>
                <w:bCs/>
                <w:sz w:val="20"/>
                <w:szCs w:val="20"/>
              </w:rPr>
              <w:t>-115,0</w:t>
            </w:r>
          </w:p>
        </w:tc>
        <w:tc>
          <w:tcPr>
            <w:tcW w:w="1217" w:type="dxa"/>
            <w:tcBorders>
              <w:top w:val="nil"/>
              <w:left w:val="nil"/>
              <w:bottom w:val="single" w:sz="4" w:space="0" w:color="auto"/>
              <w:right w:val="single" w:sz="4" w:space="0" w:color="auto"/>
            </w:tcBorders>
            <w:noWrap/>
            <w:vAlign w:val="center"/>
          </w:tcPr>
          <w:p w14:paraId="780B578C" w14:textId="698E5BF5"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46,8</w:t>
            </w:r>
          </w:p>
        </w:tc>
        <w:tc>
          <w:tcPr>
            <w:tcW w:w="1103" w:type="dxa"/>
            <w:tcBorders>
              <w:top w:val="nil"/>
              <w:left w:val="nil"/>
              <w:bottom w:val="single" w:sz="4" w:space="0" w:color="auto"/>
              <w:right w:val="single" w:sz="4" w:space="0" w:color="auto"/>
            </w:tcBorders>
            <w:noWrap/>
            <w:vAlign w:val="center"/>
          </w:tcPr>
          <w:p w14:paraId="662A8D25" w14:textId="37ED22D9" w:rsidR="00215359" w:rsidRPr="007007A3" w:rsidRDefault="00215359" w:rsidP="00215359">
            <w:pPr>
              <w:spacing w:before="120" w:after="120"/>
              <w:jc w:val="right"/>
              <w:rPr>
                <w:rFonts w:ascii="Times New Roman" w:hAnsi="Times New Roman" w:cs="Times New Roman"/>
                <w:b/>
                <w:bCs/>
                <w:sz w:val="20"/>
                <w:szCs w:val="20"/>
              </w:rPr>
            </w:pPr>
            <w:r w:rsidRPr="00755B3B">
              <w:rPr>
                <w:rFonts w:ascii="Garamond" w:hAnsi="Garamond"/>
                <w:b/>
                <w:bCs/>
                <w:sz w:val="20"/>
                <w:szCs w:val="20"/>
              </w:rPr>
              <w:t>0,0</w:t>
            </w:r>
          </w:p>
        </w:tc>
        <w:tc>
          <w:tcPr>
            <w:tcW w:w="1224" w:type="dxa"/>
            <w:tcBorders>
              <w:top w:val="nil"/>
              <w:left w:val="nil"/>
              <w:bottom w:val="single" w:sz="4" w:space="0" w:color="auto"/>
              <w:right w:val="single" w:sz="4" w:space="0" w:color="auto"/>
            </w:tcBorders>
            <w:noWrap/>
            <w:vAlign w:val="center"/>
          </w:tcPr>
          <w:p w14:paraId="0975A4E1" w14:textId="0CBA945F" w:rsidR="00215359" w:rsidRPr="007007A3" w:rsidRDefault="00215359" w:rsidP="00215359">
            <w:pPr>
              <w:spacing w:before="120" w:after="120"/>
              <w:jc w:val="right"/>
              <w:rPr>
                <w:rFonts w:ascii="Times New Roman" w:hAnsi="Times New Roman" w:cs="Times New Roman"/>
                <w:b/>
                <w:bCs/>
                <w:sz w:val="20"/>
                <w:szCs w:val="20"/>
              </w:rPr>
            </w:pPr>
            <w:r w:rsidRPr="00755B3B">
              <w:rPr>
                <w:rFonts w:ascii="Garamond" w:hAnsi="Garamond"/>
                <w:b/>
                <w:bCs/>
                <w:sz w:val="20"/>
                <w:szCs w:val="20"/>
              </w:rPr>
              <w:t>-190,3</w:t>
            </w:r>
          </w:p>
        </w:tc>
        <w:tc>
          <w:tcPr>
            <w:tcW w:w="1275" w:type="dxa"/>
            <w:tcBorders>
              <w:top w:val="nil"/>
              <w:left w:val="nil"/>
              <w:bottom w:val="single" w:sz="4" w:space="0" w:color="auto"/>
              <w:right w:val="single" w:sz="4" w:space="0" w:color="auto"/>
            </w:tcBorders>
            <w:noWrap/>
            <w:vAlign w:val="center"/>
          </w:tcPr>
          <w:p w14:paraId="0142F674" w14:textId="77777777" w:rsidR="00215359" w:rsidRPr="007007A3" w:rsidRDefault="00215359" w:rsidP="00215359">
            <w:pPr>
              <w:spacing w:before="120" w:after="120"/>
              <w:jc w:val="right"/>
              <w:rPr>
                <w:rFonts w:ascii="Times New Roman" w:hAnsi="Times New Roman" w:cs="Times New Roman"/>
                <w:sz w:val="20"/>
                <w:szCs w:val="20"/>
              </w:rPr>
            </w:pPr>
          </w:p>
        </w:tc>
        <w:tc>
          <w:tcPr>
            <w:tcW w:w="997" w:type="dxa"/>
            <w:tcBorders>
              <w:top w:val="nil"/>
              <w:left w:val="nil"/>
              <w:bottom w:val="single" w:sz="4" w:space="0" w:color="auto"/>
              <w:right w:val="single" w:sz="4" w:space="0" w:color="auto"/>
            </w:tcBorders>
            <w:noWrap/>
            <w:vAlign w:val="center"/>
          </w:tcPr>
          <w:p w14:paraId="00F561CA" w14:textId="1D997E30"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165,5</w:t>
            </w:r>
          </w:p>
        </w:tc>
      </w:tr>
      <w:tr w:rsidR="00215359" w:rsidRPr="003D514A" w14:paraId="6196F208" w14:textId="77777777" w:rsidTr="28F9800E">
        <w:trPr>
          <w:trHeight w:val="170"/>
          <w:jc w:val="center"/>
        </w:trPr>
        <w:tc>
          <w:tcPr>
            <w:tcW w:w="2047" w:type="dxa"/>
            <w:tcBorders>
              <w:top w:val="nil"/>
              <w:left w:val="single" w:sz="4" w:space="0" w:color="auto"/>
              <w:bottom w:val="single" w:sz="4" w:space="0" w:color="auto"/>
              <w:right w:val="single" w:sz="4" w:space="0" w:color="auto"/>
            </w:tcBorders>
            <w:vAlign w:val="center"/>
            <w:hideMark/>
          </w:tcPr>
          <w:p w14:paraId="20539374" w14:textId="77777777" w:rsidR="00215359" w:rsidRPr="00602E3C" w:rsidRDefault="00215359" w:rsidP="00215359">
            <w:pPr>
              <w:keepNext/>
              <w:keepLines/>
              <w:spacing w:before="120" w:after="120"/>
              <w:jc w:val="right"/>
              <w:rPr>
                <w:rFonts w:ascii="Times New Roman" w:hAnsi="Times New Roman" w:cs="Times New Roman"/>
                <w:sz w:val="20"/>
                <w:szCs w:val="20"/>
              </w:rPr>
            </w:pPr>
            <w:r w:rsidRPr="5E04AD7D">
              <w:rPr>
                <w:rFonts w:ascii="Times New Roman" w:hAnsi="Times New Roman" w:cs="Times New Roman"/>
                <w:sz w:val="20"/>
                <w:szCs w:val="20"/>
              </w:rPr>
              <w:t>bevétel:</w:t>
            </w:r>
          </w:p>
        </w:tc>
        <w:tc>
          <w:tcPr>
            <w:tcW w:w="1067" w:type="dxa"/>
            <w:tcBorders>
              <w:top w:val="nil"/>
              <w:left w:val="single" w:sz="4" w:space="0" w:color="auto"/>
              <w:bottom w:val="single" w:sz="4" w:space="0" w:color="auto"/>
              <w:right w:val="single" w:sz="4" w:space="0" w:color="auto"/>
            </w:tcBorders>
            <w:noWrap/>
            <w:vAlign w:val="center"/>
          </w:tcPr>
          <w:p w14:paraId="414C829C" w14:textId="78BA0E6F"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11 294,9</w:t>
            </w:r>
          </w:p>
        </w:tc>
        <w:tc>
          <w:tcPr>
            <w:tcW w:w="1134" w:type="dxa"/>
            <w:tcBorders>
              <w:top w:val="nil"/>
              <w:left w:val="nil"/>
              <w:bottom w:val="single" w:sz="4" w:space="0" w:color="auto"/>
              <w:right w:val="single" w:sz="4" w:space="0" w:color="auto"/>
            </w:tcBorders>
            <w:noWrap/>
            <w:vAlign w:val="center"/>
          </w:tcPr>
          <w:p w14:paraId="2F3B80BA" w14:textId="708D451E"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3 141,1</w:t>
            </w:r>
          </w:p>
        </w:tc>
        <w:tc>
          <w:tcPr>
            <w:tcW w:w="1217" w:type="dxa"/>
            <w:tcBorders>
              <w:top w:val="nil"/>
              <w:left w:val="nil"/>
              <w:bottom w:val="single" w:sz="4" w:space="0" w:color="auto"/>
              <w:right w:val="single" w:sz="4" w:space="0" w:color="auto"/>
            </w:tcBorders>
            <w:noWrap/>
            <w:vAlign w:val="center"/>
          </w:tcPr>
          <w:p w14:paraId="18C6222F" w14:textId="2F476570"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27,8</w:t>
            </w:r>
          </w:p>
        </w:tc>
        <w:tc>
          <w:tcPr>
            <w:tcW w:w="1103" w:type="dxa"/>
            <w:tcBorders>
              <w:top w:val="nil"/>
              <w:left w:val="nil"/>
              <w:bottom w:val="single" w:sz="4" w:space="0" w:color="auto"/>
              <w:right w:val="single" w:sz="4" w:space="0" w:color="auto"/>
            </w:tcBorders>
            <w:noWrap/>
            <w:vAlign w:val="center"/>
          </w:tcPr>
          <w:p w14:paraId="041A2AE9" w14:textId="083A4E9E"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11 941,6</w:t>
            </w:r>
          </w:p>
        </w:tc>
        <w:tc>
          <w:tcPr>
            <w:tcW w:w="1224" w:type="dxa"/>
            <w:tcBorders>
              <w:top w:val="nil"/>
              <w:left w:val="nil"/>
              <w:bottom w:val="single" w:sz="4" w:space="0" w:color="auto"/>
              <w:right w:val="single" w:sz="4" w:space="0" w:color="auto"/>
            </w:tcBorders>
            <w:noWrap/>
            <w:vAlign w:val="center"/>
          </w:tcPr>
          <w:p w14:paraId="7AECEB35" w14:textId="12EB2B11"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3 456,3</w:t>
            </w:r>
          </w:p>
        </w:tc>
        <w:tc>
          <w:tcPr>
            <w:tcW w:w="1275" w:type="dxa"/>
            <w:tcBorders>
              <w:top w:val="nil"/>
              <w:left w:val="nil"/>
              <w:bottom w:val="single" w:sz="4" w:space="0" w:color="auto"/>
              <w:right w:val="single" w:sz="4" w:space="0" w:color="auto"/>
            </w:tcBorders>
            <w:noWrap/>
            <w:vAlign w:val="center"/>
          </w:tcPr>
          <w:p w14:paraId="6E0843CA" w14:textId="3FDB1072"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28,9</w:t>
            </w:r>
          </w:p>
        </w:tc>
        <w:tc>
          <w:tcPr>
            <w:tcW w:w="997" w:type="dxa"/>
            <w:tcBorders>
              <w:top w:val="nil"/>
              <w:left w:val="nil"/>
              <w:bottom w:val="single" w:sz="4" w:space="0" w:color="auto"/>
              <w:right w:val="single" w:sz="4" w:space="0" w:color="auto"/>
            </w:tcBorders>
            <w:noWrap/>
            <w:vAlign w:val="center"/>
          </w:tcPr>
          <w:p w14:paraId="4E1DA02E" w14:textId="3468307A"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110,0</w:t>
            </w:r>
          </w:p>
        </w:tc>
      </w:tr>
      <w:tr w:rsidR="00215359" w:rsidRPr="003D514A" w14:paraId="2E0C2349" w14:textId="77777777" w:rsidTr="28F9800E">
        <w:trPr>
          <w:trHeight w:val="170"/>
          <w:jc w:val="center"/>
        </w:trPr>
        <w:tc>
          <w:tcPr>
            <w:tcW w:w="2047" w:type="dxa"/>
            <w:tcBorders>
              <w:top w:val="nil"/>
              <w:left w:val="single" w:sz="4" w:space="0" w:color="auto"/>
              <w:bottom w:val="single" w:sz="4" w:space="0" w:color="auto"/>
              <w:right w:val="single" w:sz="4" w:space="0" w:color="auto"/>
            </w:tcBorders>
            <w:vAlign w:val="center"/>
            <w:hideMark/>
          </w:tcPr>
          <w:p w14:paraId="76CFF744" w14:textId="77777777" w:rsidR="00215359" w:rsidRPr="00602E3C" w:rsidRDefault="00215359" w:rsidP="00215359">
            <w:pPr>
              <w:keepNext/>
              <w:keepLines/>
              <w:spacing w:before="120" w:after="120"/>
              <w:jc w:val="right"/>
              <w:rPr>
                <w:rFonts w:ascii="Times New Roman" w:hAnsi="Times New Roman" w:cs="Times New Roman"/>
                <w:sz w:val="20"/>
                <w:szCs w:val="20"/>
              </w:rPr>
            </w:pPr>
            <w:r w:rsidRPr="5E04AD7D">
              <w:rPr>
                <w:rFonts w:ascii="Times New Roman" w:hAnsi="Times New Roman" w:cs="Times New Roman"/>
                <w:sz w:val="20"/>
                <w:szCs w:val="20"/>
              </w:rPr>
              <w:t>kiadás:</w:t>
            </w:r>
          </w:p>
        </w:tc>
        <w:tc>
          <w:tcPr>
            <w:tcW w:w="1067" w:type="dxa"/>
            <w:tcBorders>
              <w:top w:val="nil"/>
              <w:left w:val="single" w:sz="4" w:space="0" w:color="auto"/>
              <w:bottom w:val="single" w:sz="4" w:space="0" w:color="auto"/>
              <w:right w:val="single" w:sz="4" w:space="0" w:color="auto"/>
            </w:tcBorders>
            <w:noWrap/>
            <w:vAlign w:val="center"/>
          </w:tcPr>
          <w:p w14:paraId="234DEE28" w14:textId="72B522B5"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11 540,8</w:t>
            </w:r>
          </w:p>
        </w:tc>
        <w:tc>
          <w:tcPr>
            <w:tcW w:w="1134" w:type="dxa"/>
            <w:tcBorders>
              <w:top w:val="nil"/>
              <w:left w:val="nil"/>
              <w:bottom w:val="single" w:sz="4" w:space="0" w:color="auto"/>
              <w:right w:val="single" w:sz="4" w:space="0" w:color="auto"/>
            </w:tcBorders>
            <w:noWrap/>
            <w:vAlign w:val="center"/>
          </w:tcPr>
          <w:p w14:paraId="7FB63125" w14:textId="11F068F3"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3 256,1</w:t>
            </w:r>
          </w:p>
        </w:tc>
        <w:tc>
          <w:tcPr>
            <w:tcW w:w="1217" w:type="dxa"/>
            <w:tcBorders>
              <w:top w:val="nil"/>
              <w:left w:val="nil"/>
              <w:bottom w:val="single" w:sz="4" w:space="0" w:color="auto"/>
              <w:right w:val="single" w:sz="4" w:space="0" w:color="auto"/>
            </w:tcBorders>
            <w:noWrap/>
            <w:vAlign w:val="center"/>
          </w:tcPr>
          <w:p w14:paraId="0B8856A0" w14:textId="7120CB8D"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28,2</w:t>
            </w:r>
          </w:p>
        </w:tc>
        <w:tc>
          <w:tcPr>
            <w:tcW w:w="1103" w:type="dxa"/>
            <w:tcBorders>
              <w:top w:val="nil"/>
              <w:left w:val="nil"/>
              <w:bottom w:val="single" w:sz="4" w:space="0" w:color="auto"/>
              <w:right w:val="single" w:sz="4" w:space="0" w:color="auto"/>
            </w:tcBorders>
            <w:noWrap/>
            <w:vAlign w:val="center"/>
          </w:tcPr>
          <w:p w14:paraId="086FE71C" w14:textId="01055598"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11 941,6</w:t>
            </w:r>
          </w:p>
        </w:tc>
        <w:tc>
          <w:tcPr>
            <w:tcW w:w="1224" w:type="dxa"/>
            <w:tcBorders>
              <w:top w:val="nil"/>
              <w:left w:val="nil"/>
              <w:bottom w:val="single" w:sz="4" w:space="0" w:color="auto"/>
              <w:right w:val="single" w:sz="4" w:space="0" w:color="auto"/>
            </w:tcBorders>
            <w:noWrap/>
            <w:vAlign w:val="center"/>
          </w:tcPr>
          <w:p w14:paraId="4801CC60" w14:textId="615FC11F"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3 646,6</w:t>
            </w:r>
          </w:p>
        </w:tc>
        <w:tc>
          <w:tcPr>
            <w:tcW w:w="1275" w:type="dxa"/>
            <w:tcBorders>
              <w:top w:val="nil"/>
              <w:left w:val="nil"/>
              <w:bottom w:val="single" w:sz="4" w:space="0" w:color="auto"/>
              <w:right w:val="single" w:sz="4" w:space="0" w:color="auto"/>
            </w:tcBorders>
            <w:noWrap/>
            <w:vAlign w:val="center"/>
          </w:tcPr>
          <w:p w14:paraId="080A695A" w14:textId="3218F345"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30,5</w:t>
            </w:r>
          </w:p>
        </w:tc>
        <w:tc>
          <w:tcPr>
            <w:tcW w:w="997" w:type="dxa"/>
            <w:tcBorders>
              <w:top w:val="nil"/>
              <w:left w:val="nil"/>
              <w:bottom w:val="single" w:sz="4" w:space="0" w:color="auto"/>
              <w:right w:val="single" w:sz="4" w:space="0" w:color="auto"/>
            </w:tcBorders>
            <w:noWrap/>
            <w:vAlign w:val="center"/>
          </w:tcPr>
          <w:p w14:paraId="12785972" w14:textId="6D5E8321"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112,0</w:t>
            </w:r>
          </w:p>
        </w:tc>
      </w:tr>
      <w:tr w:rsidR="00215359" w:rsidRPr="003D514A" w14:paraId="4C937A62" w14:textId="77777777" w:rsidTr="28F9800E">
        <w:trPr>
          <w:trHeight w:val="170"/>
          <w:jc w:val="center"/>
        </w:trPr>
        <w:tc>
          <w:tcPr>
            <w:tcW w:w="2047" w:type="dxa"/>
            <w:tcBorders>
              <w:top w:val="nil"/>
              <w:left w:val="single" w:sz="4" w:space="0" w:color="auto"/>
              <w:bottom w:val="single" w:sz="4" w:space="0" w:color="auto"/>
              <w:right w:val="single" w:sz="4" w:space="0" w:color="auto"/>
            </w:tcBorders>
            <w:vAlign w:val="center"/>
            <w:hideMark/>
          </w:tcPr>
          <w:p w14:paraId="22B27C31" w14:textId="77777777" w:rsidR="00215359" w:rsidRPr="00602E3C" w:rsidRDefault="00215359" w:rsidP="00215359">
            <w:pPr>
              <w:keepNext/>
              <w:keepLines/>
              <w:spacing w:before="120" w:after="120"/>
              <w:rPr>
                <w:rFonts w:ascii="Times New Roman" w:hAnsi="Times New Roman" w:cs="Times New Roman"/>
                <w:b/>
                <w:bCs/>
                <w:sz w:val="20"/>
                <w:szCs w:val="20"/>
              </w:rPr>
            </w:pPr>
            <w:r w:rsidRPr="5E04AD7D">
              <w:rPr>
                <w:rFonts w:ascii="Times New Roman" w:hAnsi="Times New Roman" w:cs="Times New Roman"/>
                <w:b/>
                <w:bCs/>
                <w:sz w:val="20"/>
                <w:szCs w:val="20"/>
              </w:rPr>
              <w:t>Egyenleg összesen</w:t>
            </w:r>
          </w:p>
        </w:tc>
        <w:tc>
          <w:tcPr>
            <w:tcW w:w="1067" w:type="dxa"/>
            <w:tcBorders>
              <w:top w:val="nil"/>
              <w:left w:val="single" w:sz="4" w:space="0" w:color="auto"/>
              <w:bottom w:val="single" w:sz="4" w:space="0" w:color="auto"/>
              <w:right w:val="single" w:sz="4" w:space="0" w:color="auto"/>
            </w:tcBorders>
            <w:noWrap/>
            <w:vAlign w:val="center"/>
          </w:tcPr>
          <w:p w14:paraId="34532105" w14:textId="7B885B75" w:rsidR="00215359" w:rsidRPr="007007A3" w:rsidRDefault="00215359" w:rsidP="00215359">
            <w:pPr>
              <w:spacing w:before="120" w:after="120"/>
              <w:jc w:val="right"/>
              <w:rPr>
                <w:rFonts w:ascii="Times New Roman" w:hAnsi="Times New Roman" w:cs="Times New Roman"/>
                <w:b/>
                <w:bCs/>
                <w:sz w:val="20"/>
                <w:szCs w:val="20"/>
              </w:rPr>
            </w:pPr>
            <w:r w:rsidRPr="00755B3B">
              <w:rPr>
                <w:rFonts w:ascii="Garamond" w:hAnsi="Garamond"/>
                <w:b/>
                <w:bCs/>
                <w:sz w:val="20"/>
                <w:szCs w:val="20"/>
              </w:rPr>
              <w:t>-5 738,7</w:t>
            </w:r>
          </w:p>
        </w:tc>
        <w:tc>
          <w:tcPr>
            <w:tcW w:w="1134" w:type="dxa"/>
            <w:tcBorders>
              <w:top w:val="nil"/>
              <w:left w:val="nil"/>
              <w:bottom w:val="single" w:sz="4" w:space="0" w:color="auto"/>
              <w:right w:val="single" w:sz="4" w:space="0" w:color="auto"/>
            </w:tcBorders>
            <w:noWrap/>
            <w:vAlign w:val="center"/>
          </w:tcPr>
          <w:p w14:paraId="74267FA6" w14:textId="0BC1EBAD" w:rsidR="00215359" w:rsidRPr="007007A3" w:rsidRDefault="00215359" w:rsidP="00215359">
            <w:pPr>
              <w:spacing w:before="120" w:after="120"/>
              <w:jc w:val="right"/>
              <w:rPr>
                <w:rFonts w:ascii="Times New Roman" w:hAnsi="Times New Roman" w:cs="Times New Roman"/>
                <w:b/>
                <w:bCs/>
                <w:sz w:val="20"/>
                <w:szCs w:val="20"/>
              </w:rPr>
            </w:pPr>
            <w:r w:rsidRPr="00755B3B">
              <w:rPr>
                <w:rFonts w:ascii="Garamond" w:hAnsi="Garamond"/>
                <w:b/>
                <w:bCs/>
                <w:sz w:val="20"/>
                <w:szCs w:val="20"/>
              </w:rPr>
              <w:t>-2 554,1</w:t>
            </w:r>
          </w:p>
        </w:tc>
        <w:tc>
          <w:tcPr>
            <w:tcW w:w="1217" w:type="dxa"/>
            <w:tcBorders>
              <w:top w:val="nil"/>
              <w:left w:val="nil"/>
              <w:bottom w:val="single" w:sz="4" w:space="0" w:color="auto"/>
              <w:right w:val="single" w:sz="4" w:space="0" w:color="auto"/>
            </w:tcBorders>
            <w:noWrap/>
            <w:vAlign w:val="center"/>
          </w:tcPr>
          <w:p w14:paraId="03FC0469" w14:textId="6C549F55"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44,5</w:t>
            </w:r>
          </w:p>
        </w:tc>
        <w:tc>
          <w:tcPr>
            <w:tcW w:w="1103" w:type="dxa"/>
            <w:tcBorders>
              <w:top w:val="nil"/>
              <w:left w:val="nil"/>
              <w:bottom w:val="single" w:sz="4" w:space="0" w:color="auto"/>
              <w:right w:val="single" w:sz="4" w:space="0" w:color="auto"/>
            </w:tcBorders>
            <w:noWrap/>
            <w:vAlign w:val="center"/>
          </w:tcPr>
          <w:p w14:paraId="7641E26B" w14:textId="6E59D6A7" w:rsidR="00215359" w:rsidRPr="007007A3" w:rsidRDefault="00215359" w:rsidP="00215359">
            <w:pPr>
              <w:spacing w:before="120" w:after="120"/>
              <w:jc w:val="right"/>
              <w:rPr>
                <w:rFonts w:ascii="Times New Roman" w:hAnsi="Times New Roman" w:cs="Times New Roman"/>
                <w:b/>
                <w:bCs/>
                <w:sz w:val="20"/>
                <w:szCs w:val="20"/>
              </w:rPr>
            </w:pPr>
            <w:r w:rsidRPr="00755B3B">
              <w:rPr>
                <w:rFonts w:ascii="Garamond" w:hAnsi="Garamond"/>
                <w:b/>
                <w:bCs/>
                <w:sz w:val="20"/>
                <w:szCs w:val="20"/>
              </w:rPr>
              <w:t>-4 218,5</w:t>
            </w:r>
          </w:p>
        </w:tc>
        <w:tc>
          <w:tcPr>
            <w:tcW w:w="1224" w:type="dxa"/>
            <w:tcBorders>
              <w:top w:val="nil"/>
              <w:left w:val="nil"/>
              <w:bottom w:val="single" w:sz="4" w:space="0" w:color="auto"/>
              <w:right w:val="single" w:sz="4" w:space="0" w:color="auto"/>
            </w:tcBorders>
            <w:noWrap/>
            <w:vAlign w:val="center"/>
          </w:tcPr>
          <w:p w14:paraId="58981E80" w14:textId="3B41B52D" w:rsidR="00215359" w:rsidRPr="007007A3" w:rsidRDefault="00215359" w:rsidP="00215359">
            <w:pPr>
              <w:spacing w:before="120" w:after="120"/>
              <w:jc w:val="right"/>
              <w:rPr>
                <w:rFonts w:ascii="Times New Roman" w:hAnsi="Times New Roman" w:cs="Times New Roman"/>
                <w:b/>
                <w:bCs/>
                <w:sz w:val="20"/>
                <w:szCs w:val="20"/>
              </w:rPr>
            </w:pPr>
            <w:r w:rsidRPr="00755B3B">
              <w:rPr>
                <w:rFonts w:ascii="Garamond" w:hAnsi="Garamond"/>
                <w:b/>
                <w:bCs/>
                <w:sz w:val="20"/>
                <w:szCs w:val="20"/>
              </w:rPr>
              <w:t>-3 420,4</w:t>
            </w:r>
          </w:p>
        </w:tc>
        <w:tc>
          <w:tcPr>
            <w:tcW w:w="1275" w:type="dxa"/>
            <w:tcBorders>
              <w:top w:val="nil"/>
              <w:left w:val="nil"/>
              <w:bottom w:val="single" w:sz="4" w:space="0" w:color="auto"/>
              <w:right w:val="single" w:sz="4" w:space="0" w:color="auto"/>
            </w:tcBorders>
            <w:noWrap/>
            <w:vAlign w:val="center"/>
          </w:tcPr>
          <w:p w14:paraId="5ED7099D" w14:textId="6B5116C2"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81,1</w:t>
            </w:r>
          </w:p>
        </w:tc>
        <w:tc>
          <w:tcPr>
            <w:tcW w:w="997" w:type="dxa"/>
            <w:tcBorders>
              <w:top w:val="nil"/>
              <w:left w:val="nil"/>
              <w:bottom w:val="single" w:sz="4" w:space="0" w:color="auto"/>
              <w:right w:val="single" w:sz="4" w:space="0" w:color="auto"/>
            </w:tcBorders>
            <w:noWrap/>
            <w:vAlign w:val="center"/>
          </w:tcPr>
          <w:p w14:paraId="7A98A233" w14:textId="3ED6397B"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133,9</w:t>
            </w:r>
          </w:p>
        </w:tc>
      </w:tr>
      <w:tr w:rsidR="00215359" w:rsidRPr="003D514A" w14:paraId="4C7D7EF2" w14:textId="77777777" w:rsidTr="28F9800E">
        <w:trPr>
          <w:trHeight w:val="170"/>
          <w:jc w:val="center"/>
        </w:trPr>
        <w:tc>
          <w:tcPr>
            <w:tcW w:w="2047" w:type="dxa"/>
            <w:tcBorders>
              <w:top w:val="nil"/>
              <w:left w:val="single" w:sz="4" w:space="0" w:color="auto"/>
              <w:bottom w:val="single" w:sz="4" w:space="0" w:color="auto"/>
              <w:right w:val="single" w:sz="4" w:space="0" w:color="auto"/>
            </w:tcBorders>
            <w:vAlign w:val="center"/>
            <w:hideMark/>
          </w:tcPr>
          <w:p w14:paraId="50CAE52E" w14:textId="77777777" w:rsidR="00215359" w:rsidRPr="00602E3C" w:rsidRDefault="00215359" w:rsidP="00215359">
            <w:pPr>
              <w:keepNext/>
              <w:keepLines/>
              <w:spacing w:before="120" w:after="120"/>
              <w:jc w:val="right"/>
              <w:rPr>
                <w:rFonts w:ascii="Times New Roman" w:hAnsi="Times New Roman" w:cs="Times New Roman"/>
                <w:sz w:val="20"/>
                <w:szCs w:val="20"/>
              </w:rPr>
            </w:pPr>
            <w:r w:rsidRPr="5E04AD7D">
              <w:rPr>
                <w:rFonts w:ascii="Times New Roman" w:hAnsi="Times New Roman" w:cs="Times New Roman"/>
                <w:sz w:val="20"/>
                <w:szCs w:val="20"/>
              </w:rPr>
              <w:t>bevétel:</w:t>
            </w:r>
          </w:p>
        </w:tc>
        <w:tc>
          <w:tcPr>
            <w:tcW w:w="1067" w:type="dxa"/>
            <w:tcBorders>
              <w:top w:val="nil"/>
              <w:left w:val="single" w:sz="4" w:space="0" w:color="auto"/>
              <w:bottom w:val="single" w:sz="4" w:space="0" w:color="auto"/>
              <w:right w:val="single" w:sz="4" w:space="0" w:color="auto"/>
            </w:tcBorders>
            <w:noWrap/>
            <w:vAlign w:val="center"/>
          </w:tcPr>
          <w:p w14:paraId="12C6FEEA" w14:textId="21B1D59E"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39 191,6</w:t>
            </w:r>
          </w:p>
        </w:tc>
        <w:tc>
          <w:tcPr>
            <w:tcW w:w="1134" w:type="dxa"/>
            <w:tcBorders>
              <w:top w:val="nil"/>
              <w:left w:val="nil"/>
              <w:bottom w:val="single" w:sz="4" w:space="0" w:color="auto"/>
              <w:right w:val="single" w:sz="4" w:space="0" w:color="auto"/>
            </w:tcBorders>
            <w:noWrap/>
            <w:vAlign w:val="center"/>
          </w:tcPr>
          <w:p w14:paraId="772E0B61" w14:textId="0B0A3792"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9 197,8</w:t>
            </w:r>
          </w:p>
        </w:tc>
        <w:tc>
          <w:tcPr>
            <w:tcW w:w="1217" w:type="dxa"/>
            <w:tcBorders>
              <w:top w:val="nil"/>
              <w:left w:val="nil"/>
              <w:bottom w:val="single" w:sz="4" w:space="0" w:color="auto"/>
              <w:right w:val="single" w:sz="4" w:space="0" w:color="auto"/>
            </w:tcBorders>
            <w:noWrap/>
            <w:vAlign w:val="center"/>
          </w:tcPr>
          <w:p w14:paraId="3C77872B" w14:textId="59621471"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23,5</w:t>
            </w:r>
          </w:p>
        </w:tc>
        <w:tc>
          <w:tcPr>
            <w:tcW w:w="1103" w:type="dxa"/>
            <w:tcBorders>
              <w:top w:val="nil"/>
              <w:left w:val="nil"/>
              <w:bottom w:val="single" w:sz="4" w:space="0" w:color="auto"/>
              <w:right w:val="single" w:sz="4" w:space="0" w:color="auto"/>
            </w:tcBorders>
            <w:noWrap/>
            <w:vAlign w:val="center"/>
          </w:tcPr>
          <w:p w14:paraId="50894B12" w14:textId="62E3BF18"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39 562,8</w:t>
            </w:r>
          </w:p>
        </w:tc>
        <w:tc>
          <w:tcPr>
            <w:tcW w:w="1224" w:type="dxa"/>
            <w:tcBorders>
              <w:top w:val="nil"/>
              <w:left w:val="nil"/>
              <w:bottom w:val="single" w:sz="4" w:space="0" w:color="auto"/>
              <w:right w:val="single" w:sz="4" w:space="0" w:color="auto"/>
            </w:tcBorders>
            <w:noWrap/>
            <w:vAlign w:val="center"/>
          </w:tcPr>
          <w:p w14:paraId="3E11D232" w14:textId="2D8AA1B7"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10 543,2</w:t>
            </w:r>
          </w:p>
        </w:tc>
        <w:tc>
          <w:tcPr>
            <w:tcW w:w="1275" w:type="dxa"/>
            <w:tcBorders>
              <w:top w:val="nil"/>
              <w:left w:val="nil"/>
              <w:bottom w:val="single" w:sz="4" w:space="0" w:color="auto"/>
              <w:right w:val="single" w:sz="4" w:space="0" w:color="auto"/>
            </w:tcBorders>
            <w:noWrap/>
            <w:vAlign w:val="center"/>
          </w:tcPr>
          <w:p w14:paraId="4CB9AE24" w14:textId="28E2FFDB"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26,6</w:t>
            </w:r>
          </w:p>
        </w:tc>
        <w:tc>
          <w:tcPr>
            <w:tcW w:w="997" w:type="dxa"/>
            <w:tcBorders>
              <w:top w:val="nil"/>
              <w:left w:val="nil"/>
              <w:bottom w:val="single" w:sz="4" w:space="0" w:color="auto"/>
              <w:right w:val="single" w:sz="4" w:space="0" w:color="auto"/>
            </w:tcBorders>
            <w:noWrap/>
            <w:vAlign w:val="center"/>
          </w:tcPr>
          <w:p w14:paraId="0A5A7D17" w14:textId="31CF2508"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114,6</w:t>
            </w:r>
          </w:p>
        </w:tc>
      </w:tr>
      <w:tr w:rsidR="00215359" w:rsidRPr="0096527E" w14:paraId="121D35E5" w14:textId="77777777" w:rsidTr="28F9800E">
        <w:trPr>
          <w:trHeight w:val="170"/>
          <w:jc w:val="center"/>
        </w:trPr>
        <w:tc>
          <w:tcPr>
            <w:tcW w:w="2047" w:type="dxa"/>
            <w:tcBorders>
              <w:top w:val="nil"/>
              <w:left w:val="single" w:sz="4" w:space="0" w:color="auto"/>
              <w:bottom w:val="single" w:sz="4" w:space="0" w:color="auto"/>
              <w:right w:val="single" w:sz="4" w:space="0" w:color="auto"/>
            </w:tcBorders>
            <w:vAlign w:val="center"/>
            <w:hideMark/>
          </w:tcPr>
          <w:p w14:paraId="057BEE79" w14:textId="77777777" w:rsidR="00215359" w:rsidRPr="00602E3C" w:rsidRDefault="00215359" w:rsidP="00215359">
            <w:pPr>
              <w:keepNext/>
              <w:keepLines/>
              <w:spacing w:before="120" w:after="120"/>
              <w:jc w:val="right"/>
              <w:rPr>
                <w:rFonts w:ascii="Times New Roman" w:hAnsi="Times New Roman" w:cs="Times New Roman"/>
                <w:sz w:val="20"/>
                <w:szCs w:val="20"/>
              </w:rPr>
            </w:pPr>
            <w:r w:rsidRPr="5E04AD7D">
              <w:rPr>
                <w:rFonts w:ascii="Times New Roman" w:hAnsi="Times New Roman" w:cs="Times New Roman"/>
                <w:sz w:val="20"/>
                <w:szCs w:val="20"/>
              </w:rPr>
              <w:t>kiadás:</w:t>
            </w:r>
          </w:p>
        </w:tc>
        <w:tc>
          <w:tcPr>
            <w:tcW w:w="1067" w:type="dxa"/>
            <w:tcBorders>
              <w:top w:val="nil"/>
              <w:left w:val="single" w:sz="4" w:space="0" w:color="auto"/>
              <w:bottom w:val="single" w:sz="4" w:space="0" w:color="auto"/>
              <w:right w:val="single" w:sz="4" w:space="0" w:color="auto"/>
            </w:tcBorders>
            <w:noWrap/>
            <w:vAlign w:val="center"/>
          </w:tcPr>
          <w:p w14:paraId="7E78424A" w14:textId="292943C2"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44 930,4</w:t>
            </w:r>
          </w:p>
        </w:tc>
        <w:tc>
          <w:tcPr>
            <w:tcW w:w="1134" w:type="dxa"/>
            <w:tcBorders>
              <w:top w:val="nil"/>
              <w:left w:val="nil"/>
              <w:bottom w:val="single" w:sz="4" w:space="0" w:color="auto"/>
              <w:right w:val="single" w:sz="4" w:space="0" w:color="auto"/>
            </w:tcBorders>
            <w:noWrap/>
            <w:vAlign w:val="center"/>
          </w:tcPr>
          <w:p w14:paraId="669402C6" w14:textId="777D48FE"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11 751,9</w:t>
            </w:r>
          </w:p>
        </w:tc>
        <w:tc>
          <w:tcPr>
            <w:tcW w:w="1217" w:type="dxa"/>
            <w:tcBorders>
              <w:top w:val="nil"/>
              <w:left w:val="nil"/>
              <w:bottom w:val="single" w:sz="4" w:space="0" w:color="auto"/>
              <w:right w:val="single" w:sz="4" w:space="0" w:color="auto"/>
            </w:tcBorders>
            <w:noWrap/>
            <w:vAlign w:val="center"/>
          </w:tcPr>
          <w:p w14:paraId="573B435D" w14:textId="152D5920"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26,2</w:t>
            </w:r>
          </w:p>
        </w:tc>
        <w:tc>
          <w:tcPr>
            <w:tcW w:w="1103" w:type="dxa"/>
            <w:tcBorders>
              <w:top w:val="nil"/>
              <w:left w:val="nil"/>
              <w:bottom w:val="single" w:sz="4" w:space="0" w:color="auto"/>
              <w:right w:val="single" w:sz="4" w:space="0" w:color="auto"/>
            </w:tcBorders>
            <w:noWrap/>
            <w:vAlign w:val="center"/>
          </w:tcPr>
          <w:p w14:paraId="17943409" w14:textId="0F1972A4"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43 781,3</w:t>
            </w:r>
          </w:p>
        </w:tc>
        <w:tc>
          <w:tcPr>
            <w:tcW w:w="1224" w:type="dxa"/>
            <w:tcBorders>
              <w:top w:val="nil"/>
              <w:left w:val="nil"/>
              <w:bottom w:val="single" w:sz="4" w:space="0" w:color="auto"/>
              <w:right w:val="single" w:sz="4" w:space="0" w:color="auto"/>
            </w:tcBorders>
            <w:noWrap/>
            <w:vAlign w:val="center"/>
          </w:tcPr>
          <w:p w14:paraId="2B9CEA4E" w14:textId="3461BF93"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13 963,6</w:t>
            </w:r>
          </w:p>
        </w:tc>
        <w:tc>
          <w:tcPr>
            <w:tcW w:w="1275" w:type="dxa"/>
            <w:tcBorders>
              <w:top w:val="nil"/>
              <w:left w:val="nil"/>
              <w:bottom w:val="single" w:sz="4" w:space="0" w:color="auto"/>
              <w:right w:val="single" w:sz="4" w:space="0" w:color="auto"/>
            </w:tcBorders>
            <w:noWrap/>
            <w:vAlign w:val="center"/>
          </w:tcPr>
          <w:p w14:paraId="3DD56C2E" w14:textId="6F5736CA"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31,9</w:t>
            </w:r>
          </w:p>
        </w:tc>
        <w:tc>
          <w:tcPr>
            <w:tcW w:w="997" w:type="dxa"/>
            <w:tcBorders>
              <w:top w:val="nil"/>
              <w:left w:val="nil"/>
              <w:bottom w:val="single" w:sz="4" w:space="0" w:color="auto"/>
              <w:right w:val="single" w:sz="4" w:space="0" w:color="auto"/>
            </w:tcBorders>
            <w:noWrap/>
            <w:vAlign w:val="center"/>
          </w:tcPr>
          <w:p w14:paraId="3FA4033E" w14:textId="7B60069E" w:rsidR="00215359" w:rsidRPr="007007A3" w:rsidRDefault="00215359" w:rsidP="00215359">
            <w:pPr>
              <w:spacing w:before="120" w:after="120"/>
              <w:jc w:val="right"/>
              <w:rPr>
                <w:rFonts w:ascii="Times New Roman" w:hAnsi="Times New Roman" w:cs="Times New Roman"/>
                <w:sz w:val="20"/>
                <w:szCs w:val="20"/>
              </w:rPr>
            </w:pPr>
            <w:r w:rsidRPr="00755B3B">
              <w:rPr>
                <w:rFonts w:ascii="Garamond" w:hAnsi="Garamond"/>
                <w:sz w:val="20"/>
                <w:szCs w:val="20"/>
              </w:rPr>
              <w:t>118,8</w:t>
            </w:r>
          </w:p>
        </w:tc>
      </w:tr>
    </w:tbl>
    <w:p w14:paraId="7ECF9175" w14:textId="77777777" w:rsidR="00EB62E4" w:rsidRDefault="00EB62E4" w:rsidP="1D3ABBAA">
      <w:pPr>
        <w:widowControl w:val="0"/>
        <w:spacing w:after="120" w:line="254" w:lineRule="auto"/>
        <w:jc w:val="both"/>
        <w:rPr>
          <w:rFonts w:ascii="Times New Roman" w:eastAsia="Times New Roman" w:hAnsi="Times New Roman" w:cs="Times New Roman"/>
          <w:sz w:val="26"/>
          <w:szCs w:val="26"/>
          <w:lang w:eastAsia="hu-HU"/>
        </w:rPr>
      </w:pPr>
    </w:p>
    <w:p w14:paraId="01371788" w14:textId="00FE3B9C" w:rsidR="00EB62E4" w:rsidRDefault="00EB62E4">
      <w:pPr>
        <w:rPr>
          <w:rFonts w:ascii="Times New Roman" w:eastAsia="Times New Roman" w:hAnsi="Times New Roman" w:cs="Times New Roman"/>
          <w:b/>
          <w:bCs/>
          <w:sz w:val="26"/>
          <w:szCs w:val="26"/>
          <w:lang w:eastAsia="hu-HU"/>
        </w:rPr>
      </w:pPr>
      <w:r>
        <w:rPr>
          <w:rFonts w:ascii="Times New Roman" w:eastAsia="Times New Roman" w:hAnsi="Times New Roman" w:cs="Times New Roman"/>
          <w:b/>
          <w:bCs/>
          <w:sz w:val="26"/>
          <w:szCs w:val="26"/>
          <w:lang w:eastAsia="hu-HU"/>
        </w:rPr>
        <w:br w:type="page"/>
      </w:r>
    </w:p>
    <w:p w14:paraId="7B768A93" w14:textId="335AD81F" w:rsidR="00B155FE" w:rsidRPr="00377D59" w:rsidRDefault="5E04AD7D" w:rsidP="5E04AD7D">
      <w:pPr>
        <w:spacing w:after="120" w:line="240" w:lineRule="auto"/>
        <w:jc w:val="center"/>
        <w:rPr>
          <w:rFonts w:ascii="Times New Roman" w:eastAsia="Times New Roman" w:hAnsi="Times New Roman" w:cs="Times New Roman"/>
          <w:b/>
          <w:bCs/>
          <w:sz w:val="26"/>
          <w:szCs w:val="26"/>
          <w:lang w:eastAsia="hu-HU"/>
        </w:rPr>
      </w:pPr>
      <w:r w:rsidRPr="5E04AD7D">
        <w:rPr>
          <w:rFonts w:ascii="Times New Roman" w:eastAsia="Times New Roman" w:hAnsi="Times New Roman" w:cs="Times New Roman"/>
          <w:b/>
          <w:bCs/>
          <w:sz w:val="26"/>
          <w:szCs w:val="26"/>
          <w:lang w:eastAsia="hu-HU"/>
        </w:rPr>
        <w:lastRenderedPageBreak/>
        <w:t>I.</w:t>
      </w:r>
    </w:p>
    <w:p w14:paraId="7B768A94" w14:textId="77777777" w:rsidR="00B155FE" w:rsidRPr="00377D59" w:rsidRDefault="5E04AD7D" w:rsidP="5E04AD7D">
      <w:pPr>
        <w:keepNext/>
        <w:spacing w:after="120" w:line="240" w:lineRule="auto"/>
        <w:jc w:val="center"/>
        <w:outlineLvl w:val="1"/>
        <w:rPr>
          <w:rFonts w:ascii="Times New Roman" w:eastAsia="Times New Roman" w:hAnsi="Times New Roman" w:cs="Times New Roman"/>
          <w:b/>
          <w:bCs/>
          <w:caps/>
          <w:sz w:val="26"/>
          <w:szCs w:val="26"/>
          <w:lang w:eastAsia="hu-HU"/>
        </w:rPr>
      </w:pPr>
      <w:r w:rsidRPr="5E04AD7D">
        <w:rPr>
          <w:rFonts w:ascii="Times New Roman" w:eastAsia="Times New Roman" w:hAnsi="Times New Roman" w:cs="Times New Roman"/>
          <w:b/>
          <w:bCs/>
          <w:caps/>
          <w:sz w:val="26"/>
          <w:szCs w:val="26"/>
          <w:lang w:eastAsia="hu-HU"/>
        </w:rPr>
        <w:t xml:space="preserve">A központi alrendszer pénzügyi folyamatainak </w:t>
      </w:r>
      <w:r w:rsidR="1FABBDF6">
        <w:br/>
      </w:r>
      <w:r w:rsidRPr="5E04AD7D">
        <w:rPr>
          <w:rFonts w:ascii="Times New Roman" w:eastAsia="Times New Roman" w:hAnsi="Times New Roman" w:cs="Times New Roman"/>
          <w:b/>
          <w:bCs/>
          <w:caps/>
          <w:sz w:val="26"/>
          <w:szCs w:val="26"/>
          <w:lang w:eastAsia="hu-HU"/>
        </w:rPr>
        <w:t>alakulása</w:t>
      </w:r>
    </w:p>
    <w:p w14:paraId="6D461365" w14:textId="08DC9FC2" w:rsidR="0004032B" w:rsidRPr="00377D59" w:rsidRDefault="5E04AD7D" w:rsidP="5E04AD7D">
      <w:pPr>
        <w:keepNext/>
        <w:numPr>
          <w:ilvl w:val="0"/>
          <w:numId w:val="3"/>
        </w:numPr>
        <w:spacing w:after="120" w:line="240" w:lineRule="auto"/>
        <w:jc w:val="both"/>
        <w:outlineLvl w:val="2"/>
        <w:rPr>
          <w:rFonts w:ascii="Times New Roman" w:eastAsia="Times New Roman" w:hAnsi="Times New Roman" w:cs="Times New Roman"/>
          <w:b/>
          <w:bCs/>
          <w:smallCaps/>
          <w:sz w:val="28"/>
          <w:szCs w:val="28"/>
          <w:lang w:eastAsia="hu-HU"/>
        </w:rPr>
      </w:pPr>
      <w:r w:rsidRPr="5E04AD7D">
        <w:rPr>
          <w:rFonts w:ascii="Times New Roman" w:eastAsia="Times New Roman" w:hAnsi="Times New Roman" w:cs="Times New Roman"/>
          <w:b/>
          <w:bCs/>
          <w:smallCaps/>
          <w:sz w:val="28"/>
          <w:szCs w:val="28"/>
          <w:lang w:eastAsia="hu-HU"/>
        </w:rPr>
        <w:t>A főbb bevételek</w:t>
      </w:r>
    </w:p>
    <w:p w14:paraId="1C04A740" w14:textId="223EEB0A" w:rsidR="008E34AF" w:rsidRDefault="5E04AD7D" w:rsidP="5E04AD7D">
      <w:pPr>
        <w:jc w:val="both"/>
        <w:rPr>
          <w:rFonts w:ascii="Times New Roman" w:eastAsia="Times New Roman" w:hAnsi="Times New Roman" w:cs="Times New Roman"/>
          <w:b/>
          <w:bCs/>
          <w:sz w:val="26"/>
          <w:szCs w:val="26"/>
        </w:rPr>
      </w:pPr>
      <w:r w:rsidRPr="5E04AD7D">
        <w:rPr>
          <w:rFonts w:ascii="Times New Roman" w:eastAsia="Times New Roman" w:hAnsi="Times New Roman" w:cs="Times New Roman"/>
          <w:b/>
          <w:bCs/>
          <w:sz w:val="26"/>
          <w:szCs w:val="26"/>
        </w:rPr>
        <w:t xml:space="preserve">A </w:t>
      </w:r>
      <w:r w:rsidR="00215359" w:rsidRPr="00215359">
        <w:rPr>
          <w:rFonts w:ascii="Times New Roman" w:eastAsia="Times New Roman" w:hAnsi="Times New Roman" w:cs="Times New Roman"/>
          <w:b/>
          <w:bCs/>
          <w:sz w:val="26"/>
          <w:szCs w:val="26"/>
        </w:rPr>
        <w:t>központi alrendszer március végi 10</w:t>
      </w:r>
      <w:r w:rsidR="00215359">
        <w:rPr>
          <w:rFonts w:ascii="Times New Roman" w:eastAsia="Times New Roman" w:hAnsi="Times New Roman" w:cs="Times New Roman"/>
          <w:b/>
          <w:bCs/>
          <w:sz w:val="26"/>
          <w:szCs w:val="26"/>
        </w:rPr>
        <w:t> </w:t>
      </w:r>
      <w:r w:rsidR="00215359" w:rsidRPr="00215359">
        <w:rPr>
          <w:rFonts w:ascii="Times New Roman" w:eastAsia="Times New Roman" w:hAnsi="Times New Roman" w:cs="Times New Roman"/>
          <w:b/>
          <w:bCs/>
          <w:sz w:val="26"/>
          <w:szCs w:val="26"/>
        </w:rPr>
        <w:t>543,2 milliárd forint összegű bevételei az előző év azonos időszakához képest 1345,4 milliárd forinttal, 14,6%-kal magasabb összegben alakultak</w:t>
      </w:r>
      <w:r w:rsidRPr="5E04AD7D">
        <w:rPr>
          <w:rFonts w:ascii="Times New Roman" w:eastAsia="Times New Roman" w:hAnsi="Times New Roman" w:cs="Times New Roman"/>
          <w:b/>
          <w:bCs/>
          <w:sz w:val="26"/>
          <w:szCs w:val="26"/>
        </w:rPr>
        <w:t>.</w:t>
      </w:r>
    </w:p>
    <w:p w14:paraId="6BBE59DE" w14:textId="61CC23BA" w:rsidR="00CF551C" w:rsidRDefault="00527154" w:rsidP="00C11940">
      <w:pPr>
        <w:pStyle w:val="NormlWeb"/>
        <w:spacing w:before="0" w:beforeAutospacing="0" w:after="120" w:afterAutospacing="0"/>
        <w:jc w:val="center"/>
      </w:pPr>
      <w:r w:rsidRPr="00527154">
        <w:rPr>
          <w:noProof/>
        </w:rPr>
        <w:drawing>
          <wp:inline distT="0" distB="0" distL="0" distR="0" wp14:anchorId="6F83840A" wp14:editId="20E4D861">
            <wp:extent cx="5940425" cy="2414016"/>
            <wp:effectExtent l="0" t="0" r="3175" b="5715"/>
            <wp:docPr id="1926562768" name="Kép 1" descr="A képen diagram, szöveg, képernyőkép, kör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562768" name="Kép 1" descr="A képen diagram, szöveg, képernyőkép, kör látható&#10;&#10;Előfordulhat, hogy a mesterséges intelligencia által létrehozott tartalom helytelen."/>
                    <pic:cNvPicPr/>
                  </pic:nvPicPr>
                  <pic:blipFill>
                    <a:blip r:embed="rId14"/>
                    <a:stretch>
                      <a:fillRect/>
                    </a:stretch>
                  </pic:blipFill>
                  <pic:spPr>
                    <a:xfrm>
                      <a:off x="0" y="0"/>
                      <a:ext cx="5944560" cy="2415696"/>
                    </a:xfrm>
                    <a:prstGeom prst="rect">
                      <a:avLst/>
                    </a:prstGeom>
                  </pic:spPr>
                </pic:pic>
              </a:graphicData>
            </a:graphic>
          </wp:inline>
        </w:drawing>
      </w:r>
    </w:p>
    <w:p w14:paraId="6A680585" w14:textId="66F3C6DF" w:rsidR="00A948A8" w:rsidRPr="00A948A8" w:rsidRDefault="5E04AD7D" w:rsidP="008E1174">
      <w:pPr>
        <w:jc w:val="both"/>
        <w:rPr>
          <w:rFonts w:ascii="Times New Roman" w:eastAsia="Times New Roman" w:hAnsi="Times New Roman" w:cs="Times New Roman"/>
          <w:sz w:val="26"/>
          <w:szCs w:val="26"/>
          <w:highlight w:val="yellow"/>
          <w:lang w:eastAsia="hu-HU"/>
        </w:rPr>
      </w:pPr>
      <w:r w:rsidRPr="5E04AD7D">
        <w:rPr>
          <w:rFonts w:ascii="Times New Roman" w:eastAsia="Times New Roman" w:hAnsi="Times New Roman" w:cs="Times New Roman"/>
          <w:b/>
          <w:bCs/>
          <w:sz w:val="26"/>
          <w:szCs w:val="26"/>
          <w:lang w:eastAsia="hu-HU"/>
        </w:rPr>
        <w:t xml:space="preserve">Társasági adó </w:t>
      </w:r>
      <w:r w:rsidRPr="5E04AD7D">
        <w:rPr>
          <w:rFonts w:ascii="Times New Roman" w:eastAsia="Times New Roman" w:hAnsi="Times New Roman" w:cs="Times New Roman"/>
          <w:sz w:val="26"/>
          <w:szCs w:val="26"/>
          <w:lang w:eastAsia="hu-HU"/>
        </w:rPr>
        <w:t>jogcímen a 2026. év első három hónapjában 210,2 milliárd forint realizálódott, amely az előző év egyenlegét 5,7 milliárd forinttal haladta meg. A</w:t>
      </w:r>
      <w:r w:rsidR="00527154">
        <w:rPr>
          <w:rFonts w:ascii="Times New Roman" w:eastAsia="Times New Roman" w:hAnsi="Times New Roman" w:cs="Times New Roman"/>
          <w:sz w:val="26"/>
          <w:szCs w:val="26"/>
          <w:lang w:eastAsia="hu-HU"/>
        </w:rPr>
        <w:t> </w:t>
      </w:r>
      <w:r w:rsidRPr="5E04AD7D">
        <w:rPr>
          <w:rFonts w:ascii="Times New Roman" w:eastAsia="Times New Roman" w:hAnsi="Times New Roman" w:cs="Times New Roman"/>
          <w:sz w:val="26"/>
          <w:szCs w:val="26"/>
          <w:lang w:eastAsia="hu-HU"/>
        </w:rPr>
        <w:t>bázisévhez viszonyított eltérés hatterében az előlegek magasabb teljesülése áll.</w:t>
      </w:r>
    </w:p>
    <w:p w14:paraId="33A8AEBC" w14:textId="77777777" w:rsidR="00A948A8" w:rsidRPr="00A948A8" w:rsidRDefault="28F9800E" w:rsidP="008E1174">
      <w:pPr>
        <w:jc w:val="both"/>
        <w:rPr>
          <w:rFonts w:ascii="Times New Roman" w:eastAsia="Times New Roman" w:hAnsi="Times New Roman" w:cs="Times New Roman"/>
          <w:sz w:val="26"/>
          <w:szCs w:val="26"/>
          <w:highlight w:val="yellow"/>
          <w:lang w:eastAsia="hu-HU"/>
        </w:rPr>
      </w:pPr>
      <w:r w:rsidRPr="28F9800E">
        <w:rPr>
          <w:rFonts w:ascii="Times New Roman" w:eastAsia="Times New Roman" w:hAnsi="Times New Roman" w:cs="Times New Roman"/>
          <w:sz w:val="26"/>
          <w:szCs w:val="26"/>
          <w:lang w:eastAsia="hu-HU"/>
        </w:rPr>
        <w:t>A</w:t>
      </w:r>
      <w:r w:rsidRPr="28F9800E">
        <w:rPr>
          <w:rFonts w:ascii="Times New Roman" w:eastAsia="Times New Roman" w:hAnsi="Times New Roman" w:cs="Times New Roman"/>
          <w:b/>
          <w:bCs/>
          <w:sz w:val="26"/>
          <w:szCs w:val="26"/>
          <w:lang w:eastAsia="hu-HU"/>
        </w:rPr>
        <w:t xml:space="preserve"> pénzügyi szervezetek befizetései</w:t>
      </w:r>
      <w:r w:rsidRPr="28F9800E">
        <w:rPr>
          <w:rFonts w:ascii="Times New Roman" w:eastAsia="Times New Roman" w:hAnsi="Times New Roman" w:cs="Times New Roman"/>
          <w:sz w:val="26"/>
          <w:szCs w:val="26"/>
          <w:lang w:eastAsia="hu-HU"/>
        </w:rPr>
        <w:t xml:space="preserve"> mérlegsoron a 2026. év első három hónapjában 33,7 milliárd forint teljesült, amely az előző év egyenlegét 1,0 milliárd forinttal haladta meg. Ennek oka a pénzügyi szervezetek különadójához köthető magasabb pénzforgalmi bevételek.</w:t>
      </w:r>
    </w:p>
    <w:p w14:paraId="69443FF4" w14:textId="133259E5" w:rsidR="00A948A8" w:rsidRPr="00A948A8" w:rsidRDefault="5E04AD7D" w:rsidP="008E1174">
      <w:pPr>
        <w:jc w:val="both"/>
        <w:rPr>
          <w:rFonts w:ascii="Times New Roman" w:eastAsia="Times New Roman" w:hAnsi="Times New Roman" w:cs="Times New Roman"/>
          <w:sz w:val="26"/>
          <w:szCs w:val="26"/>
          <w:lang w:eastAsia="hu-HU"/>
        </w:rPr>
      </w:pPr>
      <w:r w:rsidRPr="5E04AD7D">
        <w:rPr>
          <w:rFonts w:ascii="Times New Roman" w:eastAsia="Times New Roman" w:hAnsi="Times New Roman" w:cs="Times New Roman"/>
          <w:sz w:val="26"/>
          <w:szCs w:val="26"/>
          <w:lang w:eastAsia="hu-HU"/>
        </w:rPr>
        <w:t>A</w:t>
      </w:r>
      <w:r w:rsidRPr="5E04AD7D">
        <w:rPr>
          <w:rFonts w:ascii="Times New Roman" w:eastAsia="Times New Roman" w:hAnsi="Times New Roman" w:cs="Times New Roman"/>
          <w:b/>
          <w:bCs/>
          <w:sz w:val="26"/>
          <w:szCs w:val="26"/>
          <w:lang w:eastAsia="hu-HU"/>
        </w:rPr>
        <w:t xml:space="preserve"> kisadózók tételes adójából</w:t>
      </w:r>
      <w:r w:rsidRPr="5E04AD7D">
        <w:rPr>
          <w:rFonts w:ascii="Times New Roman" w:eastAsia="Times New Roman" w:hAnsi="Times New Roman" w:cs="Times New Roman"/>
          <w:sz w:val="26"/>
          <w:szCs w:val="26"/>
          <w:lang w:eastAsia="hu-HU"/>
        </w:rPr>
        <w:t xml:space="preserve"> 2026 első három hónapjában a költségvetésnek 18,6 milliárd forint bevétele keletkezett, amely 1,2 milliárd forinttal több az egy évvel korábbinál. Ennek oka az adónemet választók magasabb létszáma.</w:t>
      </w:r>
    </w:p>
    <w:p w14:paraId="3C9A1AC7" w14:textId="3E0FEB8C" w:rsidR="00A948A8" w:rsidRDefault="5E04AD7D" w:rsidP="008E1174">
      <w:pPr>
        <w:jc w:val="both"/>
        <w:rPr>
          <w:rFonts w:ascii="Times New Roman" w:eastAsia="Times New Roman" w:hAnsi="Times New Roman" w:cs="Times New Roman"/>
          <w:b/>
          <w:bCs/>
          <w:sz w:val="26"/>
          <w:szCs w:val="26"/>
          <w:lang w:eastAsia="hu-HU"/>
        </w:rPr>
      </w:pPr>
      <w:r w:rsidRPr="5E04AD7D">
        <w:rPr>
          <w:rFonts w:ascii="Times New Roman" w:eastAsia="Times New Roman" w:hAnsi="Times New Roman" w:cs="Times New Roman"/>
          <w:sz w:val="26"/>
          <w:szCs w:val="26"/>
          <w:lang w:eastAsia="hu-HU"/>
        </w:rPr>
        <w:t>A</w:t>
      </w:r>
      <w:r w:rsidRPr="5E04AD7D">
        <w:rPr>
          <w:rFonts w:ascii="Times New Roman" w:eastAsia="Times New Roman" w:hAnsi="Times New Roman" w:cs="Times New Roman"/>
          <w:b/>
          <w:bCs/>
          <w:sz w:val="26"/>
          <w:szCs w:val="26"/>
          <w:lang w:eastAsia="hu-HU"/>
        </w:rPr>
        <w:t xml:space="preserve"> kisvállalati adóból</w:t>
      </w:r>
      <w:r w:rsidRPr="5E04AD7D">
        <w:rPr>
          <w:rFonts w:ascii="Times New Roman" w:eastAsia="Times New Roman" w:hAnsi="Times New Roman" w:cs="Times New Roman"/>
          <w:sz w:val="26"/>
          <w:szCs w:val="26"/>
          <w:lang w:eastAsia="hu-HU"/>
        </w:rPr>
        <w:t xml:space="preserve"> származó bevétel a 2026. év első három hónapjában 58,1 milliárd forint volt, amely 7,6 milliárd forinttal magasabb az előző év egyenlegénél. Ennek oka az adóalanyok számának jelentős mértékű bővülése. 2026 márciusában a KIVA alanyok száma 106,2 ezer</w:t>
      </w:r>
      <w:r w:rsidR="008E1174">
        <w:rPr>
          <w:rFonts w:ascii="Times New Roman" w:eastAsia="Times New Roman" w:hAnsi="Times New Roman" w:cs="Times New Roman"/>
          <w:sz w:val="26"/>
          <w:szCs w:val="26"/>
          <w:lang w:eastAsia="hu-HU"/>
        </w:rPr>
        <w:t xml:space="preserve"> volt</w:t>
      </w:r>
      <w:r w:rsidRPr="5E04AD7D">
        <w:rPr>
          <w:rFonts w:ascii="Times New Roman" w:eastAsia="Times New Roman" w:hAnsi="Times New Roman" w:cs="Times New Roman"/>
          <w:sz w:val="26"/>
          <w:szCs w:val="26"/>
          <w:lang w:eastAsia="hu-HU"/>
        </w:rPr>
        <w:t>.</w:t>
      </w:r>
    </w:p>
    <w:p w14:paraId="092B7669" w14:textId="20176568" w:rsidR="008E34AF" w:rsidRPr="00452639" w:rsidRDefault="28F9800E" w:rsidP="008E1174">
      <w:pPr>
        <w:jc w:val="both"/>
        <w:rPr>
          <w:rFonts w:ascii="Times New Roman" w:eastAsia="Times New Roman" w:hAnsi="Times New Roman" w:cs="Times New Roman"/>
          <w:sz w:val="26"/>
          <w:szCs w:val="26"/>
        </w:rPr>
      </w:pPr>
      <w:r w:rsidRPr="28F9800E">
        <w:rPr>
          <w:rFonts w:ascii="Times New Roman" w:eastAsia="Times New Roman" w:hAnsi="Times New Roman" w:cs="Times New Roman"/>
          <w:sz w:val="26"/>
          <w:szCs w:val="26"/>
        </w:rPr>
        <w:t xml:space="preserve">A </w:t>
      </w:r>
      <w:r w:rsidRPr="28F9800E">
        <w:rPr>
          <w:rFonts w:ascii="Times New Roman" w:eastAsia="Times New Roman" w:hAnsi="Times New Roman" w:cs="Times New Roman"/>
          <w:b/>
          <w:bCs/>
          <w:sz w:val="26"/>
          <w:szCs w:val="26"/>
        </w:rPr>
        <w:t>bányajáradék-bevétel</w:t>
      </w:r>
      <w:r w:rsidRPr="28F9800E">
        <w:rPr>
          <w:rFonts w:ascii="Times New Roman" w:eastAsia="Times New Roman" w:hAnsi="Times New Roman" w:cs="Times New Roman"/>
          <w:sz w:val="26"/>
          <w:szCs w:val="26"/>
        </w:rPr>
        <w:t xml:space="preserve"> 2026 első három hónapjában 16,5 milliárd forint volt, amely 17,9 milliárd forinttal teljesült alacsonyabban az előző év azonos időszakához képest, amelynek fő oka a bányajáradék számításához kapcsolódó makroparaméterek (olajár, gázár, árfolyamok) alakulásának együttes eredője.</w:t>
      </w:r>
    </w:p>
    <w:p w14:paraId="5322C39E" w14:textId="199CF77B" w:rsidR="72AFD5C4" w:rsidRPr="00452639" w:rsidRDefault="5E04AD7D" w:rsidP="008E1174">
      <w:pPr>
        <w:jc w:val="both"/>
        <w:rPr>
          <w:rFonts w:ascii="Times New Roman" w:eastAsia="Times New Roman" w:hAnsi="Times New Roman" w:cs="Times New Roman"/>
          <w:sz w:val="26"/>
          <w:szCs w:val="26"/>
        </w:rPr>
      </w:pPr>
      <w:r w:rsidRPr="5E04AD7D">
        <w:rPr>
          <w:rFonts w:ascii="Times New Roman" w:eastAsia="Times New Roman" w:hAnsi="Times New Roman" w:cs="Times New Roman"/>
          <w:sz w:val="26"/>
          <w:szCs w:val="26"/>
        </w:rPr>
        <w:t xml:space="preserve">Az </w:t>
      </w:r>
      <w:r w:rsidRPr="5E04AD7D">
        <w:rPr>
          <w:rFonts w:ascii="Times New Roman" w:eastAsia="Times New Roman" w:hAnsi="Times New Roman" w:cs="Times New Roman"/>
          <w:b/>
          <w:bCs/>
          <w:sz w:val="26"/>
          <w:szCs w:val="26"/>
        </w:rPr>
        <w:t>útdíjakból származó bevétel</w:t>
      </w:r>
      <w:r w:rsidRPr="5E04AD7D">
        <w:rPr>
          <w:rFonts w:ascii="Times New Roman" w:eastAsia="Times New Roman" w:hAnsi="Times New Roman" w:cs="Times New Roman"/>
          <w:sz w:val="26"/>
          <w:szCs w:val="26"/>
        </w:rPr>
        <w:t xml:space="preserve"> 2024-től külön mérlegsoron jelenik meg, mely az elektronikus útdíj rendszer és az időalapú útdíj rendszer bevételeinek együttes összegét tartalmazza. Az útdíjakból 2026 első három hónapjában 179,1 milliárd forint költségvetési </w:t>
      </w:r>
      <w:r w:rsidRPr="5E04AD7D">
        <w:rPr>
          <w:rFonts w:ascii="Times New Roman" w:eastAsia="Times New Roman" w:hAnsi="Times New Roman" w:cs="Times New Roman"/>
          <w:sz w:val="26"/>
          <w:szCs w:val="26"/>
        </w:rPr>
        <w:lastRenderedPageBreak/>
        <w:t>bevétel teljesült ezen a mérlegsoron, amely 13,</w:t>
      </w:r>
      <w:r w:rsidR="00D95E94">
        <w:rPr>
          <w:rFonts w:ascii="Times New Roman" w:eastAsia="Times New Roman" w:hAnsi="Times New Roman" w:cs="Times New Roman"/>
          <w:sz w:val="26"/>
          <w:szCs w:val="26"/>
        </w:rPr>
        <w:t>4</w:t>
      </w:r>
      <w:r w:rsidRPr="5E04AD7D">
        <w:rPr>
          <w:rFonts w:ascii="Times New Roman" w:eastAsia="Times New Roman" w:hAnsi="Times New Roman" w:cs="Times New Roman"/>
          <w:sz w:val="26"/>
          <w:szCs w:val="26"/>
        </w:rPr>
        <w:t> milliárd forinttal magasabb az előző év azonos időszakához viszonyítva.</w:t>
      </w:r>
    </w:p>
    <w:p w14:paraId="685BE235" w14:textId="4823BF83" w:rsidR="008A66DB" w:rsidRPr="00671F24" w:rsidRDefault="28F9800E" w:rsidP="008E1174">
      <w:pPr>
        <w:jc w:val="both"/>
        <w:rPr>
          <w:rFonts w:ascii="Times New Roman" w:eastAsia="Times New Roman" w:hAnsi="Times New Roman" w:cs="Times New Roman"/>
          <w:sz w:val="26"/>
          <w:szCs w:val="26"/>
        </w:rPr>
      </w:pPr>
      <w:r w:rsidRPr="28F9800E">
        <w:rPr>
          <w:rFonts w:ascii="Times New Roman" w:eastAsia="Times New Roman" w:hAnsi="Times New Roman" w:cs="Times New Roman"/>
          <w:b/>
          <w:bCs/>
          <w:sz w:val="26"/>
          <w:szCs w:val="26"/>
        </w:rPr>
        <w:t xml:space="preserve">Egyéb központosított bevételekből </w:t>
      </w:r>
      <w:r w:rsidRPr="28F9800E">
        <w:rPr>
          <w:rFonts w:ascii="Times New Roman" w:eastAsia="Times New Roman" w:hAnsi="Times New Roman" w:cs="Times New Roman"/>
          <w:sz w:val="26"/>
          <w:szCs w:val="26"/>
        </w:rPr>
        <w:t>március végéig 52,0 milliárd forint bevétel teljesült, amely a törvényi előirányzat 28,5%-ának felel meg. Ezen belül kiemelhető a bírságbevételekből befolyt 22,7 milliárd forint.</w:t>
      </w:r>
    </w:p>
    <w:p w14:paraId="5FB0C4D4" w14:textId="303DD562" w:rsidR="00A948A8" w:rsidRPr="00A948A8" w:rsidRDefault="28F9800E" w:rsidP="008E1174">
      <w:pPr>
        <w:jc w:val="both"/>
        <w:rPr>
          <w:rFonts w:ascii="Times New Roman" w:eastAsia="Times New Roman" w:hAnsi="Times New Roman" w:cs="Times New Roman"/>
          <w:b/>
          <w:bCs/>
          <w:sz w:val="26"/>
          <w:szCs w:val="26"/>
          <w:highlight w:val="yellow"/>
          <w:lang w:eastAsia="hu-HU"/>
        </w:rPr>
      </w:pPr>
      <w:r w:rsidRPr="28F9800E">
        <w:rPr>
          <w:rFonts w:ascii="Times New Roman" w:eastAsia="Times New Roman" w:hAnsi="Times New Roman" w:cs="Times New Roman"/>
          <w:sz w:val="26"/>
          <w:szCs w:val="26"/>
          <w:lang w:eastAsia="hu-HU"/>
        </w:rPr>
        <w:t>Az</w:t>
      </w:r>
      <w:r w:rsidRPr="28F9800E">
        <w:rPr>
          <w:rFonts w:ascii="Times New Roman" w:eastAsia="Times New Roman" w:hAnsi="Times New Roman" w:cs="Times New Roman"/>
          <w:b/>
          <w:bCs/>
          <w:sz w:val="26"/>
          <w:szCs w:val="26"/>
          <w:lang w:eastAsia="hu-HU"/>
        </w:rPr>
        <w:t xml:space="preserve"> energia ágazat befizetései </w:t>
      </w:r>
      <w:r w:rsidRPr="28F9800E">
        <w:rPr>
          <w:rFonts w:ascii="Times New Roman" w:eastAsia="Times New Roman" w:hAnsi="Times New Roman" w:cs="Times New Roman"/>
          <w:sz w:val="26"/>
          <w:szCs w:val="26"/>
          <w:lang w:eastAsia="hu-HU"/>
        </w:rPr>
        <w:t xml:space="preserve">jogcímen </w:t>
      </w:r>
      <w:r w:rsidR="00D95E94">
        <w:rPr>
          <w:rFonts w:ascii="Times New Roman" w:eastAsia="Times New Roman" w:hAnsi="Times New Roman" w:cs="Times New Roman"/>
          <w:sz w:val="26"/>
          <w:szCs w:val="26"/>
          <w:lang w:eastAsia="hu-HU"/>
        </w:rPr>
        <w:t xml:space="preserve">a </w:t>
      </w:r>
      <w:r w:rsidRPr="28F9800E">
        <w:rPr>
          <w:rFonts w:ascii="Times New Roman" w:eastAsia="Times New Roman" w:hAnsi="Times New Roman" w:cs="Times New Roman"/>
          <w:sz w:val="26"/>
          <w:szCs w:val="26"/>
          <w:lang w:eastAsia="hu-HU"/>
        </w:rPr>
        <w:t xml:space="preserve">2026. év első három hónapjában 51,3 milliárd forint pénzforgalom teljesült, amely az előző év egyenlegét 4,4 milliárd forinttal haladta meg. A magasabb teljesülés hátterében az energiaellátók különadójának márciusi befizetése áll, amelyet ugyanakkor mérsékelt az adókulcs csökkenése és az Ural-Brent spread különadó bevételeinek elmaradása. </w:t>
      </w:r>
    </w:p>
    <w:p w14:paraId="1B7BD182" w14:textId="04F9ABF9" w:rsidR="00A948A8" w:rsidRPr="00A948A8" w:rsidRDefault="5E04AD7D" w:rsidP="008E1174">
      <w:pPr>
        <w:jc w:val="both"/>
        <w:rPr>
          <w:rFonts w:ascii="Times New Roman" w:eastAsia="Times New Roman" w:hAnsi="Times New Roman" w:cs="Times New Roman"/>
          <w:sz w:val="26"/>
          <w:szCs w:val="26"/>
          <w:lang w:eastAsia="hu-HU"/>
        </w:rPr>
      </w:pPr>
      <w:r w:rsidRPr="5E04AD7D">
        <w:rPr>
          <w:rFonts w:ascii="Times New Roman" w:eastAsia="Times New Roman" w:hAnsi="Times New Roman" w:cs="Times New Roman"/>
          <w:b/>
          <w:bCs/>
          <w:sz w:val="26"/>
          <w:szCs w:val="26"/>
          <w:lang w:eastAsia="hu-HU"/>
        </w:rPr>
        <w:t xml:space="preserve">Kiskereskedelmi adó </w:t>
      </w:r>
      <w:r w:rsidRPr="5E04AD7D">
        <w:rPr>
          <w:rFonts w:ascii="Times New Roman" w:eastAsia="Times New Roman" w:hAnsi="Times New Roman" w:cs="Times New Roman"/>
          <w:sz w:val="26"/>
          <w:szCs w:val="26"/>
          <w:lang w:eastAsia="hu-HU"/>
        </w:rPr>
        <w:t xml:space="preserve">jogcímen </w:t>
      </w:r>
      <w:r w:rsidR="00D95E94">
        <w:rPr>
          <w:rFonts w:ascii="Times New Roman" w:eastAsia="Times New Roman" w:hAnsi="Times New Roman" w:cs="Times New Roman"/>
          <w:sz w:val="26"/>
          <w:szCs w:val="26"/>
          <w:lang w:eastAsia="hu-HU"/>
        </w:rPr>
        <w:t xml:space="preserve">a </w:t>
      </w:r>
      <w:r w:rsidRPr="5E04AD7D">
        <w:rPr>
          <w:rFonts w:ascii="Times New Roman" w:eastAsia="Times New Roman" w:hAnsi="Times New Roman" w:cs="Times New Roman"/>
          <w:sz w:val="26"/>
          <w:szCs w:val="26"/>
          <w:lang w:eastAsia="hu-HU"/>
        </w:rPr>
        <w:t>2026. év első három hónapjában -1,8 milliárd forint bevétel teljesült, amely a 2025. évi egyenlegénél 6,8 milliárd forinttal alacsonyabb. A</w:t>
      </w:r>
      <w:r w:rsidR="00F17FAE">
        <w:rPr>
          <w:rFonts w:ascii="Times New Roman" w:eastAsia="Times New Roman" w:hAnsi="Times New Roman" w:cs="Times New Roman"/>
          <w:sz w:val="26"/>
          <w:szCs w:val="26"/>
          <w:lang w:eastAsia="hu-HU"/>
        </w:rPr>
        <w:t> </w:t>
      </w:r>
      <w:r w:rsidRPr="5E04AD7D">
        <w:rPr>
          <w:rFonts w:ascii="Times New Roman" w:eastAsia="Times New Roman" w:hAnsi="Times New Roman" w:cs="Times New Roman"/>
          <w:sz w:val="26"/>
          <w:szCs w:val="26"/>
          <w:lang w:eastAsia="hu-HU"/>
        </w:rPr>
        <w:t xml:space="preserve">bevételek alakulásának hátterében a 2025. </w:t>
      </w:r>
      <w:r w:rsidR="00336470">
        <w:rPr>
          <w:rFonts w:ascii="Times New Roman" w:eastAsia="Times New Roman" w:hAnsi="Times New Roman" w:cs="Times New Roman"/>
          <w:sz w:val="26"/>
          <w:szCs w:val="26"/>
          <w:lang w:eastAsia="hu-HU"/>
        </w:rPr>
        <w:t xml:space="preserve">évi </w:t>
      </w:r>
      <w:r w:rsidRPr="5E04AD7D">
        <w:rPr>
          <w:rFonts w:ascii="Times New Roman" w:eastAsia="Times New Roman" w:hAnsi="Times New Roman" w:cs="Times New Roman"/>
          <w:sz w:val="26"/>
          <w:szCs w:val="26"/>
          <w:lang w:eastAsia="hu-HU"/>
        </w:rPr>
        <w:t xml:space="preserve">adóévre várható fizetendő kiskereskedelmi adót meghaladóan megfizetett kiskereskedelmi adóelőlegek visszatérítése áll. </w:t>
      </w:r>
    </w:p>
    <w:p w14:paraId="78212F8E" w14:textId="5362568F" w:rsidR="00A948A8" w:rsidRPr="00A948A8" w:rsidRDefault="5E04AD7D" w:rsidP="008E1174">
      <w:pPr>
        <w:widowControl w:val="0"/>
        <w:jc w:val="both"/>
        <w:rPr>
          <w:rFonts w:ascii="Times New Roman" w:eastAsia="Times New Roman" w:hAnsi="Times New Roman" w:cs="Times New Roman"/>
          <w:sz w:val="26"/>
          <w:szCs w:val="26"/>
          <w:lang w:eastAsia="hu-HU"/>
        </w:rPr>
      </w:pPr>
      <w:r w:rsidRPr="5E04AD7D">
        <w:rPr>
          <w:rFonts w:ascii="Times New Roman" w:eastAsia="Times New Roman" w:hAnsi="Times New Roman" w:cs="Times New Roman"/>
          <w:sz w:val="26"/>
          <w:szCs w:val="26"/>
          <w:lang w:eastAsia="hu-HU"/>
        </w:rPr>
        <w:t xml:space="preserve">A </w:t>
      </w:r>
      <w:r w:rsidRPr="5E04AD7D">
        <w:rPr>
          <w:rFonts w:ascii="Times New Roman" w:eastAsia="Times New Roman" w:hAnsi="Times New Roman" w:cs="Times New Roman"/>
          <w:b/>
          <w:bCs/>
          <w:sz w:val="26"/>
          <w:szCs w:val="26"/>
          <w:lang w:eastAsia="hu-HU"/>
        </w:rPr>
        <w:t xml:space="preserve">rehabilitációs hozzájárulásból </w:t>
      </w:r>
      <w:r w:rsidRPr="5E04AD7D">
        <w:rPr>
          <w:rFonts w:ascii="Times New Roman" w:eastAsia="Times New Roman" w:hAnsi="Times New Roman" w:cs="Times New Roman"/>
          <w:sz w:val="26"/>
          <w:szCs w:val="26"/>
          <w:lang w:eastAsia="hu-HU"/>
        </w:rPr>
        <w:t>származó bevétel 2026 első három hónapjában 48,5 milliárd forint volt, amely 2,7 milliárd forinttal magasabb az egy évvel korábbi összegnél. Ennek oka a minimálbérnek, így az adó mértékének az emelkedése, valamint az éves elszámoláshoz köthető magas bázisidőszaki befizetések.</w:t>
      </w:r>
    </w:p>
    <w:p w14:paraId="029367B0" w14:textId="2C2A57CB" w:rsidR="00E20C14" w:rsidRDefault="5E04AD7D" w:rsidP="008E1174">
      <w:pPr>
        <w:widowControl w:val="0"/>
        <w:tabs>
          <w:tab w:val="left" w:pos="3105"/>
        </w:tabs>
        <w:jc w:val="both"/>
        <w:rPr>
          <w:rFonts w:ascii="Times New Roman" w:eastAsia="Times New Roman" w:hAnsi="Times New Roman" w:cs="Times New Roman"/>
          <w:sz w:val="26"/>
          <w:szCs w:val="26"/>
          <w:lang w:eastAsia="hu-HU"/>
        </w:rPr>
      </w:pPr>
      <w:r w:rsidRPr="5E04AD7D">
        <w:rPr>
          <w:rFonts w:ascii="Times New Roman" w:eastAsia="Times New Roman" w:hAnsi="Times New Roman" w:cs="Times New Roman"/>
          <w:sz w:val="26"/>
          <w:szCs w:val="26"/>
          <w:lang w:eastAsia="hu-HU"/>
        </w:rPr>
        <w:t>Az első negyedévben</w:t>
      </w:r>
      <w:r w:rsidRPr="5E04AD7D">
        <w:rPr>
          <w:rFonts w:ascii="Times New Roman" w:eastAsia="Times New Roman" w:hAnsi="Times New Roman" w:cs="Times New Roman"/>
          <w:b/>
          <w:bCs/>
          <w:sz w:val="26"/>
          <w:szCs w:val="26"/>
          <w:lang w:eastAsia="hu-HU"/>
        </w:rPr>
        <w:t xml:space="preserve"> általános forgalmi adóból</w:t>
      </w:r>
      <w:r w:rsidRPr="5E04AD7D">
        <w:rPr>
          <w:rFonts w:ascii="Times New Roman" w:eastAsia="Times New Roman" w:hAnsi="Times New Roman" w:cs="Times New Roman"/>
          <w:sz w:val="26"/>
          <w:szCs w:val="26"/>
          <w:lang w:eastAsia="hu-HU"/>
        </w:rPr>
        <w:t xml:space="preserve"> 1988,2</w:t>
      </w:r>
      <w:r w:rsidRPr="5E04AD7D">
        <w:rPr>
          <w:rFonts w:ascii="Times New Roman" w:eastAsia="Times New Roman" w:hAnsi="Times New Roman" w:cs="Times New Roman"/>
          <w:color w:val="000000" w:themeColor="text1"/>
          <w:sz w:val="26"/>
          <w:szCs w:val="26"/>
          <w:lang w:eastAsia="hu-HU"/>
        </w:rPr>
        <w:t> </w:t>
      </w:r>
      <w:r w:rsidRPr="5E04AD7D">
        <w:rPr>
          <w:rFonts w:ascii="Times New Roman" w:eastAsia="Times New Roman" w:hAnsi="Times New Roman" w:cs="Times New Roman"/>
          <w:sz w:val="26"/>
          <w:szCs w:val="26"/>
          <w:lang w:eastAsia="hu-HU"/>
        </w:rPr>
        <w:t>milliárd forint bevétele keletkezett a költségvetésnek, ami az egy évvel korábbi bevételt 75,1</w:t>
      </w:r>
      <w:r w:rsidRPr="5E04AD7D">
        <w:rPr>
          <w:rFonts w:ascii="Times New Roman" w:eastAsia="Times New Roman" w:hAnsi="Times New Roman" w:cs="Times New Roman"/>
          <w:color w:val="000000" w:themeColor="text1"/>
          <w:sz w:val="26"/>
          <w:szCs w:val="26"/>
          <w:lang w:eastAsia="hu-HU"/>
        </w:rPr>
        <w:t> </w:t>
      </w:r>
      <w:r w:rsidRPr="5E04AD7D">
        <w:rPr>
          <w:rFonts w:ascii="Times New Roman" w:eastAsia="Times New Roman" w:hAnsi="Times New Roman" w:cs="Times New Roman"/>
          <w:sz w:val="26"/>
          <w:szCs w:val="26"/>
          <w:lang w:eastAsia="hu-HU"/>
        </w:rPr>
        <w:t>milliárd forinttal haladja meg.</w:t>
      </w:r>
    </w:p>
    <w:tbl>
      <w:tblPr>
        <w:tblW w:w="6676" w:type="dxa"/>
        <w:jc w:val="center"/>
        <w:tblCellMar>
          <w:left w:w="70" w:type="dxa"/>
          <w:right w:w="70" w:type="dxa"/>
        </w:tblCellMar>
        <w:tblLook w:val="04A0" w:firstRow="1" w:lastRow="0" w:firstColumn="1" w:lastColumn="0" w:noHBand="0" w:noVBand="1"/>
      </w:tblPr>
      <w:tblGrid>
        <w:gridCol w:w="1787"/>
        <w:gridCol w:w="1300"/>
        <w:gridCol w:w="1675"/>
        <w:gridCol w:w="1110"/>
        <w:gridCol w:w="804"/>
      </w:tblGrid>
      <w:tr w:rsidR="00A948A8" w:rsidRPr="00A948A8" w14:paraId="02959B8C" w14:textId="77777777" w:rsidTr="00F17FAE">
        <w:trPr>
          <w:trHeight w:val="315"/>
          <w:jc w:val="center"/>
        </w:trPr>
        <w:tc>
          <w:tcPr>
            <w:tcW w:w="6676" w:type="dxa"/>
            <w:gridSpan w:val="5"/>
            <w:tcBorders>
              <w:top w:val="nil"/>
              <w:left w:val="nil"/>
              <w:bottom w:val="single" w:sz="4" w:space="0" w:color="auto"/>
              <w:right w:val="nil"/>
            </w:tcBorders>
            <w:noWrap/>
            <w:vAlign w:val="center"/>
            <w:hideMark/>
          </w:tcPr>
          <w:p w14:paraId="79CB2D4B" w14:textId="77777777" w:rsidR="00A948A8" w:rsidRPr="00A948A8" w:rsidRDefault="5E04AD7D" w:rsidP="00F17FAE">
            <w:pPr>
              <w:spacing w:after="120"/>
              <w:jc w:val="center"/>
              <w:rPr>
                <w:rFonts w:ascii="Times New Roman" w:eastAsia="Times New Roman" w:hAnsi="Times New Roman" w:cs="Times New Roman"/>
                <w:b/>
                <w:bCs/>
                <w:color w:val="000000" w:themeColor="text1"/>
                <w:lang w:eastAsia="hu-HU"/>
              </w:rPr>
            </w:pPr>
            <w:r w:rsidRPr="5E04AD7D">
              <w:rPr>
                <w:rFonts w:ascii="Times New Roman" w:eastAsia="Times New Roman" w:hAnsi="Times New Roman" w:cs="Times New Roman"/>
                <w:b/>
                <w:bCs/>
                <w:color w:val="000000" w:themeColor="text1"/>
                <w:lang w:eastAsia="hu-HU"/>
              </w:rPr>
              <w:t>Általános forgalmi adó bevétel alakulása (milliárd forint)</w:t>
            </w:r>
          </w:p>
        </w:tc>
      </w:tr>
      <w:tr w:rsidR="008E1174" w:rsidRPr="00A948A8" w14:paraId="11BA4AFD" w14:textId="77777777" w:rsidTr="008E1174">
        <w:trPr>
          <w:trHeight w:val="345"/>
          <w:jc w:val="center"/>
        </w:trPr>
        <w:tc>
          <w:tcPr>
            <w:tcW w:w="1787"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407D02BB" w14:textId="77777777" w:rsidR="008E1174" w:rsidRPr="00A948A8" w:rsidRDefault="008E1174" w:rsidP="5E04AD7D">
            <w:pPr>
              <w:spacing w:after="0" w:line="240" w:lineRule="auto"/>
              <w:jc w:val="center"/>
              <w:rPr>
                <w:rFonts w:ascii="Times New Roman" w:eastAsia="Times New Roman" w:hAnsi="Times New Roman" w:cs="Times New Roman"/>
                <w:b/>
                <w:bCs/>
                <w:color w:val="000000" w:themeColor="text1"/>
                <w:lang w:eastAsia="hu-HU"/>
              </w:rPr>
            </w:pPr>
            <w:r w:rsidRPr="5E04AD7D">
              <w:rPr>
                <w:rFonts w:ascii="Times New Roman" w:eastAsia="Times New Roman" w:hAnsi="Times New Roman" w:cs="Times New Roman"/>
                <w:b/>
                <w:bCs/>
                <w:color w:val="000000" w:themeColor="text1"/>
                <w:lang w:eastAsia="hu-HU"/>
              </w:rPr>
              <w:t>Megnevezés</w:t>
            </w:r>
          </w:p>
        </w:tc>
        <w:tc>
          <w:tcPr>
            <w:tcW w:w="1300" w:type="dxa"/>
            <w:vMerge w:val="restart"/>
            <w:tcBorders>
              <w:top w:val="single" w:sz="4" w:space="0" w:color="auto"/>
              <w:left w:val="single" w:sz="4" w:space="0" w:color="auto"/>
              <w:right w:val="single" w:sz="4" w:space="0" w:color="auto"/>
            </w:tcBorders>
            <w:shd w:val="clear" w:color="auto" w:fill="BDD6EE" w:themeFill="accent1" w:themeFillTint="66"/>
            <w:vAlign w:val="center"/>
            <w:hideMark/>
          </w:tcPr>
          <w:p w14:paraId="50F81926" w14:textId="77777777" w:rsidR="008E1174" w:rsidRPr="00A948A8" w:rsidRDefault="008E1174" w:rsidP="28F9800E">
            <w:pPr>
              <w:spacing w:after="0" w:line="240" w:lineRule="auto"/>
              <w:jc w:val="center"/>
              <w:rPr>
                <w:rFonts w:ascii="Times New Roman" w:eastAsia="Times New Roman" w:hAnsi="Times New Roman" w:cs="Times New Roman"/>
                <w:b/>
                <w:bCs/>
                <w:color w:val="000000" w:themeColor="text1"/>
                <w:lang w:eastAsia="hu-HU"/>
              </w:rPr>
            </w:pPr>
            <w:r w:rsidRPr="28F9800E">
              <w:rPr>
                <w:rFonts w:ascii="Times New Roman" w:eastAsia="Times New Roman" w:hAnsi="Times New Roman" w:cs="Times New Roman"/>
                <w:b/>
                <w:bCs/>
                <w:color w:val="000000" w:themeColor="text1"/>
                <w:lang w:eastAsia="hu-HU"/>
              </w:rPr>
              <w:t>2025.</w:t>
            </w:r>
          </w:p>
          <w:p w14:paraId="16DE949C" w14:textId="58E99DCC" w:rsidR="008E1174" w:rsidRPr="00A948A8" w:rsidRDefault="008E1174" w:rsidP="5E04AD7D">
            <w:pPr>
              <w:spacing w:after="0" w:line="240" w:lineRule="auto"/>
              <w:jc w:val="center"/>
              <w:rPr>
                <w:rFonts w:ascii="Times New Roman" w:eastAsia="Times New Roman" w:hAnsi="Times New Roman" w:cs="Times New Roman"/>
                <w:b/>
                <w:bCs/>
                <w:color w:val="000000" w:themeColor="text1"/>
                <w:lang w:eastAsia="hu-HU"/>
              </w:rPr>
            </w:pPr>
            <w:r w:rsidRPr="5E04AD7D">
              <w:rPr>
                <w:rFonts w:ascii="Times New Roman" w:eastAsia="Times New Roman" w:hAnsi="Times New Roman" w:cs="Times New Roman"/>
                <w:b/>
                <w:bCs/>
                <w:color w:val="000000" w:themeColor="text1"/>
                <w:lang w:eastAsia="hu-HU"/>
              </w:rPr>
              <w:t>I-III. hó</w:t>
            </w:r>
          </w:p>
        </w:tc>
        <w:tc>
          <w:tcPr>
            <w:tcW w:w="1675" w:type="dxa"/>
            <w:vMerge w:val="restart"/>
            <w:tcBorders>
              <w:top w:val="single" w:sz="4" w:space="0" w:color="auto"/>
              <w:left w:val="single" w:sz="4" w:space="0" w:color="auto"/>
              <w:right w:val="single" w:sz="4" w:space="0" w:color="auto"/>
            </w:tcBorders>
            <w:shd w:val="clear" w:color="auto" w:fill="BDD6EE" w:themeFill="accent1" w:themeFillTint="66"/>
            <w:vAlign w:val="center"/>
            <w:hideMark/>
          </w:tcPr>
          <w:p w14:paraId="16F523FA" w14:textId="77777777" w:rsidR="008E1174" w:rsidRPr="00A948A8" w:rsidRDefault="008E1174" w:rsidP="28F9800E">
            <w:pPr>
              <w:spacing w:after="0" w:line="240" w:lineRule="auto"/>
              <w:jc w:val="center"/>
              <w:rPr>
                <w:rFonts w:ascii="Times New Roman" w:eastAsia="Times New Roman" w:hAnsi="Times New Roman" w:cs="Times New Roman"/>
                <w:b/>
                <w:bCs/>
                <w:color w:val="000000" w:themeColor="text1"/>
                <w:lang w:eastAsia="hu-HU"/>
              </w:rPr>
            </w:pPr>
            <w:r w:rsidRPr="28F9800E">
              <w:rPr>
                <w:rFonts w:ascii="Times New Roman" w:eastAsia="Times New Roman" w:hAnsi="Times New Roman" w:cs="Times New Roman"/>
                <w:b/>
                <w:bCs/>
                <w:color w:val="000000" w:themeColor="text1"/>
                <w:lang w:eastAsia="hu-HU"/>
              </w:rPr>
              <w:t>2026.</w:t>
            </w:r>
          </w:p>
          <w:p w14:paraId="73F7D286" w14:textId="5571F41A" w:rsidR="008E1174" w:rsidRPr="00A948A8" w:rsidRDefault="008E1174" w:rsidP="5E04AD7D">
            <w:pPr>
              <w:spacing w:after="0" w:line="240" w:lineRule="auto"/>
              <w:jc w:val="center"/>
              <w:rPr>
                <w:rFonts w:ascii="Times New Roman" w:eastAsia="Times New Roman" w:hAnsi="Times New Roman" w:cs="Times New Roman"/>
                <w:b/>
                <w:bCs/>
                <w:color w:val="000000" w:themeColor="text1"/>
                <w:lang w:eastAsia="hu-HU"/>
              </w:rPr>
            </w:pPr>
            <w:r w:rsidRPr="5E04AD7D">
              <w:rPr>
                <w:rFonts w:ascii="Times New Roman" w:eastAsia="Times New Roman" w:hAnsi="Times New Roman" w:cs="Times New Roman"/>
                <w:b/>
                <w:bCs/>
                <w:color w:val="000000" w:themeColor="text1"/>
                <w:lang w:eastAsia="hu-HU"/>
              </w:rPr>
              <w:t>I-III. hó</w:t>
            </w:r>
          </w:p>
        </w:tc>
        <w:tc>
          <w:tcPr>
            <w:tcW w:w="191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0554652E" w14:textId="77777777" w:rsidR="008E1174" w:rsidRPr="00A948A8" w:rsidRDefault="008E1174" w:rsidP="5E04AD7D">
            <w:pPr>
              <w:spacing w:after="0" w:line="240" w:lineRule="auto"/>
              <w:jc w:val="center"/>
              <w:rPr>
                <w:rFonts w:ascii="Times New Roman" w:eastAsia="Times New Roman" w:hAnsi="Times New Roman" w:cs="Times New Roman"/>
                <w:b/>
                <w:bCs/>
                <w:color w:val="000000" w:themeColor="text1"/>
                <w:lang w:eastAsia="hu-HU"/>
              </w:rPr>
            </w:pPr>
            <w:r w:rsidRPr="5E04AD7D">
              <w:rPr>
                <w:rFonts w:ascii="Times New Roman" w:eastAsia="Times New Roman" w:hAnsi="Times New Roman" w:cs="Times New Roman"/>
                <w:b/>
                <w:bCs/>
                <w:color w:val="000000" w:themeColor="text1"/>
                <w:lang w:eastAsia="hu-HU"/>
              </w:rPr>
              <w:t>Eltérés</w:t>
            </w:r>
          </w:p>
        </w:tc>
      </w:tr>
      <w:tr w:rsidR="008E1174" w:rsidRPr="00A948A8" w14:paraId="125D31A5" w14:textId="77777777" w:rsidTr="008E1174">
        <w:trPr>
          <w:trHeight w:val="345"/>
          <w:jc w:val="center"/>
        </w:trPr>
        <w:tc>
          <w:tcPr>
            <w:tcW w:w="1787"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2DB8502" w14:textId="77777777" w:rsidR="008E1174" w:rsidRPr="00A948A8" w:rsidRDefault="008E1174" w:rsidP="00A948A8">
            <w:pPr>
              <w:spacing w:after="0" w:line="240" w:lineRule="auto"/>
              <w:rPr>
                <w:rFonts w:ascii="Times New Roman" w:eastAsia="Times New Roman" w:hAnsi="Times New Roman" w:cs="Times New Roman"/>
                <w:b/>
                <w:bCs/>
                <w:color w:val="000000"/>
                <w:lang w:eastAsia="hu-HU"/>
              </w:rPr>
            </w:pPr>
          </w:p>
        </w:tc>
        <w:tc>
          <w:tcPr>
            <w:tcW w:w="1300" w:type="dxa"/>
            <w:vMerge/>
            <w:tcBorders>
              <w:left w:val="single" w:sz="4" w:space="0" w:color="auto"/>
              <w:bottom w:val="single" w:sz="4" w:space="0" w:color="auto"/>
              <w:right w:val="single" w:sz="4" w:space="0" w:color="auto"/>
            </w:tcBorders>
            <w:shd w:val="clear" w:color="auto" w:fill="BDD6EE" w:themeFill="accent1" w:themeFillTint="66"/>
            <w:vAlign w:val="center"/>
            <w:hideMark/>
          </w:tcPr>
          <w:p w14:paraId="2A8A60F0" w14:textId="31DB9BE3" w:rsidR="008E1174" w:rsidRPr="00A948A8" w:rsidRDefault="008E1174" w:rsidP="5E04AD7D">
            <w:pPr>
              <w:spacing w:after="0" w:line="240" w:lineRule="auto"/>
              <w:jc w:val="center"/>
              <w:rPr>
                <w:rFonts w:ascii="Times New Roman" w:eastAsia="Times New Roman" w:hAnsi="Times New Roman" w:cs="Times New Roman"/>
                <w:b/>
                <w:bCs/>
                <w:color w:val="000000" w:themeColor="text1"/>
                <w:lang w:eastAsia="hu-HU"/>
              </w:rPr>
            </w:pPr>
          </w:p>
        </w:tc>
        <w:tc>
          <w:tcPr>
            <w:tcW w:w="1675" w:type="dxa"/>
            <w:vMerge/>
            <w:tcBorders>
              <w:left w:val="single" w:sz="4" w:space="0" w:color="auto"/>
              <w:bottom w:val="single" w:sz="4" w:space="0" w:color="auto"/>
              <w:right w:val="single" w:sz="4" w:space="0" w:color="auto"/>
            </w:tcBorders>
            <w:shd w:val="clear" w:color="auto" w:fill="BDD6EE" w:themeFill="accent1" w:themeFillTint="66"/>
            <w:vAlign w:val="center"/>
            <w:hideMark/>
          </w:tcPr>
          <w:p w14:paraId="19B5AE68" w14:textId="3E2B1C9A" w:rsidR="008E1174" w:rsidRPr="00A948A8" w:rsidRDefault="008E1174" w:rsidP="5E04AD7D">
            <w:pPr>
              <w:spacing w:after="0" w:line="240" w:lineRule="auto"/>
              <w:jc w:val="center"/>
              <w:rPr>
                <w:rFonts w:ascii="Times New Roman" w:eastAsia="Times New Roman" w:hAnsi="Times New Roman" w:cs="Times New Roman"/>
                <w:b/>
                <w:bCs/>
                <w:color w:val="000000" w:themeColor="text1"/>
                <w:lang w:eastAsia="hu-HU"/>
              </w:rPr>
            </w:pPr>
          </w:p>
        </w:tc>
        <w:tc>
          <w:tcPr>
            <w:tcW w:w="111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69F08FBD" w14:textId="77777777" w:rsidR="008E1174" w:rsidRPr="00A948A8" w:rsidRDefault="008E1174" w:rsidP="5E04AD7D">
            <w:pPr>
              <w:spacing w:after="0" w:line="240" w:lineRule="auto"/>
              <w:jc w:val="center"/>
              <w:rPr>
                <w:rFonts w:ascii="Times New Roman" w:eastAsia="Times New Roman" w:hAnsi="Times New Roman" w:cs="Times New Roman"/>
                <w:b/>
                <w:bCs/>
                <w:color w:val="000000" w:themeColor="text1"/>
                <w:lang w:eastAsia="hu-HU"/>
              </w:rPr>
            </w:pPr>
            <w:r w:rsidRPr="5E04AD7D">
              <w:rPr>
                <w:rFonts w:ascii="Times New Roman" w:eastAsia="Times New Roman" w:hAnsi="Times New Roman" w:cs="Times New Roman"/>
                <w:b/>
                <w:bCs/>
                <w:color w:val="000000" w:themeColor="text1"/>
                <w:lang w:eastAsia="hu-HU"/>
              </w:rPr>
              <w:t>Mrd Ft</w:t>
            </w:r>
          </w:p>
        </w:tc>
        <w:tc>
          <w:tcPr>
            <w:tcW w:w="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4CC73C32" w14:textId="77777777" w:rsidR="008E1174" w:rsidRPr="00A948A8" w:rsidRDefault="008E1174" w:rsidP="5E04AD7D">
            <w:pPr>
              <w:spacing w:after="0" w:line="240" w:lineRule="auto"/>
              <w:jc w:val="center"/>
              <w:rPr>
                <w:rFonts w:ascii="Times New Roman" w:eastAsia="Times New Roman" w:hAnsi="Times New Roman" w:cs="Times New Roman"/>
                <w:b/>
                <w:bCs/>
                <w:color w:val="000000" w:themeColor="text1"/>
                <w:lang w:eastAsia="hu-HU"/>
              </w:rPr>
            </w:pPr>
            <w:r w:rsidRPr="5E04AD7D">
              <w:rPr>
                <w:rFonts w:ascii="Times New Roman" w:eastAsia="Times New Roman" w:hAnsi="Times New Roman" w:cs="Times New Roman"/>
                <w:b/>
                <w:bCs/>
                <w:color w:val="000000" w:themeColor="text1"/>
                <w:lang w:eastAsia="hu-HU"/>
              </w:rPr>
              <w:t>%</w:t>
            </w:r>
          </w:p>
        </w:tc>
      </w:tr>
      <w:tr w:rsidR="00A948A8" w:rsidRPr="00A948A8" w14:paraId="2571F875" w14:textId="77777777" w:rsidTr="00F17FAE">
        <w:trPr>
          <w:trHeight w:val="345"/>
          <w:jc w:val="center"/>
        </w:trPr>
        <w:tc>
          <w:tcPr>
            <w:tcW w:w="1787" w:type="dxa"/>
            <w:tcBorders>
              <w:top w:val="single" w:sz="4" w:space="0" w:color="auto"/>
              <w:left w:val="single" w:sz="4" w:space="0" w:color="auto"/>
              <w:bottom w:val="single" w:sz="4" w:space="0" w:color="auto"/>
              <w:right w:val="single" w:sz="4" w:space="0" w:color="auto"/>
            </w:tcBorders>
            <w:noWrap/>
            <w:vAlign w:val="center"/>
            <w:hideMark/>
          </w:tcPr>
          <w:p w14:paraId="1C463480" w14:textId="77777777" w:rsidR="00A948A8" w:rsidRPr="00A948A8" w:rsidRDefault="5E04AD7D" w:rsidP="5E04AD7D">
            <w:pPr>
              <w:spacing w:after="0" w:line="240" w:lineRule="auto"/>
              <w:rPr>
                <w:rFonts w:ascii="Times New Roman" w:eastAsia="Times New Roman" w:hAnsi="Times New Roman" w:cs="Times New Roman"/>
                <w:color w:val="000000" w:themeColor="text1"/>
                <w:lang w:eastAsia="hu-HU"/>
              </w:rPr>
            </w:pPr>
            <w:r w:rsidRPr="5E04AD7D">
              <w:rPr>
                <w:rFonts w:ascii="Times New Roman" w:eastAsia="Times New Roman" w:hAnsi="Times New Roman" w:cs="Times New Roman"/>
                <w:color w:val="000000" w:themeColor="text1"/>
                <w:lang w:eastAsia="hu-HU"/>
              </w:rPr>
              <w:t>Befizetés</w:t>
            </w:r>
          </w:p>
        </w:tc>
        <w:tc>
          <w:tcPr>
            <w:tcW w:w="1300" w:type="dxa"/>
            <w:tcBorders>
              <w:top w:val="single" w:sz="4" w:space="0" w:color="auto"/>
              <w:left w:val="single" w:sz="4" w:space="0" w:color="auto"/>
              <w:bottom w:val="single" w:sz="4" w:space="0" w:color="auto"/>
              <w:right w:val="single" w:sz="4" w:space="0" w:color="auto"/>
            </w:tcBorders>
            <w:noWrap/>
            <w:vAlign w:val="center"/>
            <w:hideMark/>
          </w:tcPr>
          <w:p w14:paraId="4C58D6C2" w14:textId="5BA36B05" w:rsidR="00A948A8" w:rsidRPr="00A948A8" w:rsidRDefault="28F9800E" w:rsidP="28F9800E">
            <w:pPr>
              <w:spacing w:after="0" w:line="240" w:lineRule="auto"/>
              <w:jc w:val="right"/>
              <w:rPr>
                <w:rFonts w:ascii="Times New Roman" w:eastAsia="Times New Roman" w:hAnsi="Times New Roman" w:cs="Times New Roman"/>
                <w:color w:val="000000" w:themeColor="text1"/>
                <w:highlight w:val="yellow"/>
                <w:lang w:eastAsia="hu-HU"/>
              </w:rPr>
            </w:pPr>
            <w:r w:rsidRPr="28F9800E">
              <w:rPr>
                <w:rFonts w:ascii="Times New Roman" w:eastAsia="Times New Roman" w:hAnsi="Times New Roman" w:cs="Times New Roman"/>
                <w:color w:val="000000" w:themeColor="text1"/>
                <w:lang w:eastAsia="hu-HU"/>
              </w:rPr>
              <w:t>3240,9</w:t>
            </w:r>
          </w:p>
        </w:tc>
        <w:tc>
          <w:tcPr>
            <w:tcW w:w="1675" w:type="dxa"/>
            <w:tcBorders>
              <w:top w:val="single" w:sz="4" w:space="0" w:color="auto"/>
              <w:left w:val="single" w:sz="4" w:space="0" w:color="auto"/>
              <w:bottom w:val="single" w:sz="4" w:space="0" w:color="auto"/>
              <w:right w:val="single" w:sz="4" w:space="0" w:color="auto"/>
            </w:tcBorders>
            <w:noWrap/>
            <w:vAlign w:val="center"/>
            <w:hideMark/>
          </w:tcPr>
          <w:p w14:paraId="0733BC87" w14:textId="1D359C65" w:rsidR="00A948A8" w:rsidRPr="00A948A8" w:rsidRDefault="28F9800E" w:rsidP="28F9800E">
            <w:pPr>
              <w:spacing w:after="0" w:line="240" w:lineRule="auto"/>
              <w:jc w:val="right"/>
              <w:rPr>
                <w:rFonts w:ascii="Times New Roman" w:eastAsia="Times New Roman" w:hAnsi="Times New Roman" w:cs="Times New Roman"/>
                <w:color w:val="000000" w:themeColor="text1"/>
                <w:highlight w:val="yellow"/>
                <w:lang w:eastAsia="hu-HU"/>
              </w:rPr>
            </w:pPr>
            <w:r w:rsidRPr="28F9800E">
              <w:rPr>
                <w:rFonts w:ascii="Times New Roman" w:eastAsia="Times New Roman" w:hAnsi="Times New Roman" w:cs="Times New Roman"/>
                <w:color w:val="000000" w:themeColor="text1"/>
                <w:lang w:eastAsia="hu-HU"/>
              </w:rPr>
              <w:t>3371,1</w:t>
            </w:r>
          </w:p>
        </w:tc>
        <w:tc>
          <w:tcPr>
            <w:tcW w:w="1110" w:type="dxa"/>
            <w:tcBorders>
              <w:top w:val="single" w:sz="4" w:space="0" w:color="auto"/>
              <w:left w:val="single" w:sz="4" w:space="0" w:color="auto"/>
              <w:bottom w:val="single" w:sz="4" w:space="0" w:color="auto"/>
              <w:right w:val="single" w:sz="4" w:space="0" w:color="auto"/>
            </w:tcBorders>
            <w:noWrap/>
            <w:vAlign w:val="center"/>
            <w:hideMark/>
          </w:tcPr>
          <w:p w14:paraId="66D437AB" w14:textId="77777777" w:rsidR="00A948A8" w:rsidRPr="00A948A8" w:rsidRDefault="28F9800E" w:rsidP="28F9800E">
            <w:pPr>
              <w:spacing w:after="0" w:line="240" w:lineRule="auto"/>
              <w:jc w:val="right"/>
              <w:rPr>
                <w:rFonts w:ascii="Times New Roman" w:eastAsia="Times New Roman" w:hAnsi="Times New Roman" w:cs="Times New Roman"/>
                <w:color w:val="000000" w:themeColor="text1"/>
                <w:highlight w:val="yellow"/>
                <w:lang w:eastAsia="hu-HU"/>
              </w:rPr>
            </w:pPr>
            <w:r w:rsidRPr="28F9800E">
              <w:rPr>
                <w:rFonts w:ascii="Times New Roman" w:eastAsia="Times New Roman" w:hAnsi="Times New Roman" w:cs="Times New Roman"/>
                <w:color w:val="000000" w:themeColor="text1"/>
                <w:lang w:eastAsia="hu-HU"/>
              </w:rPr>
              <w:t>130,2</w:t>
            </w:r>
          </w:p>
        </w:tc>
        <w:tc>
          <w:tcPr>
            <w:tcW w:w="804" w:type="dxa"/>
            <w:tcBorders>
              <w:top w:val="single" w:sz="4" w:space="0" w:color="auto"/>
              <w:left w:val="single" w:sz="4" w:space="0" w:color="auto"/>
              <w:bottom w:val="single" w:sz="4" w:space="0" w:color="auto"/>
              <w:right w:val="single" w:sz="4" w:space="0" w:color="auto"/>
            </w:tcBorders>
            <w:noWrap/>
            <w:vAlign w:val="center"/>
            <w:hideMark/>
          </w:tcPr>
          <w:p w14:paraId="766896E6" w14:textId="77777777" w:rsidR="00A948A8" w:rsidRPr="00A948A8" w:rsidRDefault="28F9800E" w:rsidP="28F9800E">
            <w:pPr>
              <w:spacing w:after="0" w:line="240" w:lineRule="auto"/>
              <w:jc w:val="right"/>
              <w:rPr>
                <w:rFonts w:ascii="Times New Roman" w:eastAsia="Times New Roman" w:hAnsi="Times New Roman" w:cs="Times New Roman"/>
                <w:color w:val="000000" w:themeColor="text1"/>
                <w:highlight w:val="yellow"/>
                <w:lang w:eastAsia="hu-HU"/>
              </w:rPr>
            </w:pPr>
            <w:r w:rsidRPr="28F9800E">
              <w:rPr>
                <w:rFonts w:ascii="Times New Roman" w:eastAsia="Times New Roman" w:hAnsi="Times New Roman" w:cs="Times New Roman"/>
                <w:color w:val="000000" w:themeColor="text1"/>
                <w:lang w:eastAsia="hu-HU"/>
              </w:rPr>
              <w:t>104,0</w:t>
            </w:r>
          </w:p>
        </w:tc>
      </w:tr>
      <w:tr w:rsidR="00A948A8" w:rsidRPr="00A948A8" w14:paraId="48BCF0A8" w14:textId="77777777" w:rsidTr="00F17FAE">
        <w:trPr>
          <w:trHeight w:val="345"/>
          <w:jc w:val="center"/>
        </w:trPr>
        <w:tc>
          <w:tcPr>
            <w:tcW w:w="1787" w:type="dxa"/>
            <w:tcBorders>
              <w:top w:val="single" w:sz="4" w:space="0" w:color="auto"/>
              <w:left w:val="single" w:sz="4" w:space="0" w:color="auto"/>
              <w:bottom w:val="single" w:sz="4" w:space="0" w:color="auto"/>
              <w:right w:val="single" w:sz="4" w:space="0" w:color="auto"/>
            </w:tcBorders>
            <w:noWrap/>
            <w:vAlign w:val="center"/>
            <w:hideMark/>
          </w:tcPr>
          <w:p w14:paraId="20556092" w14:textId="77777777" w:rsidR="00A948A8" w:rsidRPr="00A948A8" w:rsidRDefault="5E04AD7D" w:rsidP="5E04AD7D">
            <w:pPr>
              <w:spacing w:after="0" w:line="240" w:lineRule="auto"/>
              <w:rPr>
                <w:rFonts w:ascii="Times New Roman" w:eastAsia="Times New Roman" w:hAnsi="Times New Roman" w:cs="Times New Roman"/>
                <w:color w:val="000000" w:themeColor="text1"/>
                <w:lang w:eastAsia="hu-HU"/>
              </w:rPr>
            </w:pPr>
            <w:r w:rsidRPr="5E04AD7D">
              <w:rPr>
                <w:rFonts w:ascii="Times New Roman" w:eastAsia="Times New Roman" w:hAnsi="Times New Roman" w:cs="Times New Roman"/>
                <w:color w:val="000000" w:themeColor="text1"/>
                <w:lang w:eastAsia="hu-HU"/>
              </w:rPr>
              <w:t>Kiutalás</w:t>
            </w:r>
          </w:p>
        </w:tc>
        <w:tc>
          <w:tcPr>
            <w:tcW w:w="1300" w:type="dxa"/>
            <w:tcBorders>
              <w:top w:val="single" w:sz="4" w:space="0" w:color="auto"/>
              <w:left w:val="single" w:sz="4" w:space="0" w:color="auto"/>
              <w:bottom w:val="single" w:sz="4" w:space="0" w:color="auto"/>
              <w:right w:val="single" w:sz="4" w:space="0" w:color="auto"/>
            </w:tcBorders>
            <w:noWrap/>
            <w:vAlign w:val="center"/>
            <w:hideMark/>
          </w:tcPr>
          <w:p w14:paraId="06668022" w14:textId="274D7FC7" w:rsidR="00A948A8" w:rsidRPr="00A948A8" w:rsidRDefault="28F9800E" w:rsidP="28F9800E">
            <w:pPr>
              <w:spacing w:after="0" w:line="240" w:lineRule="auto"/>
              <w:jc w:val="right"/>
              <w:rPr>
                <w:rFonts w:ascii="Times New Roman" w:eastAsia="Times New Roman" w:hAnsi="Times New Roman" w:cs="Times New Roman"/>
                <w:color w:val="000000" w:themeColor="text1"/>
                <w:highlight w:val="yellow"/>
                <w:lang w:eastAsia="hu-HU"/>
              </w:rPr>
            </w:pPr>
            <w:r w:rsidRPr="28F9800E">
              <w:rPr>
                <w:rFonts w:ascii="Times New Roman" w:eastAsia="Times New Roman" w:hAnsi="Times New Roman" w:cs="Times New Roman"/>
                <w:color w:val="000000" w:themeColor="text1"/>
                <w:lang w:eastAsia="hu-HU"/>
              </w:rPr>
              <w:t>1327,8</w:t>
            </w:r>
          </w:p>
        </w:tc>
        <w:tc>
          <w:tcPr>
            <w:tcW w:w="1675" w:type="dxa"/>
            <w:tcBorders>
              <w:top w:val="single" w:sz="4" w:space="0" w:color="auto"/>
              <w:left w:val="single" w:sz="4" w:space="0" w:color="auto"/>
              <w:bottom w:val="single" w:sz="4" w:space="0" w:color="auto"/>
              <w:right w:val="single" w:sz="4" w:space="0" w:color="auto"/>
            </w:tcBorders>
            <w:noWrap/>
            <w:vAlign w:val="center"/>
            <w:hideMark/>
          </w:tcPr>
          <w:p w14:paraId="254E4995" w14:textId="2CBD9A25" w:rsidR="00A948A8" w:rsidRPr="00A948A8" w:rsidRDefault="28F9800E" w:rsidP="28F9800E">
            <w:pPr>
              <w:spacing w:after="0" w:line="240" w:lineRule="auto"/>
              <w:jc w:val="right"/>
              <w:rPr>
                <w:rFonts w:ascii="Times New Roman" w:eastAsia="Times New Roman" w:hAnsi="Times New Roman" w:cs="Times New Roman"/>
                <w:color w:val="000000" w:themeColor="text1"/>
                <w:highlight w:val="yellow"/>
                <w:lang w:eastAsia="hu-HU"/>
              </w:rPr>
            </w:pPr>
            <w:r w:rsidRPr="28F9800E">
              <w:rPr>
                <w:rFonts w:ascii="Times New Roman" w:eastAsia="Times New Roman" w:hAnsi="Times New Roman" w:cs="Times New Roman"/>
                <w:color w:val="000000" w:themeColor="text1"/>
                <w:lang w:eastAsia="hu-HU"/>
              </w:rPr>
              <w:t>1382,9</w:t>
            </w:r>
          </w:p>
        </w:tc>
        <w:tc>
          <w:tcPr>
            <w:tcW w:w="1110" w:type="dxa"/>
            <w:tcBorders>
              <w:top w:val="single" w:sz="4" w:space="0" w:color="auto"/>
              <w:left w:val="single" w:sz="4" w:space="0" w:color="auto"/>
              <w:bottom w:val="single" w:sz="4" w:space="0" w:color="auto"/>
              <w:right w:val="single" w:sz="4" w:space="0" w:color="auto"/>
            </w:tcBorders>
            <w:noWrap/>
            <w:vAlign w:val="center"/>
            <w:hideMark/>
          </w:tcPr>
          <w:p w14:paraId="47699991" w14:textId="77777777" w:rsidR="00A948A8" w:rsidRPr="00A948A8" w:rsidRDefault="28F9800E" w:rsidP="28F9800E">
            <w:pPr>
              <w:spacing w:after="0" w:line="240" w:lineRule="auto"/>
              <w:jc w:val="right"/>
              <w:rPr>
                <w:rFonts w:ascii="Times New Roman" w:eastAsia="Times New Roman" w:hAnsi="Times New Roman" w:cs="Times New Roman"/>
                <w:color w:val="000000" w:themeColor="text1"/>
                <w:highlight w:val="yellow"/>
                <w:lang w:eastAsia="hu-HU"/>
              </w:rPr>
            </w:pPr>
            <w:r w:rsidRPr="28F9800E">
              <w:rPr>
                <w:rFonts w:ascii="Times New Roman" w:eastAsia="Times New Roman" w:hAnsi="Times New Roman" w:cs="Times New Roman"/>
                <w:color w:val="000000" w:themeColor="text1"/>
                <w:lang w:eastAsia="hu-HU"/>
              </w:rPr>
              <w:t>55,1</w:t>
            </w:r>
          </w:p>
        </w:tc>
        <w:tc>
          <w:tcPr>
            <w:tcW w:w="804" w:type="dxa"/>
            <w:tcBorders>
              <w:top w:val="single" w:sz="4" w:space="0" w:color="auto"/>
              <w:left w:val="single" w:sz="4" w:space="0" w:color="auto"/>
              <w:bottom w:val="single" w:sz="4" w:space="0" w:color="auto"/>
              <w:right w:val="single" w:sz="4" w:space="0" w:color="auto"/>
            </w:tcBorders>
            <w:noWrap/>
            <w:vAlign w:val="center"/>
            <w:hideMark/>
          </w:tcPr>
          <w:p w14:paraId="3935319C" w14:textId="77777777" w:rsidR="00A948A8" w:rsidRPr="00A948A8" w:rsidRDefault="28F9800E" w:rsidP="28F9800E">
            <w:pPr>
              <w:spacing w:after="0" w:line="240" w:lineRule="auto"/>
              <w:jc w:val="right"/>
              <w:rPr>
                <w:rFonts w:ascii="Times New Roman" w:eastAsia="Times New Roman" w:hAnsi="Times New Roman" w:cs="Times New Roman"/>
                <w:color w:val="000000" w:themeColor="text1"/>
                <w:highlight w:val="yellow"/>
                <w:lang w:eastAsia="hu-HU"/>
              </w:rPr>
            </w:pPr>
            <w:r w:rsidRPr="28F9800E">
              <w:rPr>
                <w:rFonts w:ascii="Times New Roman" w:eastAsia="Times New Roman" w:hAnsi="Times New Roman" w:cs="Times New Roman"/>
                <w:color w:val="000000" w:themeColor="text1"/>
                <w:lang w:eastAsia="hu-HU"/>
              </w:rPr>
              <w:t>104,1</w:t>
            </w:r>
          </w:p>
        </w:tc>
      </w:tr>
      <w:tr w:rsidR="00A948A8" w:rsidRPr="00A948A8" w14:paraId="03B944EF" w14:textId="77777777" w:rsidTr="00F17FAE">
        <w:trPr>
          <w:trHeight w:val="345"/>
          <w:jc w:val="center"/>
        </w:trPr>
        <w:tc>
          <w:tcPr>
            <w:tcW w:w="1787" w:type="dxa"/>
            <w:tcBorders>
              <w:top w:val="single" w:sz="4" w:space="0" w:color="auto"/>
              <w:left w:val="single" w:sz="4" w:space="0" w:color="auto"/>
              <w:bottom w:val="single" w:sz="4" w:space="0" w:color="auto"/>
              <w:right w:val="single" w:sz="4" w:space="0" w:color="auto"/>
            </w:tcBorders>
            <w:noWrap/>
            <w:vAlign w:val="center"/>
            <w:hideMark/>
          </w:tcPr>
          <w:p w14:paraId="136945B6" w14:textId="77777777" w:rsidR="00A948A8" w:rsidRPr="00A948A8" w:rsidRDefault="5E04AD7D" w:rsidP="5E04AD7D">
            <w:pPr>
              <w:spacing w:after="0" w:line="240" w:lineRule="auto"/>
              <w:rPr>
                <w:rFonts w:ascii="Times New Roman" w:eastAsia="Times New Roman" w:hAnsi="Times New Roman" w:cs="Times New Roman"/>
                <w:b/>
                <w:bCs/>
                <w:color w:val="000000" w:themeColor="text1"/>
                <w:lang w:eastAsia="hu-HU"/>
              </w:rPr>
            </w:pPr>
            <w:r w:rsidRPr="5E04AD7D">
              <w:rPr>
                <w:rFonts w:ascii="Times New Roman" w:eastAsia="Times New Roman" w:hAnsi="Times New Roman" w:cs="Times New Roman"/>
                <w:b/>
                <w:bCs/>
                <w:color w:val="000000" w:themeColor="text1"/>
                <w:lang w:eastAsia="hu-HU"/>
              </w:rPr>
              <w:t>Egyenleg</w:t>
            </w:r>
          </w:p>
        </w:tc>
        <w:tc>
          <w:tcPr>
            <w:tcW w:w="1300" w:type="dxa"/>
            <w:tcBorders>
              <w:top w:val="single" w:sz="4" w:space="0" w:color="auto"/>
              <w:left w:val="single" w:sz="4" w:space="0" w:color="auto"/>
              <w:bottom w:val="single" w:sz="4" w:space="0" w:color="auto"/>
              <w:right w:val="single" w:sz="4" w:space="0" w:color="auto"/>
            </w:tcBorders>
            <w:noWrap/>
            <w:vAlign w:val="center"/>
            <w:hideMark/>
          </w:tcPr>
          <w:p w14:paraId="48A40114" w14:textId="632BAA6A" w:rsidR="00A948A8" w:rsidRPr="00A948A8" w:rsidRDefault="28F9800E" w:rsidP="28F9800E">
            <w:pPr>
              <w:spacing w:after="0" w:line="240" w:lineRule="auto"/>
              <w:jc w:val="right"/>
              <w:rPr>
                <w:rFonts w:ascii="Times New Roman" w:eastAsia="Times New Roman" w:hAnsi="Times New Roman" w:cs="Times New Roman"/>
                <w:b/>
                <w:bCs/>
                <w:color w:val="000000" w:themeColor="text1"/>
                <w:highlight w:val="yellow"/>
                <w:lang w:eastAsia="hu-HU"/>
              </w:rPr>
            </w:pPr>
            <w:r w:rsidRPr="28F9800E">
              <w:rPr>
                <w:rFonts w:ascii="Times New Roman" w:eastAsia="Times New Roman" w:hAnsi="Times New Roman" w:cs="Times New Roman"/>
                <w:b/>
                <w:bCs/>
                <w:color w:val="000000" w:themeColor="text1"/>
                <w:lang w:eastAsia="hu-HU"/>
              </w:rPr>
              <w:t>1913,1</w:t>
            </w:r>
          </w:p>
        </w:tc>
        <w:tc>
          <w:tcPr>
            <w:tcW w:w="1675" w:type="dxa"/>
            <w:tcBorders>
              <w:top w:val="single" w:sz="4" w:space="0" w:color="auto"/>
              <w:left w:val="single" w:sz="4" w:space="0" w:color="auto"/>
              <w:bottom w:val="single" w:sz="4" w:space="0" w:color="auto"/>
              <w:right w:val="single" w:sz="4" w:space="0" w:color="auto"/>
            </w:tcBorders>
            <w:noWrap/>
            <w:vAlign w:val="center"/>
            <w:hideMark/>
          </w:tcPr>
          <w:p w14:paraId="56CA2B50" w14:textId="00CF53EA" w:rsidR="00A948A8" w:rsidRPr="00A948A8" w:rsidRDefault="28F9800E" w:rsidP="28F9800E">
            <w:pPr>
              <w:spacing w:after="0" w:line="240" w:lineRule="auto"/>
              <w:jc w:val="right"/>
              <w:rPr>
                <w:rFonts w:ascii="Times New Roman" w:eastAsia="Times New Roman" w:hAnsi="Times New Roman" w:cs="Times New Roman"/>
                <w:b/>
                <w:bCs/>
                <w:color w:val="000000" w:themeColor="text1"/>
                <w:highlight w:val="yellow"/>
                <w:lang w:eastAsia="hu-HU"/>
              </w:rPr>
            </w:pPr>
            <w:r w:rsidRPr="28F9800E">
              <w:rPr>
                <w:rFonts w:ascii="Times New Roman" w:eastAsia="Times New Roman" w:hAnsi="Times New Roman" w:cs="Times New Roman"/>
                <w:b/>
                <w:bCs/>
                <w:color w:val="000000" w:themeColor="text1"/>
                <w:lang w:eastAsia="hu-HU"/>
              </w:rPr>
              <w:t>1988,2</w:t>
            </w:r>
          </w:p>
        </w:tc>
        <w:tc>
          <w:tcPr>
            <w:tcW w:w="1110" w:type="dxa"/>
            <w:tcBorders>
              <w:top w:val="single" w:sz="4" w:space="0" w:color="auto"/>
              <w:left w:val="single" w:sz="4" w:space="0" w:color="auto"/>
              <w:bottom w:val="single" w:sz="4" w:space="0" w:color="auto"/>
              <w:right w:val="single" w:sz="4" w:space="0" w:color="auto"/>
            </w:tcBorders>
            <w:noWrap/>
            <w:vAlign w:val="center"/>
            <w:hideMark/>
          </w:tcPr>
          <w:p w14:paraId="24EC8E1B" w14:textId="77777777" w:rsidR="00A948A8" w:rsidRPr="00A948A8" w:rsidRDefault="28F9800E" w:rsidP="28F9800E">
            <w:pPr>
              <w:spacing w:after="0" w:line="240" w:lineRule="auto"/>
              <w:jc w:val="right"/>
              <w:rPr>
                <w:rFonts w:ascii="Times New Roman" w:eastAsia="Times New Roman" w:hAnsi="Times New Roman" w:cs="Times New Roman"/>
                <w:b/>
                <w:bCs/>
                <w:color w:val="000000" w:themeColor="text1"/>
                <w:highlight w:val="yellow"/>
                <w:lang w:eastAsia="hu-HU"/>
              </w:rPr>
            </w:pPr>
            <w:r w:rsidRPr="28F9800E">
              <w:rPr>
                <w:rFonts w:ascii="Times New Roman" w:eastAsia="Times New Roman" w:hAnsi="Times New Roman" w:cs="Times New Roman"/>
                <w:b/>
                <w:bCs/>
                <w:color w:val="000000" w:themeColor="text1"/>
                <w:lang w:eastAsia="hu-HU"/>
              </w:rPr>
              <w:t>75,1</w:t>
            </w:r>
          </w:p>
        </w:tc>
        <w:tc>
          <w:tcPr>
            <w:tcW w:w="804" w:type="dxa"/>
            <w:tcBorders>
              <w:top w:val="single" w:sz="4" w:space="0" w:color="auto"/>
              <w:left w:val="single" w:sz="4" w:space="0" w:color="auto"/>
              <w:bottom w:val="single" w:sz="4" w:space="0" w:color="auto"/>
              <w:right w:val="single" w:sz="4" w:space="0" w:color="auto"/>
            </w:tcBorders>
            <w:noWrap/>
            <w:vAlign w:val="center"/>
            <w:hideMark/>
          </w:tcPr>
          <w:p w14:paraId="221466D2" w14:textId="77777777" w:rsidR="00A948A8" w:rsidRPr="00A948A8" w:rsidRDefault="28F9800E" w:rsidP="28F9800E">
            <w:pPr>
              <w:spacing w:after="0" w:line="240" w:lineRule="auto"/>
              <w:jc w:val="right"/>
              <w:rPr>
                <w:rFonts w:ascii="Times New Roman" w:eastAsia="Times New Roman" w:hAnsi="Times New Roman" w:cs="Times New Roman"/>
                <w:b/>
                <w:bCs/>
                <w:color w:val="000000" w:themeColor="text1"/>
                <w:highlight w:val="yellow"/>
                <w:lang w:eastAsia="hu-HU"/>
              </w:rPr>
            </w:pPr>
            <w:r w:rsidRPr="28F9800E">
              <w:rPr>
                <w:rFonts w:ascii="Times New Roman" w:eastAsia="Times New Roman" w:hAnsi="Times New Roman" w:cs="Times New Roman"/>
                <w:b/>
                <w:bCs/>
                <w:color w:val="000000" w:themeColor="text1"/>
                <w:lang w:eastAsia="hu-HU"/>
              </w:rPr>
              <w:t>103,9</w:t>
            </w:r>
          </w:p>
        </w:tc>
      </w:tr>
    </w:tbl>
    <w:p w14:paraId="44D04C53" w14:textId="22CA3E7B" w:rsidR="00E20C14" w:rsidRPr="00E20C14" w:rsidRDefault="5E04AD7D" w:rsidP="5E04AD7D">
      <w:pPr>
        <w:spacing w:before="240"/>
        <w:jc w:val="both"/>
        <w:rPr>
          <w:rFonts w:ascii="Times New Roman" w:eastAsia="Times New Roman" w:hAnsi="Times New Roman" w:cs="Times New Roman"/>
          <w:sz w:val="26"/>
          <w:szCs w:val="26"/>
          <w:lang w:eastAsia="hu-HU"/>
        </w:rPr>
      </w:pPr>
      <w:r w:rsidRPr="5E04AD7D">
        <w:rPr>
          <w:rFonts w:ascii="Times New Roman" w:eastAsia="Times New Roman" w:hAnsi="Times New Roman" w:cs="Times New Roman"/>
          <w:sz w:val="26"/>
          <w:szCs w:val="26"/>
          <w:lang w:eastAsia="hu-HU"/>
        </w:rPr>
        <w:t>A belföldi befizetések, valamint az import</w:t>
      </w:r>
      <w:r w:rsidR="005B4CA8">
        <w:rPr>
          <w:rFonts w:ascii="Times New Roman" w:eastAsia="Times New Roman" w:hAnsi="Times New Roman" w:cs="Times New Roman"/>
          <w:sz w:val="26"/>
          <w:szCs w:val="26"/>
          <w:lang w:eastAsia="hu-HU"/>
        </w:rPr>
        <w:t>-</w:t>
      </w:r>
      <w:r w:rsidRPr="5E04AD7D">
        <w:rPr>
          <w:rFonts w:ascii="Times New Roman" w:eastAsia="Times New Roman" w:hAnsi="Times New Roman" w:cs="Times New Roman"/>
          <w:sz w:val="26"/>
          <w:szCs w:val="26"/>
          <w:lang w:eastAsia="hu-HU"/>
        </w:rPr>
        <w:t xml:space="preserve"> és dohánytermékek utáni áfabevételek is növekedtek. A belföldi befizetések növekedése elsősorban a kereskedelem ágazathoz köthető. Az import utáni befizetések növekedése hátterében a forgalom alakulása áll. A</w:t>
      </w:r>
      <w:r w:rsidR="005B4CA8">
        <w:rPr>
          <w:rFonts w:ascii="Times New Roman" w:eastAsia="Times New Roman" w:hAnsi="Times New Roman" w:cs="Times New Roman"/>
          <w:sz w:val="26"/>
          <w:szCs w:val="26"/>
          <w:lang w:eastAsia="hu-HU"/>
        </w:rPr>
        <w:t> </w:t>
      </w:r>
      <w:r w:rsidRPr="5E04AD7D">
        <w:rPr>
          <w:rFonts w:ascii="Times New Roman" w:eastAsia="Times New Roman" w:hAnsi="Times New Roman" w:cs="Times New Roman"/>
          <w:sz w:val="26"/>
          <w:szCs w:val="26"/>
          <w:lang w:eastAsia="hu-HU"/>
        </w:rPr>
        <w:t>dohánytermékek utáni bevételek magasabb teljesülését a 2026. januári jövedéki adómérték</w:t>
      </w:r>
      <w:r w:rsidR="00EB6F43">
        <w:rPr>
          <w:rFonts w:ascii="Times New Roman" w:eastAsia="Times New Roman" w:hAnsi="Times New Roman" w:cs="Times New Roman"/>
          <w:sz w:val="26"/>
          <w:szCs w:val="26"/>
          <w:lang w:eastAsia="hu-HU"/>
        </w:rPr>
        <w:t>-</w:t>
      </w:r>
      <w:r w:rsidRPr="5E04AD7D">
        <w:rPr>
          <w:rFonts w:ascii="Times New Roman" w:eastAsia="Times New Roman" w:hAnsi="Times New Roman" w:cs="Times New Roman"/>
          <w:sz w:val="26"/>
          <w:szCs w:val="26"/>
          <w:lang w:eastAsia="hu-HU"/>
        </w:rPr>
        <w:t>emelés magyarázza. A kiutalások alakulását a köztes ágazatok befizetése befolyásolja.</w:t>
      </w:r>
    </w:p>
    <w:p w14:paraId="5D4A6DEA" w14:textId="0D2E506E" w:rsidR="00C33C0A" w:rsidRPr="00C33C0A" w:rsidRDefault="00C33C0A" w:rsidP="4600C643">
      <w:pPr>
        <w:spacing w:before="240"/>
        <w:jc w:val="both"/>
        <w:rPr>
          <w:rFonts w:ascii="Times New Roman" w:eastAsia="Times New Roman" w:hAnsi="Times New Roman" w:cs="Times New Roman"/>
          <w:sz w:val="26"/>
          <w:szCs w:val="26"/>
          <w:lang w:eastAsia="hu-HU"/>
        </w:rPr>
      </w:pPr>
    </w:p>
    <w:p w14:paraId="7E17432F" w14:textId="77777777" w:rsidR="00F17FAE" w:rsidRDefault="00527154" w:rsidP="00F17FAE">
      <w:pPr>
        <w:pStyle w:val="NormlWeb"/>
        <w:spacing w:before="0" w:beforeAutospacing="0" w:after="0" w:afterAutospacing="0"/>
        <w:jc w:val="both"/>
        <w:rPr>
          <w:sz w:val="26"/>
          <w:szCs w:val="26"/>
        </w:rPr>
      </w:pPr>
      <w:r w:rsidRPr="00527154">
        <w:rPr>
          <w:noProof/>
          <w:sz w:val="22"/>
        </w:rPr>
        <w:lastRenderedPageBreak/>
        <w:drawing>
          <wp:inline distT="0" distB="0" distL="0" distR="0" wp14:anchorId="4C71731F" wp14:editId="5B4224B7">
            <wp:extent cx="5604637" cy="3640168"/>
            <wp:effectExtent l="0" t="0" r="0" b="0"/>
            <wp:docPr id="1504098512" name="Kép 1" descr="A képen szöveg, sor, Diagram, szám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098512" name="Kép 1" descr="A képen szöveg, sor, Diagram, szám látható&#10;&#10;Előfordulhat, hogy a mesterséges intelligencia által létrehozott tartalom helytelen."/>
                    <pic:cNvPicPr/>
                  </pic:nvPicPr>
                  <pic:blipFill>
                    <a:blip r:embed="rId15"/>
                    <a:stretch>
                      <a:fillRect/>
                    </a:stretch>
                  </pic:blipFill>
                  <pic:spPr>
                    <a:xfrm>
                      <a:off x="0" y="0"/>
                      <a:ext cx="5617693" cy="3648648"/>
                    </a:xfrm>
                    <a:prstGeom prst="rect">
                      <a:avLst/>
                    </a:prstGeom>
                  </pic:spPr>
                </pic:pic>
              </a:graphicData>
            </a:graphic>
          </wp:inline>
        </w:drawing>
      </w:r>
    </w:p>
    <w:p w14:paraId="54D7C308" w14:textId="4ECD361F" w:rsidR="00C33C0A" w:rsidRDefault="5E04AD7D" w:rsidP="005B4CA8">
      <w:pPr>
        <w:pStyle w:val="NormlWeb"/>
        <w:spacing w:before="0" w:beforeAutospacing="0" w:after="160" w:afterAutospacing="0" w:line="259" w:lineRule="auto"/>
        <w:jc w:val="both"/>
        <w:rPr>
          <w:rFonts w:ascii="Arial" w:hAnsi="Arial" w:cs="Arial"/>
          <w:sz w:val="26"/>
          <w:szCs w:val="26"/>
        </w:rPr>
      </w:pPr>
      <w:r w:rsidRPr="5E04AD7D">
        <w:rPr>
          <w:sz w:val="26"/>
          <w:szCs w:val="26"/>
        </w:rPr>
        <w:t xml:space="preserve">A </w:t>
      </w:r>
      <w:r w:rsidRPr="5E04AD7D">
        <w:rPr>
          <w:b/>
          <w:bCs/>
          <w:sz w:val="26"/>
          <w:szCs w:val="26"/>
        </w:rPr>
        <w:t>jövedéki adóból</w:t>
      </w:r>
      <w:r w:rsidRPr="5E04AD7D">
        <w:rPr>
          <w:sz w:val="26"/>
          <w:szCs w:val="26"/>
        </w:rPr>
        <w:t xml:space="preserve"> származó bevétel a 2026. év első három hónapjában 365,8 milliárd forintot tett ki, amely 20,4 milliárd forinttal magasabb az egy évvel korábbi bevételnél. A</w:t>
      </w:r>
      <w:r w:rsidR="00F17FAE">
        <w:rPr>
          <w:sz w:val="26"/>
          <w:szCs w:val="26"/>
        </w:rPr>
        <w:t> </w:t>
      </w:r>
      <w:r w:rsidRPr="5E04AD7D">
        <w:rPr>
          <w:sz w:val="26"/>
          <w:szCs w:val="26"/>
        </w:rPr>
        <w:t xml:space="preserve">dohánytermékek utáni bevételek jelentős növekedésének hátterében a 2026. januári adómérték-emelésre adott piaci reakció, </w:t>
      </w:r>
      <w:r w:rsidR="00F97756">
        <w:rPr>
          <w:sz w:val="26"/>
          <w:szCs w:val="26"/>
        </w:rPr>
        <w:t xml:space="preserve">a </w:t>
      </w:r>
      <w:r w:rsidRPr="5E04AD7D">
        <w:rPr>
          <w:sz w:val="26"/>
          <w:szCs w:val="26"/>
        </w:rPr>
        <w:t>nagymértékű készletezési hatás áll. A</w:t>
      </w:r>
      <w:r w:rsidR="00F17FAE">
        <w:rPr>
          <w:sz w:val="26"/>
          <w:szCs w:val="26"/>
        </w:rPr>
        <w:t> </w:t>
      </w:r>
      <w:r w:rsidRPr="5E04AD7D">
        <w:rPr>
          <w:sz w:val="26"/>
          <w:szCs w:val="26"/>
        </w:rPr>
        <w:t>szeszesitalok és egyéb termékek esetében a bevételek alakulását a 2026. januári adómérték emelés, valamint a piaci reakciók magyarázzák. Az üzemanyagok utáni és az energiaadó bevételek csökkenése adónem</w:t>
      </w:r>
      <w:r w:rsidR="00904CE2">
        <w:rPr>
          <w:sz w:val="26"/>
          <w:szCs w:val="26"/>
        </w:rPr>
        <w:t>-</w:t>
      </w:r>
      <w:r w:rsidRPr="5E04AD7D">
        <w:rPr>
          <w:sz w:val="26"/>
          <w:szCs w:val="26"/>
        </w:rPr>
        <w:t>elszámoláshoz köthető</w:t>
      </w:r>
      <w:r w:rsidRPr="5E04AD7D">
        <w:rPr>
          <w:rFonts w:ascii="Arial" w:hAnsi="Arial" w:cs="Arial"/>
          <w:sz w:val="26"/>
          <w:szCs w:val="26"/>
        </w:rPr>
        <w:t>.</w:t>
      </w:r>
    </w:p>
    <w:tbl>
      <w:tblPr>
        <w:tblW w:w="8736" w:type="dxa"/>
        <w:jc w:val="center"/>
        <w:tblCellMar>
          <w:left w:w="70" w:type="dxa"/>
          <w:right w:w="70" w:type="dxa"/>
        </w:tblCellMar>
        <w:tblLook w:val="04A0" w:firstRow="1" w:lastRow="0" w:firstColumn="1" w:lastColumn="0" w:noHBand="0" w:noVBand="1"/>
      </w:tblPr>
      <w:tblGrid>
        <w:gridCol w:w="4049"/>
        <w:gridCol w:w="1623"/>
        <w:gridCol w:w="1200"/>
        <w:gridCol w:w="940"/>
        <w:gridCol w:w="924"/>
      </w:tblGrid>
      <w:tr w:rsidR="00A948A8" w:rsidRPr="00A948A8" w14:paraId="72CA09BC" w14:textId="77777777" w:rsidTr="00F17FAE">
        <w:trPr>
          <w:trHeight w:val="315"/>
          <w:jc w:val="center"/>
        </w:trPr>
        <w:tc>
          <w:tcPr>
            <w:tcW w:w="8736" w:type="dxa"/>
            <w:gridSpan w:val="5"/>
            <w:tcBorders>
              <w:top w:val="nil"/>
              <w:left w:val="nil"/>
              <w:bottom w:val="single" w:sz="4" w:space="0" w:color="auto"/>
              <w:right w:val="nil"/>
            </w:tcBorders>
            <w:noWrap/>
            <w:vAlign w:val="center"/>
            <w:hideMark/>
          </w:tcPr>
          <w:p w14:paraId="4B28AEE3" w14:textId="77777777" w:rsidR="00A948A8" w:rsidRPr="00A948A8" w:rsidRDefault="5E04AD7D" w:rsidP="00F17FAE">
            <w:pPr>
              <w:jc w:val="center"/>
              <w:rPr>
                <w:rFonts w:ascii="Times New Roman" w:eastAsia="Times New Roman" w:hAnsi="Times New Roman" w:cs="Times New Roman"/>
                <w:b/>
                <w:bCs/>
                <w:color w:val="000000" w:themeColor="text1"/>
                <w:lang w:eastAsia="hu-HU"/>
              </w:rPr>
            </w:pPr>
            <w:r w:rsidRPr="5E04AD7D">
              <w:rPr>
                <w:rFonts w:ascii="Times New Roman" w:eastAsia="Times New Roman" w:hAnsi="Times New Roman" w:cs="Times New Roman"/>
                <w:b/>
                <w:bCs/>
                <w:color w:val="000000" w:themeColor="text1"/>
                <w:lang w:eastAsia="hu-HU"/>
              </w:rPr>
              <w:t>Jövedéki adó bevétel alakulása (milliárd forint)</w:t>
            </w:r>
          </w:p>
        </w:tc>
      </w:tr>
      <w:tr w:rsidR="005B4CA8" w:rsidRPr="00A948A8" w14:paraId="47577F9C" w14:textId="77777777" w:rsidTr="005B4CA8">
        <w:trPr>
          <w:trHeight w:val="315"/>
          <w:jc w:val="center"/>
        </w:trPr>
        <w:tc>
          <w:tcPr>
            <w:tcW w:w="4049"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4BE4783E" w14:textId="77777777" w:rsidR="005B4CA8" w:rsidRPr="00A948A8" w:rsidRDefault="005B4CA8" w:rsidP="5E04AD7D">
            <w:pPr>
              <w:spacing w:after="0" w:line="240" w:lineRule="auto"/>
              <w:jc w:val="center"/>
              <w:rPr>
                <w:rFonts w:ascii="Times New Roman" w:eastAsia="Times New Roman" w:hAnsi="Times New Roman" w:cs="Times New Roman"/>
                <w:b/>
                <w:bCs/>
                <w:color w:val="000000" w:themeColor="text1"/>
                <w:lang w:eastAsia="hu-HU"/>
              </w:rPr>
            </w:pPr>
            <w:r w:rsidRPr="5E04AD7D">
              <w:rPr>
                <w:rFonts w:ascii="Times New Roman" w:eastAsia="Times New Roman" w:hAnsi="Times New Roman" w:cs="Times New Roman"/>
                <w:b/>
                <w:bCs/>
                <w:color w:val="000000" w:themeColor="text1"/>
                <w:lang w:eastAsia="hu-HU"/>
              </w:rPr>
              <w:t>Megnevezés</w:t>
            </w:r>
          </w:p>
        </w:tc>
        <w:tc>
          <w:tcPr>
            <w:tcW w:w="1623" w:type="dxa"/>
            <w:vMerge w:val="restart"/>
            <w:tcBorders>
              <w:top w:val="single" w:sz="4" w:space="0" w:color="auto"/>
              <w:left w:val="single" w:sz="4" w:space="0" w:color="auto"/>
              <w:right w:val="single" w:sz="4" w:space="0" w:color="auto"/>
            </w:tcBorders>
            <w:shd w:val="clear" w:color="auto" w:fill="BDD6EE" w:themeFill="accent1" w:themeFillTint="66"/>
            <w:vAlign w:val="center"/>
            <w:hideMark/>
          </w:tcPr>
          <w:p w14:paraId="447CDAB2" w14:textId="77777777" w:rsidR="005B4CA8" w:rsidRPr="00A948A8" w:rsidRDefault="005B4CA8" w:rsidP="28F9800E">
            <w:pPr>
              <w:spacing w:after="0" w:line="240" w:lineRule="auto"/>
              <w:jc w:val="center"/>
              <w:rPr>
                <w:rFonts w:ascii="Times New Roman" w:eastAsia="Times New Roman" w:hAnsi="Times New Roman" w:cs="Times New Roman"/>
                <w:b/>
                <w:bCs/>
                <w:color w:val="000000" w:themeColor="text1"/>
                <w:lang w:eastAsia="hu-HU"/>
              </w:rPr>
            </w:pPr>
            <w:r w:rsidRPr="28F9800E">
              <w:rPr>
                <w:rFonts w:ascii="Times New Roman" w:eastAsia="Times New Roman" w:hAnsi="Times New Roman" w:cs="Times New Roman"/>
                <w:b/>
                <w:bCs/>
                <w:color w:val="000000" w:themeColor="text1"/>
                <w:lang w:eastAsia="hu-HU"/>
              </w:rPr>
              <w:t>2025.</w:t>
            </w:r>
          </w:p>
          <w:p w14:paraId="16E5C19C" w14:textId="04DEBE80" w:rsidR="005B4CA8" w:rsidRPr="00A948A8" w:rsidRDefault="005B4CA8" w:rsidP="5E04AD7D">
            <w:pPr>
              <w:spacing w:after="0" w:line="240" w:lineRule="auto"/>
              <w:jc w:val="center"/>
              <w:rPr>
                <w:rFonts w:ascii="Times New Roman" w:eastAsia="Times New Roman" w:hAnsi="Times New Roman" w:cs="Times New Roman"/>
                <w:b/>
                <w:bCs/>
                <w:color w:val="000000" w:themeColor="text1"/>
                <w:lang w:eastAsia="hu-HU"/>
              </w:rPr>
            </w:pPr>
            <w:r w:rsidRPr="5E04AD7D">
              <w:rPr>
                <w:rFonts w:ascii="Times New Roman" w:eastAsia="Times New Roman" w:hAnsi="Times New Roman" w:cs="Times New Roman"/>
                <w:b/>
                <w:bCs/>
                <w:color w:val="000000" w:themeColor="text1"/>
                <w:lang w:eastAsia="hu-HU"/>
              </w:rPr>
              <w:t>I-III. hó</w:t>
            </w:r>
          </w:p>
        </w:tc>
        <w:tc>
          <w:tcPr>
            <w:tcW w:w="1200" w:type="dxa"/>
            <w:vMerge w:val="restart"/>
            <w:tcBorders>
              <w:top w:val="single" w:sz="4" w:space="0" w:color="auto"/>
              <w:left w:val="single" w:sz="4" w:space="0" w:color="auto"/>
              <w:right w:val="single" w:sz="4" w:space="0" w:color="auto"/>
            </w:tcBorders>
            <w:shd w:val="clear" w:color="auto" w:fill="BDD6EE" w:themeFill="accent1" w:themeFillTint="66"/>
            <w:vAlign w:val="center"/>
            <w:hideMark/>
          </w:tcPr>
          <w:p w14:paraId="0654E4C9" w14:textId="77777777" w:rsidR="005B4CA8" w:rsidRPr="00A948A8" w:rsidRDefault="005B4CA8" w:rsidP="28F9800E">
            <w:pPr>
              <w:spacing w:after="0" w:line="240" w:lineRule="auto"/>
              <w:jc w:val="center"/>
              <w:rPr>
                <w:rFonts w:ascii="Times New Roman" w:eastAsia="Times New Roman" w:hAnsi="Times New Roman" w:cs="Times New Roman"/>
                <w:b/>
                <w:bCs/>
                <w:color w:val="000000" w:themeColor="text1"/>
                <w:lang w:eastAsia="hu-HU"/>
              </w:rPr>
            </w:pPr>
            <w:r w:rsidRPr="28F9800E">
              <w:rPr>
                <w:rFonts w:ascii="Times New Roman" w:eastAsia="Times New Roman" w:hAnsi="Times New Roman" w:cs="Times New Roman"/>
                <w:b/>
                <w:bCs/>
                <w:color w:val="000000" w:themeColor="text1"/>
                <w:lang w:eastAsia="hu-HU"/>
              </w:rPr>
              <w:t>2026.</w:t>
            </w:r>
          </w:p>
          <w:p w14:paraId="07414468" w14:textId="01D99B8F" w:rsidR="005B4CA8" w:rsidRPr="00A948A8" w:rsidRDefault="005B4CA8" w:rsidP="5E04AD7D">
            <w:pPr>
              <w:spacing w:after="0" w:line="240" w:lineRule="auto"/>
              <w:jc w:val="center"/>
              <w:rPr>
                <w:rFonts w:ascii="Times New Roman" w:eastAsia="Times New Roman" w:hAnsi="Times New Roman" w:cs="Times New Roman"/>
                <w:b/>
                <w:bCs/>
                <w:color w:val="000000" w:themeColor="text1"/>
                <w:lang w:eastAsia="hu-HU"/>
              </w:rPr>
            </w:pPr>
            <w:r w:rsidRPr="5E04AD7D">
              <w:rPr>
                <w:rFonts w:ascii="Times New Roman" w:eastAsia="Times New Roman" w:hAnsi="Times New Roman" w:cs="Times New Roman"/>
                <w:b/>
                <w:bCs/>
                <w:color w:val="000000" w:themeColor="text1"/>
                <w:lang w:eastAsia="hu-HU"/>
              </w:rPr>
              <w:t>I-III. hó</w:t>
            </w:r>
          </w:p>
        </w:tc>
        <w:tc>
          <w:tcPr>
            <w:tcW w:w="186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6DEA0F3D" w14:textId="77777777" w:rsidR="005B4CA8" w:rsidRPr="00A948A8" w:rsidRDefault="005B4CA8" w:rsidP="5E04AD7D">
            <w:pPr>
              <w:spacing w:after="0" w:line="240" w:lineRule="auto"/>
              <w:jc w:val="center"/>
              <w:rPr>
                <w:rFonts w:ascii="Times New Roman" w:eastAsia="Times New Roman" w:hAnsi="Times New Roman" w:cs="Times New Roman"/>
                <w:b/>
                <w:bCs/>
                <w:color w:val="000000" w:themeColor="text1"/>
                <w:lang w:eastAsia="hu-HU"/>
              </w:rPr>
            </w:pPr>
            <w:r w:rsidRPr="5E04AD7D">
              <w:rPr>
                <w:rFonts w:ascii="Times New Roman" w:eastAsia="Times New Roman" w:hAnsi="Times New Roman" w:cs="Times New Roman"/>
                <w:b/>
                <w:bCs/>
                <w:color w:val="000000" w:themeColor="text1"/>
                <w:lang w:eastAsia="hu-HU"/>
              </w:rPr>
              <w:t>Eltérés</w:t>
            </w:r>
          </w:p>
        </w:tc>
      </w:tr>
      <w:tr w:rsidR="005B4CA8" w:rsidRPr="00A948A8" w14:paraId="7438F19C" w14:textId="77777777" w:rsidTr="005B4CA8">
        <w:trPr>
          <w:trHeight w:val="315"/>
          <w:jc w:val="center"/>
        </w:trPr>
        <w:tc>
          <w:tcPr>
            <w:tcW w:w="4049"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2C7659B" w14:textId="77777777" w:rsidR="005B4CA8" w:rsidRPr="00A948A8" w:rsidRDefault="005B4CA8" w:rsidP="00A948A8">
            <w:pPr>
              <w:spacing w:after="0" w:line="240" w:lineRule="auto"/>
              <w:rPr>
                <w:rFonts w:ascii="Times New Roman" w:eastAsia="Times New Roman" w:hAnsi="Times New Roman" w:cs="Times New Roman"/>
                <w:b/>
                <w:bCs/>
                <w:color w:val="000000"/>
                <w:lang w:eastAsia="hu-HU"/>
              </w:rPr>
            </w:pPr>
          </w:p>
        </w:tc>
        <w:tc>
          <w:tcPr>
            <w:tcW w:w="1623" w:type="dxa"/>
            <w:vMerge/>
            <w:tcBorders>
              <w:left w:val="single" w:sz="4" w:space="0" w:color="auto"/>
              <w:bottom w:val="single" w:sz="4" w:space="0" w:color="auto"/>
              <w:right w:val="single" w:sz="4" w:space="0" w:color="auto"/>
            </w:tcBorders>
            <w:shd w:val="clear" w:color="auto" w:fill="BDD6EE" w:themeFill="accent1" w:themeFillTint="66"/>
            <w:vAlign w:val="center"/>
            <w:hideMark/>
          </w:tcPr>
          <w:p w14:paraId="3691AE4C" w14:textId="6D35D016" w:rsidR="005B4CA8" w:rsidRPr="00A948A8" w:rsidRDefault="005B4CA8" w:rsidP="5E04AD7D">
            <w:pPr>
              <w:spacing w:after="0" w:line="240" w:lineRule="auto"/>
              <w:jc w:val="center"/>
              <w:rPr>
                <w:rFonts w:ascii="Times New Roman" w:eastAsia="Times New Roman" w:hAnsi="Times New Roman" w:cs="Times New Roman"/>
                <w:b/>
                <w:bCs/>
                <w:color w:val="000000" w:themeColor="text1"/>
                <w:lang w:eastAsia="hu-HU"/>
              </w:rPr>
            </w:pPr>
          </w:p>
        </w:tc>
        <w:tc>
          <w:tcPr>
            <w:tcW w:w="1200" w:type="dxa"/>
            <w:vMerge/>
            <w:tcBorders>
              <w:left w:val="single" w:sz="4" w:space="0" w:color="auto"/>
              <w:bottom w:val="single" w:sz="4" w:space="0" w:color="auto"/>
              <w:right w:val="single" w:sz="4" w:space="0" w:color="auto"/>
            </w:tcBorders>
            <w:shd w:val="clear" w:color="auto" w:fill="BDD6EE" w:themeFill="accent1" w:themeFillTint="66"/>
            <w:vAlign w:val="center"/>
            <w:hideMark/>
          </w:tcPr>
          <w:p w14:paraId="0DD85BED" w14:textId="0925B31C" w:rsidR="005B4CA8" w:rsidRPr="00A948A8" w:rsidRDefault="005B4CA8" w:rsidP="5E04AD7D">
            <w:pPr>
              <w:spacing w:after="0" w:line="240" w:lineRule="auto"/>
              <w:jc w:val="center"/>
              <w:rPr>
                <w:rFonts w:ascii="Times New Roman" w:eastAsia="Times New Roman" w:hAnsi="Times New Roman" w:cs="Times New Roman"/>
                <w:b/>
                <w:bCs/>
                <w:color w:val="000000" w:themeColor="text1"/>
                <w:lang w:eastAsia="hu-HU"/>
              </w:rPr>
            </w:pPr>
          </w:p>
        </w:tc>
        <w:tc>
          <w:tcPr>
            <w:tcW w:w="9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404B5410" w14:textId="77777777" w:rsidR="005B4CA8" w:rsidRPr="00A948A8" w:rsidRDefault="005B4CA8" w:rsidP="5E04AD7D">
            <w:pPr>
              <w:spacing w:after="0" w:line="240" w:lineRule="auto"/>
              <w:jc w:val="center"/>
              <w:rPr>
                <w:rFonts w:ascii="Times New Roman" w:eastAsia="Times New Roman" w:hAnsi="Times New Roman" w:cs="Times New Roman"/>
                <w:b/>
                <w:bCs/>
                <w:color w:val="000000" w:themeColor="text1"/>
                <w:lang w:eastAsia="hu-HU"/>
              </w:rPr>
            </w:pPr>
            <w:r w:rsidRPr="5E04AD7D">
              <w:rPr>
                <w:rFonts w:ascii="Times New Roman" w:eastAsia="Times New Roman" w:hAnsi="Times New Roman" w:cs="Times New Roman"/>
                <w:b/>
                <w:bCs/>
                <w:color w:val="000000" w:themeColor="text1"/>
                <w:lang w:eastAsia="hu-HU"/>
              </w:rPr>
              <w:t>Mrd Ft</w:t>
            </w:r>
          </w:p>
        </w:tc>
        <w:tc>
          <w:tcPr>
            <w:tcW w:w="92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24E4AFCC" w14:textId="77777777" w:rsidR="005B4CA8" w:rsidRPr="00A948A8" w:rsidRDefault="005B4CA8" w:rsidP="5E04AD7D">
            <w:pPr>
              <w:spacing w:after="0" w:line="240" w:lineRule="auto"/>
              <w:jc w:val="center"/>
              <w:rPr>
                <w:rFonts w:ascii="Times New Roman" w:eastAsia="Times New Roman" w:hAnsi="Times New Roman" w:cs="Times New Roman"/>
                <w:b/>
                <w:bCs/>
                <w:color w:val="000000" w:themeColor="text1"/>
                <w:lang w:eastAsia="hu-HU"/>
              </w:rPr>
            </w:pPr>
            <w:r w:rsidRPr="5E04AD7D">
              <w:rPr>
                <w:rFonts w:ascii="Times New Roman" w:eastAsia="Times New Roman" w:hAnsi="Times New Roman" w:cs="Times New Roman"/>
                <w:b/>
                <w:bCs/>
                <w:color w:val="000000" w:themeColor="text1"/>
                <w:lang w:eastAsia="hu-HU"/>
              </w:rPr>
              <w:t>%</w:t>
            </w:r>
          </w:p>
        </w:tc>
      </w:tr>
      <w:tr w:rsidR="00A948A8" w:rsidRPr="00A948A8" w14:paraId="34E7966A" w14:textId="77777777" w:rsidTr="00336470">
        <w:trPr>
          <w:trHeight w:val="340"/>
          <w:jc w:val="center"/>
        </w:trPr>
        <w:tc>
          <w:tcPr>
            <w:tcW w:w="4049" w:type="dxa"/>
            <w:tcBorders>
              <w:top w:val="single" w:sz="4" w:space="0" w:color="auto"/>
              <w:left w:val="single" w:sz="4" w:space="0" w:color="auto"/>
              <w:bottom w:val="single" w:sz="4" w:space="0" w:color="auto"/>
              <w:right w:val="single" w:sz="4" w:space="0" w:color="auto"/>
            </w:tcBorders>
            <w:noWrap/>
            <w:vAlign w:val="center"/>
            <w:hideMark/>
          </w:tcPr>
          <w:p w14:paraId="4799D8F8" w14:textId="77777777" w:rsidR="00A948A8" w:rsidRPr="00A948A8" w:rsidRDefault="5E04AD7D" w:rsidP="5E04AD7D">
            <w:pPr>
              <w:spacing w:after="0" w:line="240" w:lineRule="auto"/>
              <w:rPr>
                <w:rFonts w:ascii="Times New Roman" w:eastAsia="Times New Roman" w:hAnsi="Times New Roman" w:cs="Times New Roman"/>
                <w:color w:val="000000" w:themeColor="text1"/>
                <w:lang w:eastAsia="hu-HU"/>
              </w:rPr>
            </w:pPr>
            <w:r w:rsidRPr="5E04AD7D">
              <w:rPr>
                <w:rFonts w:ascii="Times New Roman" w:eastAsia="Times New Roman" w:hAnsi="Times New Roman" w:cs="Times New Roman"/>
                <w:color w:val="000000" w:themeColor="text1"/>
                <w:lang w:eastAsia="hu-HU"/>
              </w:rPr>
              <w:t>Üzemanyag jövedéki adó</w:t>
            </w:r>
          </w:p>
        </w:tc>
        <w:tc>
          <w:tcPr>
            <w:tcW w:w="1623" w:type="dxa"/>
            <w:tcBorders>
              <w:top w:val="single" w:sz="4" w:space="0" w:color="auto"/>
              <w:left w:val="single" w:sz="4" w:space="0" w:color="auto"/>
              <w:bottom w:val="single" w:sz="4" w:space="0" w:color="auto"/>
              <w:right w:val="single" w:sz="4" w:space="0" w:color="auto"/>
            </w:tcBorders>
            <w:noWrap/>
            <w:vAlign w:val="center"/>
            <w:hideMark/>
          </w:tcPr>
          <w:p w14:paraId="74258020" w14:textId="77777777" w:rsidR="00A948A8" w:rsidRPr="00A948A8" w:rsidRDefault="28F9800E" w:rsidP="28F9800E">
            <w:pPr>
              <w:spacing w:after="0" w:line="240" w:lineRule="auto"/>
              <w:jc w:val="right"/>
              <w:rPr>
                <w:rFonts w:ascii="Times New Roman" w:eastAsia="Times New Roman" w:hAnsi="Times New Roman" w:cs="Times New Roman"/>
                <w:color w:val="000000" w:themeColor="text1"/>
                <w:highlight w:val="yellow"/>
                <w:lang w:eastAsia="hu-HU"/>
              </w:rPr>
            </w:pPr>
            <w:r w:rsidRPr="28F9800E">
              <w:rPr>
                <w:rFonts w:ascii="Times New Roman" w:eastAsia="Times New Roman" w:hAnsi="Times New Roman" w:cs="Times New Roman"/>
                <w:color w:val="000000" w:themeColor="text1"/>
                <w:lang w:eastAsia="hu-HU"/>
              </w:rPr>
              <w:t>200,0</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5DB14A41" w14:textId="77777777" w:rsidR="00A948A8" w:rsidRPr="00A948A8" w:rsidRDefault="28F9800E" w:rsidP="28F9800E">
            <w:pPr>
              <w:spacing w:after="0" w:line="240" w:lineRule="auto"/>
              <w:jc w:val="right"/>
              <w:rPr>
                <w:rFonts w:ascii="Times New Roman" w:eastAsia="Times New Roman" w:hAnsi="Times New Roman" w:cs="Times New Roman"/>
                <w:color w:val="000000" w:themeColor="text1"/>
                <w:highlight w:val="yellow"/>
                <w:lang w:eastAsia="hu-HU"/>
              </w:rPr>
            </w:pPr>
            <w:r w:rsidRPr="28F9800E">
              <w:rPr>
                <w:rFonts w:ascii="Times New Roman" w:eastAsia="Times New Roman" w:hAnsi="Times New Roman" w:cs="Times New Roman"/>
                <w:color w:val="000000" w:themeColor="text1"/>
                <w:lang w:eastAsia="hu-HU"/>
              </w:rPr>
              <w:t>199,7</w:t>
            </w:r>
          </w:p>
        </w:tc>
        <w:tc>
          <w:tcPr>
            <w:tcW w:w="940" w:type="dxa"/>
            <w:tcBorders>
              <w:top w:val="single" w:sz="4" w:space="0" w:color="auto"/>
              <w:left w:val="single" w:sz="4" w:space="0" w:color="auto"/>
              <w:bottom w:val="single" w:sz="4" w:space="0" w:color="auto"/>
              <w:right w:val="single" w:sz="4" w:space="0" w:color="auto"/>
            </w:tcBorders>
            <w:noWrap/>
            <w:vAlign w:val="center"/>
            <w:hideMark/>
          </w:tcPr>
          <w:p w14:paraId="757A788D" w14:textId="77777777" w:rsidR="00A948A8" w:rsidRPr="00A948A8" w:rsidRDefault="28F9800E" w:rsidP="28F9800E">
            <w:pPr>
              <w:spacing w:after="0" w:line="240" w:lineRule="auto"/>
              <w:jc w:val="right"/>
              <w:rPr>
                <w:rFonts w:ascii="Times New Roman" w:eastAsia="Times New Roman" w:hAnsi="Times New Roman" w:cs="Times New Roman"/>
                <w:color w:val="000000" w:themeColor="text1"/>
                <w:highlight w:val="yellow"/>
                <w:lang w:eastAsia="hu-HU"/>
              </w:rPr>
            </w:pPr>
            <w:r w:rsidRPr="28F9800E">
              <w:rPr>
                <w:rFonts w:ascii="Times New Roman" w:eastAsia="Times New Roman" w:hAnsi="Times New Roman" w:cs="Times New Roman"/>
                <w:color w:val="000000" w:themeColor="text1"/>
                <w:lang w:eastAsia="hu-HU"/>
              </w:rPr>
              <w:t>-0,3</w:t>
            </w:r>
          </w:p>
        </w:tc>
        <w:tc>
          <w:tcPr>
            <w:tcW w:w="924" w:type="dxa"/>
            <w:tcBorders>
              <w:top w:val="single" w:sz="4" w:space="0" w:color="auto"/>
              <w:left w:val="single" w:sz="4" w:space="0" w:color="auto"/>
              <w:bottom w:val="single" w:sz="4" w:space="0" w:color="auto"/>
              <w:right w:val="single" w:sz="4" w:space="0" w:color="auto"/>
            </w:tcBorders>
            <w:noWrap/>
            <w:vAlign w:val="center"/>
            <w:hideMark/>
          </w:tcPr>
          <w:p w14:paraId="766FAA5D" w14:textId="77777777" w:rsidR="00A948A8" w:rsidRPr="00A948A8" w:rsidRDefault="28F9800E" w:rsidP="28F9800E">
            <w:pPr>
              <w:spacing w:after="0" w:line="240" w:lineRule="auto"/>
              <w:jc w:val="right"/>
              <w:rPr>
                <w:rFonts w:ascii="Times New Roman" w:eastAsia="Times New Roman" w:hAnsi="Times New Roman" w:cs="Times New Roman"/>
                <w:color w:val="000000" w:themeColor="text1"/>
                <w:highlight w:val="yellow"/>
                <w:lang w:eastAsia="hu-HU"/>
              </w:rPr>
            </w:pPr>
            <w:r w:rsidRPr="28F9800E">
              <w:rPr>
                <w:rFonts w:ascii="Times New Roman" w:eastAsia="Times New Roman" w:hAnsi="Times New Roman" w:cs="Times New Roman"/>
                <w:color w:val="000000" w:themeColor="text1"/>
                <w:lang w:eastAsia="hu-HU"/>
              </w:rPr>
              <w:t>99,9</w:t>
            </w:r>
          </w:p>
        </w:tc>
      </w:tr>
      <w:tr w:rsidR="00A948A8" w:rsidRPr="00A948A8" w14:paraId="06140419" w14:textId="77777777" w:rsidTr="00336470">
        <w:trPr>
          <w:trHeight w:val="340"/>
          <w:jc w:val="center"/>
        </w:trPr>
        <w:tc>
          <w:tcPr>
            <w:tcW w:w="4049" w:type="dxa"/>
            <w:tcBorders>
              <w:top w:val="single" w:sz="4" w:space="0" w:color="auto"/>
              <w:left w:val="single" w:sz="4" w:space="0" w:color="auto"/>
              <w:bottom w:val="single" w:sz="4" w:space="0" w:color="auto"/>
              <w:right w:val="single" w:sz="4" w:space="0" w:color="auto"/>
            </w:tcBorders>
            <w:noWrap/>
            <w:vAlign w:val="center"/>
            <w:hideMark/>
          </w:tcPr>
          <w:p w14:paraId="33823840" w14:textId="77777777" w:rsidR="00A948A8" w:rsidRPr="00A948A8" w:rsidRDefault="5E04AD7D" w:rsidP="5E04AD7D">
            <w:pPr>
              <w:spacing w:after="0" w:line="240" w:lineRule="auto"/>
              <w:rPr>
                <w:rFonts w:ascii="Times New Roman" w:eastAsia="Times New Roman" w:hAnsi="Times New Roman" w:cs="Times New Roman"/>
                <w:color w:val="000000" w:themeColor="text1"/>
                <w:lang w:eastAsia="hu-HU"/>
              </w:rPr>
            </w:pPr>
            <w:r w:rsidRPr="5E04AD7D">
              <w:rPr>
                <w:rFonts w:ascii="Times New Roman" w:eastAsia="Times New Roman" w:hAnsi="Times New Roman" w:cs="Times New Roman"/>
                <w:color w:val="000000" w:themeColor="text1"/>
                <w:lang w:eastAsia="hu-HU"/>
              </w:rPr>
              <w:t>Dohánygyártmány jövedéki adó</w:t>
            </w:r>
          </w:p>
        </w:tc>
        <w:tc>
          <w:tcPr>
            <w:tcW w:w="1623" w:type="dxa"/>
            <w:tcBorders>
              <w:top w:val="single" w:sz="4" w:space="0" w:color="auto"/>
              <w:left w:val="single" w:sz="4" w:space="0" w:color="auto"/>
              <w:bottom w:val="single" w:sz="4" w:space="0" w:color="auto"/>
              <w:right w:val="single" w:sz="4" w:space="0" w:color="auto"/>
            </w:tcBorders>
            <w:noWrap/>
            <w:vAlign w:val="center"/>
            <w:hideMark/>
          </w:tcPr>
          <w:p w14:paraId="25B4BDA0" w14:textId="77777777" w:rsidR="00A948A8" w:rsidRPr="00A948A8" w:rsidRDefault="28F9800E" w:rsidP="28F9800E">
            <w:pPr>
              <w:spacing w:after="0" w:line="240" w:lineRule="auto"/>
              <w:jc w:val="right"/>
              <w:rPr>
                <w:rFonts w:ascii="Times New Roman" w:eastAsia="Times New Roman" w:hAnsi="Times New Roman" w:cs="Times New Roman"/>
                <w:color w:val="000000" w:themeColor="text1"/>
                <w:highlight w:val="yellow"/>
                <w:lang w:eastAsia="hu-HU"/>
              </w:rPr>
            </w:pPr>
            <w:r w:rsidRPr="28F9800E">
              <w:rPr>
                <w:rFonts w:ascii="Times New Roman" w:eastAsia="Times New Roman" w:hAnsi="Times New Roman" w:cs="Times New Roman"/>
                <w:color w:val="000000" w:themeColor="text1"/>
                <w:lang w:eastAsia="hu-HU"/>
              </w:rPr>
              <w:t>108,8</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21DB7CD1" w14:textId="77777777" w:rsidR="00A948A8" w:rsidRPr="00A948A8" w:rsidRDefault="28F9800E" w:rsidP="28F9800E">
            <w:pPr>
              <w:spacing w:after="0" w:line="240" w:lineRule="auto"/>
              <w:jc w:val="right"/>
              <w:rPr>
                <w:rFonts w:ascii="Times New Roman" w:eastAsia="Times New Roman" w:hAnsi="Times New Roman" w:cs="Times New Roman"/>
                <w:color w:val="000000" w:themeColor="text1"/>
                <w:highlight w:val="yellow"/>
                <w:lang w:eastAsia="hu-HU"/>
              </w:rPr>
            </w:pPr>
            <w:r w:rsidRPr="28F9800E">
              <w:rPr>
                <w:rFonts w:ascii="Times New Roman" w:eastAsia="Times New Roman" w:hAnsi="Times New Roman" w:cs="Times New Roman"/>
                <w:color w:val="000000" w:themeColor="text1"/>
                <w:lang w:eastAsia="hu-HU"/>
              </w:rPr>
              <w:t>130,6</w:t>
            </w:r>
          </w:p>
        </w:tc>
        <w:tc>
          <w:tcPr>
            <w:tcW w:w="940" w:type="dxa"/>
            <w:tcBorders>
              <w:top w:val="single" w:sz="4" w:space="0" w:color="auto"/>
              <w:left w:val="single" w:sz="4" w:space="0" w:color="auto"/>
              <w:bottom w:val="single" w:sz="4" w:space="0" w:color="auto"/>
              <w:right w:val="single" w:sz="4" w:space="0" w:color="auto"/>
            </w:tcBorders>
            <w:noWrap/>
            <w:vAlign w:val="center"/>
            <w:hideMark/>
          </w:tcPr>
          <w:p w14:paraId="7C5021A8" w14:textId="77777777" w:rsidR="00A948A8" w:rsidRPr="00A948A8" w:rsidRDefault="28F9800E" w:rsidP="28F9800E">
            <w:pPr>
              <w:spacing w:after="0" w:line="240" w:lineRule="auto"/>
              <w:jc w:val="right"/>
              <w:rPr>
                <w:rFonts w:ascii="Times New Roman" w:eastAsia="Times New Roman" w:hAnsi="Times New Roman" w:cs="Times New Roman"/>
                <w:color w:val="000000" w:themeColor="text1"/>
                <w:highlight w:val="yellow"/>
                <w:lang w:eastAsia="hu-HU"/>
              </w:rPr>
            </w:pPr>
            <w:r w:rsidRPr="28F9800E">
              <w:rPr>
                <w:rFonts w:ascii="Times New Roman" w:eastAsia="Times New Roman" w:hAnsi="Times New Roman" w:cs="Times New Roman"/>
                <w:color w:val="000000" w:themeColor="text1"/>
                <w:lang w:eastAsia="hu-HU"/>
              </w:rPr>
              <w:t>21,8</w:t>
            </w:r>
          </w:p>
        </w:tc>
        <w:tc>
          <w:tcPr>
            <w:tcW w:w="924" w:type="dxa"/>
            <w:tcBorders>
              <w:top w:val="single" w:sz="4" w:space="0" w:color="auto"/>
              <w:left w:val="single" w:sz="4" w:space="0" w:color="auto"/>
              <w:bottom w:val="single" w:sz="4" w:space="0" w:color="auto"/>
              <w:right w:val="single" w:sz="4" w:space="0" w:color="auto"/>
            </w:tcBorders>
            <w:noWrap/>
            <w:vAlign w:val="center"/>
            <w:hideMark/>
          </w:tcPr>
          <w:p w14:paraId="29283207" w14:textId="77777777" w:rsidR="00A948A8" w:rsidRPr="00A948A8" w:rsidRDefault="28F9800E" w:rsidP="28F9800E">
            <w:pPr>
              <w:spacing w:after="0" w:line="240" w:lineRule="auto"/>
              <w:jc w:val="right"/>
              <w:rPr>
                <w:rFonts w:ascii="Times New Roman" w:eastAsia="Times New Roman" w:hAnsi="Times New Roman" w:cs="Times New Roman"/>
                <w:color w:val="000000" w:themeColor="text1"/>
                <w:highlight w:val="yellow"/>
                <w:lang w:eastAsia="hu-HU"/>
              </w:rPr>
            </w:pPr>
            <w:r w:rsidRPr="28F9800E">
              <w:rPr>
                <w:rFonts w:ascii="Times New Roman" w:eastAsia="Times New Roman" w:hAnsi="Times New Roman" w:cs="Times New Roman"/>
                <w:color w:val="000000" w:themeColor="text1"/>
                <w:lang w:eastAsia="hu-HU"/>
              </w:rPr>
              <w:t>120,0</w:t>
            </w:r>
          </w:p>
        </w:tc>
      </w:tr>
      <w:tr w:rsidR="00A948A8" w:rsidRPr="00A948A8" w14:paraId="52B7287C" w14:textId="77777777" w:rsidTr="00336470">
        <w:trPr>
          <w:trHeight w:val="340"/>
          <w:jc w:val="center"/>
        </w:trPr>
        <w:tc>
          <w:tcPr>
            <w:tcW w:w="4049" w:type="dxa"/>
            <w:tcBorders>
              <w:top w:val="single" w:sz="4" w:space="0" w:color="auto"/>
              <w:left w:val="single" w:sz="4" w:space="0" w:color="auto"/>
              <w:bottom w:val="single" w:sz="4" w:space="0" w:color="auto"/>
              <w:right w:val="single" w:sz="4" w:space="0" w:color="auto"/>
            </w:tcBorders>
            <w:noWrap/>
            <w:vAlign w:val="center"/>
            <w:hideMark/>
          </w:tcPr>
          <w:p w14:paraId="48EDE67C" w14:textId="77777777" w:rsidR="00A948A8" w:rsidRPr="00A948A8" w:rsidRDefault="5E04AD7D" w:rsidP="5E04AD7D">
            <w:pPr>
              <w:spacing w:after="0" w:line="240" w:lineRule="auto"/>
              <w:rPr>
                <w:rFonts w:ascii="Times New Roman" w:eastAsia="Times New Roman" w:hAnsi="Times New Roman" w:cs="Times New Roman"/>
                <w:color w:val="000000" w:themeColor="text1"/>
                <w:lang w:eastAsia="hu-HU"/>
              </w:rPr>
            </w:pPr>
            <w:r w:rsidRPr="5E04AD7D">
              <w:rPr>
                <w:rFonts w:ascii="Times New Roman" w:eastAsia="Times New Roman" w:hAnsi="Times New Roman" w:cs="Times New Roman"/>
                <w:color w:val="000000" w:themeColor="text1"/>
                <w:lang w:eastAsia="hu-HU"/>
              </w:rPr>
              <w:t>Egyéb termék jövedéki adó</w:t>
            </w:r>
          </w:p>
        </w:tc>
        <w:tc>
          <w:tcPr>
            <w:tcW w:w="1623" w:type="dxa"/>
            <w:tcBorders>
              <w:top w:val="single" w:sz="4" w:space="0" w:color="auto"/>
              <w:left w:val="single" w:sz="4" w:space="0" w:color="auto"/>
              <w:bottom w:val="single" w:sz="4" w:space="0" w:color="auto"/>
              <w:right w:val="single" w:sz="4" w:space="0" w:color="auto"/>
            </w:tcBorders>
            <w:noWrap/>
            <w:vAlign w:val="center"/>
            <w:hideMark/>
          </w:tcPr>
          <w:p w14:paraId="69AFEDC0" w14:textId="77777777" w:rsidR="00A948A8" w:rsidRPr="00A948A8" w:rsidRDefault="28F9800E" w:rsidP="28F9800E">
            <w:pPr>
              <w:spacing w:after="0" w:line="240" w:lineRule="auto"/>
              <w:jc w:val="right"/>
              <w:rPr>
                <w:rFonts w:ascii="Times New Roman" w:eastAsia="Times New Roman" w:hAnsi="Times New Roman" w:cs="Times New Roman"/>
                <w:color w:val="000000" w:themeColor="text1"/>
                <w:highlight w:val="yellow"/>
                <w:lang w:eastAsia="hu-HU"/>
              </w:rPr>
            </w:pPr>
            <w:r w:rsidRPr="28F9800E">
              <w:rPr>
                <w:rFonts w:ascii="Times New Roman" w:eastAsia="Times New Roman" w:hAnsi="Times New Roman" w:cs="Times New Roman"/>
                <w:color w:val="000000" w:themeColor="text1"/>
                <w:lang w:eastAsia="hu-HU"/>
              </w:rPr>
              <w:t>29,8</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1D40BC43" w14:textId="77777777" w:rsidR="00A948A8" w:rsidRPr="00A948A8" w:rsidRDefault="28F9800E" w:rsidP="28F9800E">
            <w:pPr>
              <w:spacing w:after="0" w:line="240" w:lineRule="auto"/>
              <w:jc w:val="right"/>
              <w:rPr>
                <w:rFonts w:ascii="Times New Roman" w:eastAsia="Times New Roman" w:hAnsi="Times New Roman" w:cs="Times New Roman"/>
                <w:color w:val="000000" w:themeColor="text1"/>
                <w:highlight w:val="yellow"/>
                <w:lang w:eastAsia="hu-HU"/>
              </w:rPr>
            </w:pPr>
            <w:r w:rsidRPr="28F9800E">
              <w:rPr>
                <w:rFonts w:ascii="Times New Roman" w:eastAsia="Times New Roman" w:hAnsi="Times New Roman" w:cs="Times New Roman"/>
                <w:color w:val="000000" w:themeColor="text1"/>
                <w:lang w:eastAsia="hu-HU"/>
              </w:rPr>
              <w:t>29,2</w:t>
            </w:r>
          </w:p>
        </w:tc>
        <w:tc>
          <w:tcPr>
            <w:tcW w:w="940" w:type="dxa"/>
            <w:tcBorders>
              <w:top w:val="single" w:sz="4" w:space="0" w:color="auto"/>
              <w:left w:val="single" w:sz="4" w:space="0" w:color="auto"/>
              <w:bottom w:val="single" w:sz="4" w:space="0" w:color="auto"/>
              <w:right w:val="single" w:sz="4" w:space="0" w:color="auto"/>
            </w:tcBorders>
            <w:noWrap/>
            <w:vAlign w:val="center"/>
            <w:hideMark/>
          </w:tcPr>
          <w:p w14:paraId="57832430" w14:textId="77777777" w:rsidR="00A948A8" w:rsidRPr="00A948A8" w:rsidRDefault="28F9800E" w:rsidP="28F9800E">
            <w:pPr>
              <w:spacing w:after="0" w:line="240" w:lineRule="auto"/>
              <w:jc w:val="right"/>
              <w:rPr>
                <w:rFonts w:ascii="Times New Roman" w:eastAsia="Times New Roman" w:hAnsi="Times New Roman" w:cs="Times New Roman"/>
                <w:color w:val="000000" w:themeColor="text1"/>
                <w:highlight w:val="yellow"/>
                <w:lang w:eastAsia="hu-HU"/>
              </w:rPr>
            </w:pPr>
            <w:r w:rsidRPr="28F9800E">
              <w:rPr>
                <w:rFonts w:ascii="Times New Roman" w:eastAsia="Times New Roman" w:hAnsi="Times New Roman" w:cs="Times New Roman"/>
                <w:color w:val="000000" w:themeColor="text1"/>
                <w:lang w:eastAsia="hu-HU"/>
              </w:rPr>
              <w:t>-0,6</w:t>
            </w:r>
          </w:p>
        </w:tc>
        <w:tc>
          <w:tcPr>
            <w:tcW w:w="924" w:type="dxa"/>
            <w:tcBorders>
              <w:top w:val="single" w:sz="4" w:space="0" w:color="auto"/>
              <w:left w:val="single" w:sz="4" w:space="0" w:color="auto"/>
              <w:bottom w:val="single" w:sz="4" w:space="0" w:color="auto"/>
              <w:right w:val="single" w:sz="4" w:space="0" w:color="auto"/>
            </w:tcBorders>
            <w:noWrap/>
            <w:vAlign w:val="center"/>
            <w:hideMark/>
          </w:tcPr>
          <w:p w14:paraId="5D103B13" w14:textId="77777777" w:rsidR="00A948A8" w:rsidRPr="00A948A8" w:rsidRDefault="28F9800E" w:rsidP="28F9800E">
            <w:pPr>
              <w:spacing w:after="0" w:line="240" w:lineRule="auto"/>
              <w:jc w:val="right"/>
              <w:rPr>
                <w:rFonts w:ascii="Times New Roman" w:eastAsia="Times New Roman" w:hAnsi="Times New Roman" w:cs="Times New Roman"/>
                <w:color w:val="000000" w:themeColor="text1"/>
                <w:highlight w:val="yellow"/>
                <w:lang w:eastAsia="hu-HU"/>
              </w:rPr>
            </w:pPr>
            <w:r w:rsidRPr="28F9800E">
              <w:rPr>
                <w:rFonts w:ascii="Times New Roman" w:eastAsia="Times New Roman" w:hAnsi="Times New Roman" w:cs="Times New Roman"/>
                <w:color w:val="000000" w:themeColor="text1"/>
                <w:lang w:eastAsia="hu-HU"/>
              </w:rPr>
              <w:t>98,0</w:t>
            </w:r>
          </w:p>
        </w:tc>
      </w:tr>
      <w:tr w:rsidR="00A948A8" w:rsidRPr="00A948A8" w14:paraId="402141B4" w14:textId="77777777" w:rsidTr="00336470">
        <w:trPr>
          <w:trHeight w:val="340"/>
          <w:jc w:val="center"/>
        </w:trPr>
        <w:tc>
          <w:tcPr>
            <w:tcW w:w="4049" w:type="dxa"/>
            <w:tcBorders>
              <w:top w:val="single" w:sz="4" w:space="0" w:color="auto"/>
              <w:left w:val="single" w:sz="4" w:space="0" w:color="auto"/>
              <w:bottom w:val="single" w:sz="4" w:space="0" w:color="auto"/>
              <w:right w:val="single" w:sz="4" w:space="0" w:color="auto"/>
            </w:tcBorders>
            <w:noWrap/>
            <w:vAlign w:val="center"/>
            <w:hideMark/>
          </w:tcPr>
          <w:p w14:paraId="5798FC0E" w14:textId="77777777" w:rsidR="00A948A8" w:rsidRPr="00A948A8" w:rsidRDefault="5E04AD7D" w:rsidP="5E04AD7D">
            <w:pPr>
              <w:spacing w:after="0" w:line="240" w:lineRule="auto"/>
              <w:rPr>
                <w:rFonts w:ascii="Times New Roman" w:eastAsia="Times New Roman" w:hAnsi="Times New Roman" w:cs="Times New Roman"/>
                <w:color w:val="000000" w:themeColor="text1"/>
                <w:lang w:eastAsia="hu-HU"/>
              </w:rPr>
            </w:pPr>
            <w:r w:rsidRPr="5E04AD7D">
              <w:rPr>
                <w:rFonts w:ascii="Times New Roman" w:eastAsia="Times New Roman" w:hAnsi="Times New Roman" w:cs="Times New Roman"/>
                <w:color w:val="000000" w:themeColor="text1"/>
                <w:lang w:eastAsia="hu-HU"/>
              </w:rPr>
              <w:t>Import jövedéki adó és energiaadó</w:t>
            </w:r>
          </w:p>
        </w:tc>
        <w:tc>
          <w:tcPr>
            <w:tcW w:w="1623" w:type="dxa"/>
            <w:tcBorders>
              <w:top w:val="single" w:sz="4" w:space="0" w:color="auto"/>
              <w:left w:val="single" w:sz="4" w:space="0" w:color="auto"/>
              <w:bottom w:val="single" w:sz="4" w:space="0" w:color="auto"/>
              <w:right w:val="single" w:sz="4" w:space="0" w:color="auto"/>
            </w:tcBorders>
            <w:noWrap/>
            <w:vAlign w:val="center"/>
            <w:hideMark/>
          </w:tcPr>
          <w:p w14:paraId="230A8B37" w14:textId="77777777" w:rsidR="00A948A8" w:rsidRPr="00A948A8" w:rsidRDefault="28F9800E" w:rsidP="28F9800E">
            <w:pPr>
              <w:spacing w:after="0" w:line="240" w:lineRule="auto"/>
              <w:jc w:val="right"/>
              <w:rPr>
                <w:rFonts w:ascii="Times New Roman" w:eastAsia="Times New Roman" w:hAnsi="Times New Roman" w:cs="Times New Roman"/>
                <w:color w:val="000000" w:themeColor="text1"/>
                <w:highlight w:val="yellow"/>
                <w:lang w:eastAsia="hu-HU"/>
              </w:rPr>
            </w:pPr>
            <w:r w:rsidRPr="28F9800E">
              <w:rPr>
                <w:rFonts w:ascii="Times New Roman" w:eastAsia="Times New Roman" w:hAnsi="Times New Roman" w:cs="Times New Roman"/>
                <w:color w:val="000000" w:themeColor="text1"/>
                <w:lang w:eastAsia="hu-HU"/>
              </w:rPr>
              <w:t>6,8</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668B868F" w14:textId="77777777" w:rsidR="00A948A8" w:rsidRPr="00A948A8" w:rsidRDefault="28F9800E" w:rsidP="28F9800E">
            <w:pPr>
              <w:spacing w:after="0" w:line="240" w:lineRule="auto"/>
              <w:jc w:val="right"/>
              <w:rPr>
                <w:rFonts w:ascii="Times New Roman" w:eastAsia="Times New Roman" w:hAnsi="Times New Roman" w:cs="Times New Roman"/>
                <w:color w:val="000000" w:themeColor="text1"/>
                <w:highlight w:val="yellow"/>
                <w:lang w:eastAsia="hu-HU"/>
              </w:rPr>
            </w:pPr>
            <w:r w:rsidRPr="28F9800E">
              <w:rPr>
                <w:rFonts w:ascii="Times New Roman" w:eastAsia="Times New Roman" w:hAnsi="Times New Roman" w:cs="Times New Roman"/>
                <w:color w:val="000000" w:themeColor="text1"/>
                <w:lang w:eastAsia="hu-HU"/>
              </w:rPr>
              <w:t>6,3</w:t>
            </w:r>
          </w:p>
        </w:tc>
        <w:tc>
          <w:tcPr>
            <w:tcW w:w="940" w:type="dxa"/>
            <w:tcBorders>
              <w:top w:val="single" w:sz="4" w:space="0" w:color="auto"/>
              <w:left w:val="single" w:sz="4" w:space="0" w:color="auto"/>
              <w:bottom w:val="single" w:sz="4" w:space="0" w:color="auto"/>
              <w:right w:val="single" w:sz="4" w:space="0" w:color="auto"/>
            </w:tcBorders>
            <w:noWrap/>
            <w:vAlign w:val="center"/>
            <w:hideMark/>
          </w:tcPr>
          <w:p w14:paraId="11B60407" w14:textId="77777777" w:rsidR="00A948A8" w:rsidRPr="00A948A8" w:rsidRDefault="28F9800E" w:rsidP="28F9800E">
            <w:pPr>
              <w:spacing w:after="0" w:line="240" w:lineRule="auto"/>
              <w:jc w:val="right"/>
              <w:rPr>
                <w:rFonts w:ascii="Times New Roman" w:eastAsia="Times New Roman" w:hAnsi="Times New Roman" w:cs="Times New Roman"/>
                <w:color w:val="000000" w:themeColor="text1"/>
                <w:highlight w:val="yellow"/>
                <w:lang w:eastAsia="hu-HU"/>
              </w:rPr>
            </w:pPr>
            <w:r w:rsidRPr="28F9800E">
              <w:rPr>
                <w:rFonts w:ascii="Times New Roman" w:eastAsia="Times New Roman" w:hAnsi="Times New Roman" w:cs="Times New Roman"/>
                <w:color w:val="000000" w:themeColor="text1"/>
                <w:lang w:eastAsia="hu-HU"/>
              </w:rPr>
              <w:t>-0,5</w:t>
            </w:r>
          </w:p>
        </w:tc>
        <w:tc>
          <w:tcPr>
            <w:tcW w:w="924" w:type="dxa"/>
            <w:tcBorders>
              <w:top w:val="single" w:sz="4" w:space="0" w:color="auto"/>
              <w:left w:val="single" w:sz="4" w:space="0" w:color="auto"/>
              <w:bottom w:val="single" w:sz="4" w:space="0" w:color="auto"/>
              <w:right w:val="single" w:sz="4" w:space="0" w:color="auto"/>
            </w:tcBorders>
            <w:noWrap/>
            <w:vAlign w:val="center"/>
            <w:hideMark/>
          </w:tcPr>
          <w:p w14:paraId="0EC53F7C" w14:textId="77777777" w:rsidR="00A948A8" w:rsidRPr="00A948A8" w:rsidRDefault="28F9800E" w:rsidP="28F9800E">
            <w:pPr>
              <w:spacing w:after="0" w:line="240" w:lineRule="auto"/>
              <w:jc w:val="right"/>
              <w:rPr>
                <w:rFonts w:ascii="Times New Roman" w:eastAsia="Times New Roman" w:hAnsi="Times New Roman" w:cs="Times New Roman"/>
                <w:color w:val="000000" w:themeColor="text1"/>
                <w:highlight w:val="yellow"/>
                <w:lang w:eastAsia="hu-HU"/>
              </w:rPr>
            </w:pPr>
            <w:r w:rsidRPr="28F9800E">
              <w:rPr>
                <w:rFonts w:ascii="Times New Roman" w:eastAsia="Times New Roman" w:hAnsi="Times New Roman" w:cs="Times New Roman"/>
                <w:color w:val="000000" w:themeColor="text1"/>
                <w:lang w:eastAsia="hu-HU"/>
              </w:rPr>
              <w:t>92,6</w:t>
            </w:r>
          </w:p>
        </w:tc>
      </w:tr>
      <w:tr w:rsidR="00A948A8" w:rsidRPr="00A948A8" w14:paraId="170C35ED" w14:textId="77777777" w:rsidTr="00336470">
        <w:trPr>
          <w:trHeight w:val="340"/>
          <w:jc w:val="center"/>
        </w:trPr>
        <w:tc>
          <w:tcPr>
            <w:tcW w:w="4049" w:type="dxa"/>
            <w:tcBorders>
              <w:top w:val="single" w:sz="4" w:space="0" w:color="auto"/>
              <w:left w:val="single" w:sz="4" w:space="0" w:color="auto"/>
              <w:bottom w:val="single" w:sz="4" w:space="0" w:color="auto"/>
              <w:right w:val="single" w:sz="4" w:space="0" w:color="auto"/>
            </w:tcBorders>
            <w:noWrap/>
            <w:vAlign w:val="center"/>
            <w:hideMark/>
          </w:tcPr>
          <w:p w14:paraId="56E25F12" w14:textId="77777777" w:rsidR="00A948A8" w:rsidRPr="00A948A8" w:rsidRDefault="5E04AD7D" w:rsidP="5E04AD7D">
            <w:pPr>
              <w:spacing w:after="0" w:line="240" w:lineRule="auto"/>
              <w:rPr>
                <w:rFonts w:ascii="Times New Roman" w:eastAsia="Times New Roman" w:hAnsi="Times New Roman" w:cs="Times New Roman"/>
                <w:b/>
                <w:bCs/>
                <w:color w:val="000000" w:themeColor="text1"/>
                <w:lang w:eastAsia="hu-HU"/>
              </w:rPr>
            </w:pPr>
            <w:r w:rsidRPr="5E04AD7D">
              <w:rPr>
                <w:rFonts w:ascii="Times New Roman" w:eastAsia="Times New Roman" w:hAnsi="Times New Roman" w:cs="Times New Roman"/>
                <w:b/>
                <w:bCs/>
                <w:color w:val="000000" w:themeColor="text1"/>
                <w:lang w:eastAsia="hu-HU"/>
              </w:rPr>
              <w:t>Jövedéki adók összesen</w:t>
            </w:r>
          </w:p>
        </w:tc>
        <w:tc>
          <w:tcPr>
            <w:tcW w:w="1623" w:type="dxa"/>
            <w:tcBorders>
              <w:top w:val="single" w:sz="4" w:space="0" w:color="auto"/>
              <w:left w:val="single" w:sz="4" w:space="0" w:color="auto"/>
              <w:bottom w:val="single" w:sz="4" w:space="0" w:color="auto"/>
              <w:right w:val="single" w:sz="4" w:space="0" w:color="auto"/>
            </w:tcBorders>
            <w:noWrap/>
            <w:vAlign w:val="center"/>
            <w:hideMark/>
          </w:tcPr>
          <w:p w14:paraId="456616B9" w14:textId="77777777" w:rsidR="00A948A8" w:rsidRPr="00A948A8" w:rsidRDefault="28F9800E" w:rsidP="28F9800E">
            <w:pPr>
              <w:spacing w:after="0" w:line="240" w:lineRule="auto"/>
              <w:jc w:val="right"/>
              <w:rPr>
                <w:rFonts w:ascii="Times New Roman" w:eastAsia="Times New Roman" w:hAnsi="Times New Roman" w:cs="Times New Roman"/>
                <w:b/>
                <w:bCs/>
                <w:color w:val="000000" w:themeColor="text1"/>
                <w:highlight w:val="yellow"/>
                <w:lang w:eastAsia="hu-HU"/>
              </w:rPr>
            </w:pPr>
            <w:r w:rsidRPr="28F9800E">
              <w:rPr>
                <w:rFonts w:ascii="Times New Roman" w:eastAsia="Times New Roman" w:hAnsi="Times New Roman" w:cs="Times New Roman"/>
                <w:b/>
                <w:bCs/>
                <w:color w:val="000000" w:themeColor="text1"/>
                <w:lang w:eastAsia="hu-HU"/>
              </w:rPr>
              <w:t>345,4</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7882813C" w14:textId="77777777" w:rsidR="00A948A8" w:rsidRPr="00A948A8" w:rsidRDefault="28F9800E" w:rsidP="28F9800E">
            <w:pPr>
              <w:spacing w:after="0" w:line="240" w:lineRule="auto"/>
              <w:jc w:val="right"/>
              <w:rPr>
                <w:rFonts w:ascii="Times New Roman" w:eastAsia="Times New Roman" w:hAnsi="Times New Roman" w:cs="Times New Roman"/>
                <w:b/>
                <w:bCs/>
                <w:color w:val="000000" w:themeColor="text1"/>
                <w:highlight w:val="yellow"/>
                <w:lang w:eastAsia="hu-HU"/>
              </w:rPr>
            </w:pPr>
            <w:r w:rsidRPr="28F9800E">
              <w:rPr>
                <w:rFonts w:ascii="Times New Roman" w:eastAsia="Times New Roman" w:hAnsi="Times New Roman" w:cs="Times New Roman"/>
                <w:b/>
                <w:bCs/>
                <w:color w:val="000000" w:themeColor="text1"/>
                <w:lang w:eastAsia="hu-HU"/>
              </w:rPr>
              <w:t>365,8</w:t>
            </w:r>
          </w:p>
        </w:tc>
        <w:tc>
          <w:tcPr>
            <w:tcW w:w="940" w:type="dxa"/>
            <w:tcBorders>
              <w:top w:val="single" w:sz="4" w:space="0" w:color="auto"/>
              <w:left w:val="single" w:sz="4" w:space="0" w:color="auto"/>
              <w:bottom w:val="single" w:sz="4" w:space="0" w:color="auto"/>
              <w:right w:val="single" w:sz="4" w:space="0" w:color="auto"/>
            </w:tcBorders>
            <w:noWrap/>
            <w:vAlign w:val="center"/>
            <w:hideMark/>
          </w:tcPr>
          <w:p w14:paraId="41A4C652" w14:textId="77777777" w:rsidR="00A948A8" w:rsidRPr="00A948A8" w:rsidRDefault="28F9800E" w:rsidP="28F9800E">
            <w:pPr>
              <w:spacing w:after="0" w:line="240" w:lineRule="auto"/>
              <w:jc w:val="right"/>
              <w:rPr>
                <w:rFonts w:ascii="Times New Roman" w:eastAsia="Times New Roman" w:hAnsi="Times New Roman" w:cs="Times New Roman"/>
                <w:b/>
                <w:bCs/>
                <w:color w:val="000000" w:themeColor="text1"/>
                <w:highlight w:val="yellow"/>
                <w:lang w:eastAsia="hu-HU"/>
              </w:rPr>
            </w:pPr>
            <w:r w:rsidRPr="28F9800E">
              <w:rPr>
                <w:rFonts w:ascii="Times New Roman" w:eastAsia="Times New Roman" w:hAnsi="Times New Roman" w:cs="Times New Roman"/>
                <w:b/>
                <w:bCs/>
                <w:color w:val="000000" w:themeColor="text1"/>
                <w:lang w:eastAsia="hu-HU"/>
              </w:rPr>
              <w:t>20,4</w:t>
            </w:r>
          </w:p>
        </w:tc>
        <w:tc>
          <w:tcPr>
            <w:tcW w:w="924" w:type="dxa"/>
            <w:tcBorders>
              <w:top w:val="single" w:sz="4" w:space="0" w:color="auto"/>
              <w:left w:val="single" w:sz="4" w:space="0" w:color="auto"/>
              <w:bottom w:val="single" w:sz="4" w:space="0" w:color="auto"/>
              <w:right w:val="single" w:sz="4" w:space="0" w:color="auto"/>
            </w:tcBorders>
            <w:noWrap/>
            <w:vAlign w:val="center"/>
            <w:hideMark/>
          </w:tcPr>
          <w:p w14:paraId="69590470" w14:textId="77777777" w:rsidR="00A948A8" w:rsidRPr="00A948A8" w:rsidRDefault="28F9800E" w:rsidP="28F9800E">
            <w:pPr>
              <w:spacing w:after="0" w:line="240" w:lineRule="auto"/>
              <w:jc w:val="right"/>
              <w:rPr>
                <w:rFonts w:ascii="Times New Roman" w:eastAsia="Times New Roman" w:hAnsi="Times New Roman" w:cs="Times New Roman"/>
                <w:b/>
                <w:bCs/>
                <w:color w:val="000000" w:themeColor="text1"/>
                <w:highlight w:val="yellow"/>
                <w:lang w:eastAsia="hu-HU"/>
              </w:rPr>
            </w:pPr>
            <w:r w:rsidRPr="28F9800E">
              <w:rPr>
                <w:rFonts w:ascii="Times New Roman" w:eastAsia="Times New Roman" w:hAnsi="Times New Roman" w:cs="Times New Roman"/>
                <w:b/>
                <w:bCs/>
                <w:color w:val="000000" w:themeColor="text1"/>
                <w:lang w:eastAsia="hu-HU"/>
              </w:rPr>
              <w:t>105,9</w:t>
            </w:r>
          </w:p>
        </w:tc>
      </w:tr>
    </w:tbl>
    <w:p w14:paraId="5F2FFB02" w14:textId="50B1B757" w:rsidR="00A948A8" w:rsidRPr="00A948A8" w:rsidRDefault="5E04AD7D" w:rsidP="00EB6F43">
      <w:pPr>
        <w:spacing w:before="240"/>
        <w:jc w:val="both"/>
        <w:rPr>
          <w:rFonts w:ascii="Times New Roman" w:eastAsia="Times New Roman" w:hAnsi="Times New Roman" w:cs="Times New Roman"/>
          <w:sz w:val="26"/>
          <w:szCs w:val="26"/>
          <w:lang w:eastAsia="hu-HU"/>
        </w:rPr>
      </w:pPr>
      <w:bookmarkStart w:id="0" w:name="_Hlk224053963"/>
      <w:bookmarkStart w:id="1" w:name="_Hlk224054592"/>
      <w:bookmarkEnd w:id="0"/>
      <w:bookmarkEnd w:id="1"/>
      <w:r w:rsidRPr="5E04AD7D">
        <w:rPr>
          <w:rFonts w:ascii="Times New Roman" w:eastAsia="Times New Roman" w:hAnsi="Times New Roman" w:cs="Times New Roman"/>
          <w:b/>
          <w:bCs/>
          <w:sz w:val="26"/>
          <w:szCs w:val="26"/>
          <w:lang w:eastAsia="hu-HU"/>
        </w:rPr>
        <w:t>Pénzügyi tranzakciós illetékből</w:t>
      </w:r>
      <w:r w:rsidRPr="5E04AD7D">
        <w:rPr>
          <w:rFonts w:ascii="Times New Roman" w:eastAsia="Times New Roman" w:hAnsi="Times New Roman" w:cs="Times New Roman"/>
          <w:sz w:val="26"/>
          <w:szCs w:val="26"/>
          <w:lang w:eastAsia="hu-HU"/>
        </w:rPr>
        <w:t xml:space="preserve"> 2026 első három hónapjában 146,4 milliárd forint bevétele keletkezett a költségvetésnek, ami 1,4 milliárd forinttal maradt el az egy évvel korábbi összegtől. </w:t>
      </w:r>
    </w:p>
    <w:p w14:paraId="4EBD55A4" w14:textId="7F3D846A" w:rsidR="00A948A8" w:rsidRPr="00A948A8" w:rsidRDefault="5E04AD7D" w:rsidP="00EB6F43">
      <w:pPr>
        <w:spacing w:before="240"/>
        <w:jc w:val="both"/>
        <w:rPr>
          <w:rFonts w:ascii="Times New Roman" w:eastAsia="Times New Roman" w:hAnsi="Times New Roman" w:cs="Times New Roman"/>
          <w:sz w:val="26"/>
          <w:szCs w:val="26"/>
          <w:highlight w:val="yellow"/>
          <w:lang w:eastAsia="hu-HU"/>
        </w:rPr>
      </w:pPr>
      <w:r w:rsidRPr="5E04AD7D">
        <w:rPr>
          <w:rFonts w:ascii="Times New Roman" w:eastAsia="Times New Roman" w:hAnsi="Times New Roman" w:cs="Times New Roman"/>
          <w:sz w:val="26"/>
          <w:szCs w:val="26"/>
          <w:lang w:eastAsia="hu-HU"/>
        </w:rPr>
        <w:t xml:space="preserve">A </w:t>
      </w:r>
      <w:r w:rsidRPr="5E04AD7D">
        <w:rPr>
          <w:rFonts w:ascii="Times New Roman" w:eastAsia="Times New Roman" w:hAnsi="Times New Roman" w:cs="Times New Roman"/>
          <w:b/>
          <w:bCs/>
          <w:sz w:val="26"/>
          <w:szCs w:val="26"/>
          <w:lang w:eastAsia="hu-HU"/>
        </w:rPr>
        <w:t xml:space="preserve">biztosítási adóból </w:t>
      </w:r>
      <w:r w:rsidRPr="5E04AD7D">
        <w:rPr>
          <w:rFonts w:ascii="Times New Roman" w:eastAsia="Times New Roman" w:hAnsi="Times New Roman" w:cs="Times New Roman"/>
          <w:sz w:val="26"/>
          <w:szCs w:val="26"/>
          <w:lang w:eastAsia="hu-HU"/>
        </w:rPr>
        <w:t>származó bevétel 2026 első három hónapjában 50,1</w:t>
      </w:r>
      <w:r w:rsidR="00527154">
        <w:rPr>
          <w:rFonts w:ascii="Times New Roman" w:eastAsia="Times New Roman" w:hAnsi="Times New Roman" w:cs="Times New Roman"/>
          <w:sz w:val="26"/>
          <w:szCs w:val="26"/>
          <w:lang w:eastAsia="hu-HU"/>
        </w:rPr>
        <w:t> </w:t>
      </w:r>
      <w:r w:rsidRPr="5E04AD7D">
        <w:rPr>
          <w:rFonts w:ascii="Times New Roman" w:eastAsia="Times New Roman" w:hAnsi="Times New Roman" w:cs="Times New Roman"/>
          <w:sz w:val="26"/>
          <w:szCs w:val="26"/>
          <w:lang w:eastAsia="hu-HU"/>
        </w:rPr>
        <w:t>milliárd forintot tett ki, amely 2,2</w:t>
      </w:r>
      <w:r w:rsidR="0073467C">
        <w:rPr>
          <w:rFonts w:ascii="Times New Roman" w:eastAsia="Times New Roman" w:hAnsi="Times New Roman" w:cs="Times New Roman"/>
          <w:sz w:val="26"/>
          <w:szCs w:val="26"/>
          <w:lang w:eastAsia="hu-HU"/>
        </w:rPr>
        <w:t> </w:t>
      </w:r>
      <w:r w:rsidRPr="5E04AD7D">
        <w:rPr>
          <w:rFonts w:ascii="Times New Roman" w:eastAsia="Times New Roman" w:hAnsi="Times New Roman" w:cs="Times New Roman"/>
          <w:sz w:val="26"/>
          <w:szCs w:val="26"/>
          <w:lang w:eastAsia="hu-HU"/>
        </w:rPr>
        <w:t>milliárd forinttal alacsonyabb az egy évvel korábbi bevételnél. A</w:t>
      </w:r>
      <w:r w:rsidR="00EB6F43">
        <w:rPr>
          <w:rFonts w:ascii="Times New Roman" w:eastAsia="Times New Roman" w:hAnsi="Times New Roman" w:cs="Times New Roman"/>
          <w:sz w:val="26"/>
          <w:szCs w:val="26"/>
          <w:lang w:eastAsia="hu-HU"/>
        </w:rPr>
        <w:t> </w:t>
      </w:r>
      <w:r w:rsidRPr="5E04AD7D">
        <w:rPr>
          <w:rFonts w:ascii="Times New Roman" w:eastAsia="Times New Roman" w:hAnsi="Times New Roman" w:cs="Times New Roman"/>
          <w:sz w:val="26"/>
          <w:szCs w:val="26"/>
          <w:lang w:eastAsia="hu-HU"/>
        </w:rPr>
        <w:t xml:space="preserve">bevételek előző évhez viszonyított alacsonyabb teljesülését </w:t>
      </w:r>
      <w:r w:rsidR="00EB6F43">
        <w:rPr>
          <w:rFonts w:ascii="Times New Roman" w:eastAsia="Times New Roman" w:hAnsi="Times New Roman" w:cs="Times New Roman"/>
          <w:sz w:val="26"/>
          <w:szCs w:val="26"/>
          <w:lang w:eastAsia="hu-HU"/>
        </w:rPr>
        <w:t xml:space="preserve">az </w:t>
      </w:r>
      <w:r w:rsidRPr="5E04AD7D">
        <w:rPr>
          <w:rFonts w:ascii="Times New Roman" w:eastAsia="Times New Roman" w:hAnsi="Times New Roman" w:cs="Times New Roman"/>
          <w:sz w:val="26"/>
          <w:szCs w:val="26"/>
          <w:lang w:eastAsia="hu-HU"/>
        </w:rPr>
        <w:t>magyarázza, hogy a 2024.</w:t>
      </w:r>
      <w:r w:rsidR="00EB6F43">
        <w:rPr>
          <w:rFonts w:ascii="Times New Roman" w:eastAsia="Times New Roman" w:hAnsi="Times New Roman" w:cs="Times New Roman"/>
          <w:sz w:val="26"/>
          <w:szCs w:val="26"/>
          <w:lang w:eastAsia="hu-HU"/>
        </w:rPr>
        <w:t> </w:t>
      </w:r>
      <w:r w:rsidRPr="5E04AD7D">
        <w:rPr>
          <w:rFonts w:ascii="Times New Roman" w:eastAsia="Times New Roman" w:hAnsi="Times New Roman" w:cs="Times New Roman"/>
          <w:sz w:val="26"/>
          <w:szCs w:val="26"/>
          <w:lang w:eastAsia="hu-HU"/>
        </w:rPr>
        <w:t xml:space="preserve">évi biztosítási pótadó-kötelezettség 2025. januári elszámolásából származó bevétel </w:t>
      </w:r>
      <w:r w:rsidRPr="5E04AD7D">
        <w:rPr>
          <w:rFonts w:ascii="Times New Roman" w:eastAsia="Times New Roman" w:hAnsi="Times New Roman" w:cs="Times New Roman"/>
          <w:sz w:val="26"/>
          <w:szCs w:val="26"/>
          <w:lang w:eastAsia="hu-HU"/>
        </w:rPr>
        <w:lastRenderedPageBreak/>
        <w:t>meghaladta a 2025. évi biztosítási pótadó-kötelezettség 2026. január és februári elszámolásából fakadó tárgyévi bevételt.</w:t>
      </w:r>
    </w:p>
    <w:p w14:paraId="2004CA8C" w14:textId="07E42C11" w:rsidR="00E20C14" w:rsidRPr="00E20C14" w:rsidRDefault="5E04AD7D" w:rsidP="00EB6F43">
      <w:pPr>
        <w:spacing w:before="240"/>
        <w:jc w:val="both"/>
        <w:rPr>
          <w:rFonts w:ascii="Times New Roman" w:eastAsia="Times New Roman" w:hAnsi="Times New Roman" w:cs="Times New Roman"/>
          <w:color w:val="000000" w:themeColor="text1"/>
          <w:sz w:val="26"/>
          <w:szCs w:val="26"/>
          <w:lang w:eastAsia="hu-HU"/>
        </w:rPr>
      </w:pPr>
      <w:r w:rsidRPr="5E04AD7D">
        <w:rPr>
          <w:rFonts w:ascii="Times New Roman" w:eastAsia="Times New Roman" w:hAnsi="Times New Roman" w:cs="Times New Roman"/>
          <w:color w:val="000000" w:themeColor="text1"/>
          <w:sz w:val="26"/>
          <w:szCs w:val="26"/>
          <w:lang w:eastAsia="hu-HU"/>
        </w:rPr>
        <w:t xml:space="preserve">A </w:t>
      </w:r>
      <w:r w:rsidRPr="5E04AD7D">
        <w:rPr>
          <w:rFonts w:ascii="Times New Roman" w:eastAsia="Times New Roman" w:hAnsi="Times New Roman" w:cs="Times New Roman"/>
          <w:b/>
          <w:bCs/>
          <w:color w:val="000000" w:themeColor="text1"/>
          <w:sz w:val="26"/>
          <w:szCs w:val="26"/>
          <w:lang w:eastAsia="hu-HU"/>
        </w:rPr>
        <w:t>személyi jövedelemadó</w:t>
      </w:r>
      <w:r w:rsidRPr="5E04AD7D">
        <w:rPr>
          <w:rFonts w:ascii="Times New Roman" w:eastAsia="Times New Roman" w:hAnsi="Times New Roman" w:cs="Times New Roman"/>
          <w:color w:val="000000" w:themeColor="text1"/>
          <w:sz w:val="26"/>
          <w:szCs w:val="26"/>
          <w:lang w:eastAsia="hu-HU"/>
        </w:rPr>
        <w:t xml:space="preserve"> bevétele 2026 első három hónapjában 1297,5</w:t>
      </w:r>
      <w:r w:rsidRPr="5E04AD7D">
        <w:rPr>
          <w:rFonts w:ascii="Times New Roman" w:eastAsia="Times New Roman" w:hAnsi="Times New Roman" w:cs="Times New Roman"/>
          <w:sz w:val="26"/>
          <w:szCs w:val="26"/>
          <w:lang w:eastAsia="hu-HU"/>
        </w:rPr>
        <w:t> </w:t>
      </w:r>
      <w:r w:rsidRPr="5E04AD7D">
        <w:rPr>
          <w:rFonts w:ascii="Times New Roman" w:eastAsia="Times New Roman" w:hAnsi="Times New Roman" w:cs="Times New Roman"/>
          <w:color w:val="000000" w:themeColor="text1"/>
          <w:sz w:val="26"/>
          <w:szCs w:val="26"/>
          <w:lang w:eastAsia="hu-HU"/>
        </w:rPr>
        <w:t>milliárd</w:t>
      </w:r>
      <w:r w:rsidRPr="5E04AD7D">
        <w:rPr>
          <w:rFonts w:ascii="Times New Roman" w:eastAsia="Times New Roman" w:hAnsi="Times New Roman" w:cs="Times New Roman"/>
          <w:sz w:val="26"/>
          <w:szCs w:val="26"/>
          <w:lang w:eastAsia="hu-HU"/>
        </w:rPr>
        <w:t> </w:t>
      </w:r>
      <w:r w:rsidRPr="5E04AD7D">
        <w:rPr>
          <w:rFonts w:ascii="Times New Roman" w:eastAsia="Times New Roman" w:hAnsi="Times New Roman" w:cs="Times New Roman"/>
          <w:color w:val="000000" w:themeColor="text1"/>
          <w:sz w:val="26"/>
          <w:szCs w:val="26"/>
          <w:lang w:eastAsia="hu-HU"/>
        </w:rPr>
        <w:t>forint volt, amely 95,3</w:t>
      </w:r>
      <w:r w:rsidRPr="5E04AD7D">
        <w:rPr>
          <w:rFonts w:ascii="Times New Roman" w:eastAsia="Times New Roman" w:hAnsi="Times New Roman" w:cs="Times New Roman"/>
          <w:sz w:val="26"/>
          <w:szCs w:val="26"/>
          <w:lang w:eastAsia="hu-HU"/>
        </w:rPr>
        <w:t> </w:t>
      </w:r>
      <w:r w:rsidRPr="5E04AD7D">
        <w:rPr>
          <w:rFonts w:ascii="Times New Roman" w:eastAsia="Times New Roman" w:hAnsi="Times New Roman" w:cs="Times New Roman"/>
          <w:color w:val="000000" w:themeColor="text1"/>
          <w:sz w:val="26"/>
          <w:szCs w:val="26"/>
          <w:lang w:eastAsia="hu-HU"/>
        </w:rPr>
        <w:t>milliárd</w:t>
      </w:r>
      <w:r w:rsidRPr="5E04AD7D">
        <w:rPr>
          <w:rFonts w:ascii="Times New Roman" w:eastAsia="Times New Roman" w:hAnsi="Times New Roman" w:cs="Times New Roman"/>
          <w:sz w:val="26"/>
          <w:szCs w:val="26"/>
          <w:lang w:eastAsia="hu-HU"/>
        </w:rPr>
        <w:t> </w:t>
      </w:r>
      <w:r w:rsidRPr="5E04AD7D">
        <w:rPr>
          <w:rFonts w:ascii="Times New Roman" w:eastAsia="Times New Roman" w:hAnsi="Times New Roman" w:cs="Times New Roman"/>
          <w:color w:val="000000" w:themeColor="text1"/>
          <w:sz w:val="26"/>
          <w:szCs w:val="26"/>
          <w:lang w:eastAsia="hu-HU"/>
        </w:rPr>
        <w:t>forinttal magasabb az egy évvel korábbi összegnél. Ennek oka a bértömeg növekedésének, a családi kedvezmények kiterjesztésének és az egyszeri kifizetésekhez kapcsolódó befizetéseknek az együttes hatása.</w:t>
      </w:r>
    </w:p>
    <w:p w14:paraId="00A5B237" w14:textId="77777777" w:rsidR="00C33C0A" w:rsidRPr="00C33C0A" w:rsidRDefault="5E04AD7D" w:rsidP="5E04AD7D">
      <w:pPr>
        <w:keepNext/>
        <w:keepLines/>
        <w:spacing w:before="120" w:after="120" w:line="240" w:lineRule="auto"/>
        <w:jc w:val="center"/>
        <w:rPr>
          <w:rFonts w:ascii="Times New Roman" w:eastAsia="Times New Roman" w:hAnsi="Times New Roman" w:cs="Times New Roman"/>
          <w:b/>
          <w:bCs/>
          <w:lang w:eastAsia="hu-HU"/>
        </w:rPr>
      </w:pPr>
      <w:r w:rsidRPr="5E04AD7D">
        <w:rPr>
          <w:rFonts w:ascii="Times New Roman" w:eastAsia="Times New Roman" w:hAnsi="Times New Roman" w:cs="Times New Roman"/>
          <w:b/>
          <w:bCs/>
          <w:lang w:eastAsia="hu-HU"/>
        </w:rPr>
        <w:t xml:space="preserve">Személyi jövedelemadó bevétel alakulása (milliárd forint) </w:t>
      </w:r>
    </w:p>
    <w:tbl>
      <w:tblPr>
        <w:tblW w:w="6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69"/>
        <w:gridCol w:w="1645"/>
        <w:gridCol w:w="1701"/>
        <w:gridCol w:w="992"/>
        <w:gridCol w:w="992"/>
      </w:tblGrid>
      <w:tr w:rsidR="00A948A8" w:rsidRPr="00A948A8" w14:paraId="7682B048" w14:textId="77777777" w:rsidTr="00C4012A">
        <w:trPr>
          <w:trHeight w:val="340"/>
          <w:jc w:val="center"/>
        </w:trPr>
        <w:tc>
          <w:tcPr>
            <w:tcW w:w="1469" w:type="dxa"/>
            <w:vMerge w:val="restart"/>
            <w:shd w:val="clear" w:color="auto" w:fill="BDD6EE" w:themeFill="accent1" w:themeFillTint="66"/>
            <w:noWrap/>
            <w:vAlign w:val="center"/>
            <w:hideMark/>
          </w:tcPr>
          <w:p w14:paraId="3AAA8176" w14:textId="77777777" w:rsidR="00A948A8" w:rsidRPr="00A948A8" w:rsidRDefault="5E04AD7D" w:rsidP="5E04AD7D">
            <w:pPr>
              <w:keepNext/>
              <w:keepLines/>
              <w:spacing w:after="0"/>
              <w:jc w:val="center"/>
              <w:rPr>
                <w:rFonts w:ascii="Times New Roman" w:eastAsia="Times New Roman" w:hAnsi="Times New Roman" w:cs="Times New Roman"/>
                <w:b/>
                <w:bCs/>
                <w:lang w:eastAsia="hu-HU"/>
              </w:rPr>
            </w:pPr>
            <w:r w:rsidRPr="5E04AD7D">
              <w:rPr>
                <w:rFonts w:ascii="Times New Roman" w:eastAsia="Times New Roman" w:hAnsi="Times New Roman" w:cs="Times New Roman"/>
                <w:b/>
                <w:bCs/>
                <w:lang w:eastAsia="hu-HU"/>
              </w:rPr>
              <w:t>Megnevezés</w:t>
            </w:r>
          </w:p>
        </w:tc>
        <w:tc>
          <w:tcPr>
            <w:tcW w:w="1645" w:type="dxa"/>
            <w:vMerge w:val="restart"/>
            <w:shd w:val="clear" w:color="auto" w:fill="BDD6EE" w:themeFill="accent1" w:themeFillTint="66"/>
            <w:vAlign w:val="center"/>
            <w:hideMark/>
          </w:tcPr>
          <w:p w14:paraId="3A355406" w14:textId="77777777" w:rsidR="00A948A8" w:rsidRPr="00A948A8" w:rsidRDefault="5E04AD7D" w:rsidP="5E04AD7D">
            <w:pPr>
              <w:spacing w:after="0" w:line="240" w:lineRule="auto"/>
              <w:jc w:val="center"/>
              <w:rPr>
                <w:rFonts w:ascii="Times New Roman" w:eastAsia="Times New Roman" w:hAnsi="Times New Roman" w:cs="Times New Roman"/>
                <w:b/>
                <w:bCs/>
                <w:lang w:eastAsia="hu-HU"/>
              </w:rPr>
            </w:pPr>
            <w:r w:rsidRPr="5E04AD7D">
              <w:rPr>
                <w:rFonts w:ascii="Times New Roman" w:eastAsia="Times New Roman" w:hAnsi="Times New Roman" w:cs="Times New Roman"/>
                <w:b/>
                <w:bCs/>
                <w:lang w:eastAsia="hu-HU"/>
              </w:rPr>
              <w:t xml:space="preserve">2025. </w:t>
            </w:r>
            <w:r w:rsidR="00A948A8">
              <w:br/>
            </w:r>
            <w:r w:rsidRPr="5E04AD7D">
              <w:rPr>
                <w:rFonts w:ascii="Times New Roman" w:eastAsia="Times New Roman" w:hAnsi="Times New Roman" w:cs="Times New Roman"/>
                <w:b/>
                <w:bCs/>
                <w:lang w:eastAsia="hu-HU"/>
              </w:rPr>
              <w:t>I-III. hó</w:t>
            </w:r>
          </w:p>
        </w:tc>
        <w:tc>
          <w:tcPr>
            <w:tcW w:w="1701" w:type="dxa"/>
            <w:vMerge w:val="restart"/>
            <w:shd w:val="clear" w:color="auto" w:fill="BDD6EE" w:themeFill="accent1" w:themeFillTint="66"/>
            <w:vAlign w:val="center"/>
            <w:hideMark/>
          </w:tcPr>
          <w:p w14:paraId="2AE540F3" w14:textId="77777777" w:rsidR="00A948A8" w:rsidRPr="00A948A8" w:rsidRDefault="5E04AD7D" w:rsidP="5E04AD7D">
            <w:pPr>
              <w:spacing w:after="0" w:line="240" w:lineRule="auto"/>
              <w:jc w:val="center"/>
              <w:rPr>
                <w:rFonts w:ascii="Times New Roman" w:eastAsia="Times New Roman" w:hAnsi="Times New Roman" w:cs="Times New Roman"/>
                <w:b/>
                <w:bCs/>
                <w:lang w:eastAsia="hu-HU"/>
              </w:rPr>
            </w:pPr>
            <w:r w:rsidRPr="5E04AD7D">
              <w:rPr>
                <w:rFonts w:ascii="Times New Roman" w:eastAsia="Times New Roman" w:hAnsi="Times New Roman" w:cs="Times New Roman"/>
                <w:b/>
                <w:bCs/>
                <w:lang w:eastAsia="hu-HU"/>
              </w:rPr>
              <w:t>2026.</w:t>
            </w:r>
            <w:r w:rsidR="00A948A8">
              <w:br/>
            </w:r>
            <w:r w:rsidRPr="5E04AD7D">
              <w:rPr>
                <w:rFonts w:ascii="Times New Roman" w:eastAsia="Times New Roman" w:hAnsi="Times New Roman" w:cs="Times New Roman"/>
                <w:b/>
                <w:bCs/>
                <w:lang w:eastAsia="hu-HU"/>
              </w:rPr>
              <w:t>I-III. hó</w:t>
            </w:r>
          </w:p>
        </w:tc>
        <w:tc>
          <w:tcPr>
            <w:tcW w:w="1984" w:type="dxa"/>
            <w:gridSpan w:val="2"/>
            <w:shd w:val="clear" w:color="auto" w:fill="BDD6EE" w:themeFill="accent1" w:themeFillTint="66"/>
            <w:vAlign w:val="center"/>
            <w:hideMark/>
          </w:tcPr>
          <w:p w14:paraId="37F96ACB" w14:textId="77777777" w:rsidR="00A948A8" w:rsidRPr="00A948A8" w:rsidRDefault="5E04AD7D" w:rsidP="5E04AD7D">
            <w:pPr>
              <w:keepNext/>
              <w:keepLines/>
              <w:spacing w:after="0" w:line="240" w:lineRule="auto"/>
              <w:jc w:val="center"/>
              <w:rPr>
                <w:rFonts w:ascii="Times New Roman" w:eastAsia="Times New Roman" w:hAnsi="Times New Roman" w:cs="Times New Roman"/>
                <w:b/>
                <w:bCs/>
                <w:lang w:eastAsia="hu-HU"/>
              </w:rPr>
            </w:pPr>
            <w:r w:rsidRPr="5E04AD7D">
              <w:rPr>
                <w:rFonts w:ascii="Times New Roman" w:eastAsia="Times New Roman" w:hAnsi="Times New Roman" w:cs="Times New Roman"/>
                <w:b/>
                <w:bCs/>
                <w:lang w:eastAsia="hu-HU"/>
              </w:rPr>
              <w:t>Eltérés</w:t>
            </w:r>
          </w:p>
        </w:tc>
      </w:tr>
      <w:tr w:rsidR="00A948A8" w:rsidRPr="00A948A8" w14:paraId="3A1BCD3A" w14:textId="77777777" w:rsidTr="00C4012A">
        <w:trPr>
          <w:trHeight w:val="340"/>
          <w:jc w:val="center"/>
        </w:trPr>
        <w:tc>
          <w:tcPr>
            <w:tcW w:w="1469" w:type="dxa"/>
            <w:vMerge/>
            <w:shd w:val="clear" w:color="auto" w:fill="BDD6EE" w:themeFill="accent1" w:themeFillTint="66"/>
            <w:noWrap/>
            <w:vAlign w:val="center"/>
          </w:tcPr>
          <w:p w14:paraId="0EB19F63" w14:textId="77777777" w:rsidR="00A948A8" w:rsidRPr="00A948A8" w:rsidRDefault="00A948A8" w:rsidP="00A948A8">
            <w:pPr>
              <w:keepNext/>
              <w:keepLines/>
              <w:spacing w:after="0" w:line="240" w:lineRule="auto"/>
              <w:jc w:val="center"/>
              <w:rPr>
                <w:rFonts w:ascii="Times New Roman" w:eastAsia="Times New Roman" w:hAnsi="Times New Roman" w:cs="Times New Roman"/>
                <w:b/>
                <w:bCs/>
                <w:szCs w:val="20"/>
                <w:lang w:eastAsia="hu-HU"/>
              </w:rPr>
            </w:pPr>
          </w:p>
        </w:tc>
        <w:tc>
          <w:tcPr>
            <w:tcW w:w="1645" w:type="dxa"/>
            <w:vMerge/>
            <w:shd w:val="clear" w:color="auto" w:fill="BDD6EE" w:themeFill="accent1" w:themeFillTint="66"/>
            <w:vAlign w:val="center"/>
          </w:tcPr>
          <w:p w14:paraId="4F3C5BBA" w14:textId="77777777" w:rsidR="00A948A8" w:rsidRPr="00A948A8" w:rsidRDefault="00A948A8" w:rsidP="00A948A8">
            <w:pPr>
              <w:spacing w:after="0" w:line="240" w:lineRule="auto"/>
              <w:jc w:val="center"/>
              <w:rPr>
                <w:rFonts w:ascii="Times New Roman" w:eastAsia="Times New Roman" w:hAnsi="Times New Roman" w:cs="Times New Roman"/>
                <w:b/>
                <w:bCs/>
                <w:szCs w:val="20"/>
                <w:lang w:eastAsia="hu-HU"/>
              </w:rPr>
            </w:pPr>
          </w:p>
        </w:tc>
        <w:tc>
          <w:tcPr>
            <w:tcW w:w="1701" w:type="dxa"/>
            <w:vMerge/>
            <w:shd w:val="clear" w:color="auto" w:fill="BDD6EE" w:themeFill="accent1" w:themeFillTint="66"/>
            <w:vAlign w:val="center"/>
          </w:tcPr>
          <w:p w14:paraId="5997C257" w14:textId="77777777" w:rsidR="00A948A8" w:rsidRPr="00A948A8" w:rsidRDefault="00A948A8" w:rsidP="00A948A8">
            <w:pPr>
              <w:spacing w:after="0" w:line="240" w:lineRule="auto"/>
              <w:jc w:val="center"/>
              <w:rPr>
                <w:rFonts w:ascii="Times New Roman" w:eastAsia="Times New Roman" w:hAnsi="Times New Roman" w:cs="Times New Roman"/>
                <w:b/>
                <w:bCs/>
                <w:szCs w:val="20"/>
                <w:lang w:eastAsia="hu-HU"/>
              </w:rPr>
            </w:pPr>
          </w:p>
        </w:tc>
        <w:tc>
          <w:tcPr>
            <w:tcW w:w="992" w:type="dxa"/>
            <w:shd w:val="clear" w:color="auto" w:fill="BDD6EE" w:themeFill="accent1" w:themeFillTint="66"/>
            <w:vAlign w:val="center"/>
          </w:tcPr>
          <w:p w14:paraId="2E07604B" w14:textId="77777777" w:rsidR="00A948A8" w:rsidRPr="00A948A8" w:rsidRDefault="5E04AD7D" w:rsidP="5E04AD7D">
            <w:pPr>
              <w:keepNext/>
              <w:keepLines/>
              <w:spacing w:after="0" w:line="240" w:lineRule="auto"/>
              <w:jc w:val="center"/>
              <w:rPr>
                <w:rFonts w:ascii="Times New Roman" w:eastAsia="Times New Roman" w:hAnsi="Times New Roman" w:cs="Times New Roman"/>
                <w:b/>
                <w:bCs/>
                <w:lang w:eastAsia="hu-HU"/>
              </w:rPr>
            </w:pPr>
            <w:r w:rsidRPr="5E04AD7D">
              <w:rPr>
                <w:rFonts w:ascii="Times New Roman" w:eastAsia="Times New Roman" w:hAnsi="Times New Roman" w:cs="Times New Roman"/>
                <w:b/>
                <w:bCs/>
                <w:lang w:eastAsia="hu-HU"/>
              </w:rPr>
              <w:t>Mrd Ft</w:t>
            </w:r>
          </w:p>
        </w:tc>
        <w:tc>
          <w:tcPr>
            <w:tcW w:w="992" w:type="dxa"/>
            <w:shd w:val="clear" w:color="auto" w:fill="BDD6EE" w:themeFill="accent1" w:themeFillTint="66"/>
            <w:vAlign w:val="center"/>
          </w:tcPr>
          <w:p w14:paraId="6C05EB2B" w14:textId="77777777" w:rsidR="00A948A8" w:rsidRPr="00A948A8" w:rsidRDefault="5E04AD7D" w:rsidP="5E04AD7D">
            <w:pPr>
              <w:keepNext/>
              <w:keepLines/>
              <w:spacing w:after="0" w:line="240" w:lineRule="auto"/>
              <w:jc w:val="center"/>
              <w:rPr>
                <w:rFonts w:ascii="Times New Roman" w:eastAsia="Times New Roman" w:hAnsi="Times New Roman" w:cs="Times New Roman"/>
                <w:b/>
                <w:bCs/>
                <w:lang w:eastAsia="hu-HU"/>
              </w:rPr>
            </w:pPr>
            <w:r w:rsidRPr="5E04AD7D">
              <w:rPr>
                <w:rFonts w:ascii="Times New Roman" w:eastAsia="Times New Roman" w:hAnsi="Times New Roman" w:cs="Times New Roman"/>
                <w:b/>
                <w:bCs/>
                <w:lang w:eastAsia="hu-HU"/>
              </w:rPr>
              <w:t>%</w:t>
            </w:r>
          </w:p>
        </w:tc>
      </w:tr>
      <w:tr w:rsidR="00A948A8" w:rsidRPr="00A948A8" w14:paraId="48571858" w14:textId="77777777" w:rsidTr="28F9800E">
        <w:trPr>
          <w:trHeight w:val="340"/>
          <w:jc w:val="center"/>
        </w:trPr>
        <w:tc>
          <w:tcPr>
            <w:tcW w:w="1469" w:type="dxa"/>
            <w:noWrap/>
            <w:vAlign w:val="center"/>
            <w:hideMark/>
          </w:tcPr>
          <w:p w14:paraId="579D069B" w14:textId="77777777" w:rsidR="00A948A8" w:rsidRPr="00A948A8" w:rsidRDefault="5E04AD7D" w:rsidP="5E04AD7D">
            <w:pPr>
              <w:keepNext/>
              <w:keepLines/>
              <w:spacing w:after="0" w:line="240" w:lineRule="auto"/>
              <w:jc w:val="both"/>
              <w:rPr>
                <w:rFonts w:ascii="Times New Roman" w:eastAsia="Times New Roman" w:hAnsi="Times New Roman" w:cs="Times New Roman"/>
                <w:lang w:eastAsia="hu-HU"/>
              </w:rPr>
            </w:pPr>
            <w:r w:rsidRPr="5E04AD7D">
              <w:rPr>
                <w:rFonts w:ascii="Times New Roman" w:eastAsia="Times New Roman" w:hAnsi="Times New Roman" w:cs="Times New Roman"/>
                <w:lang w:eastAsia="hu-HU"/>
              </w:rPr>
              <w:t>Befizetés</w:t>
            </w:r>
          </w:p>
        </w:tc>
        <w:tc>
          <w:tcPr>
            <w:tcW w:w="1645" w:type="dxa"/>
            <w:noWrap/>
            <w:vAlign w:val="center"/>
          </w:tcPr>
          <w:p w14:paraId="3E134EA9" w14:textId="77777777" w:rsidR="00A948A8" w:rsidRPr="00A948A8" w:rsidRDefault="28F9800E" w:rsidP="28F9800E">
            <w:pPr>
              <w:keepNext/>
              <w:keepLines/>
              <w:spacing w:after="0" w:line="240" w:lineRule="auto"/>
              <w:jc w:val="right"/>
              <w:rPr>
                <w:rFonts w:ascii="Times New Roman" w:eastAsia="Times New Roman" w:hAnsi="Times New Roman" w:cs="Times New Roman"/>
                <w:lang w:eastAsia="hu-HU"/>
              </w:rPr>
            </w:pPr>
            <w:r w:rsidRPr="28F9800E">
              <w:rPr>
                <w:rFonts w:ascii="Times New Roman" w:eastAsia="Times New Roman" w:hAnsi="Times New Roman" w:cs="Times New Roman"/>
                <w:lang w:eastAsia="hu-HU"/>
              </w:rPr>
              <w:t>1238,4</w:t>
            </w:r>
          </w:p>
        </w:tc>
        <w:tc>
          <w:tcPr>
            <w:tcW w:w="1701" w:type="dxa"/>
            <w:noWrap/>
            <w:vAlign w:val="center"/>
          </w:tcPr>
          <w:p w14:paraId="05BD87E2" w14:textId="77777777" w:rsidR="00A948A8" w:rsidRPr="00A948A8" w:rsidRDefault="28F9800E" w:rsidP="28F9800E">
            <w:pPr>
              <w:keepNext/>
              <w:keepLines/>
              <w:spacing w:after="0" w:line="240" w:lineRule="auto"/>
              <w:jc w:val="right"/>
              <w:rPr>
                <w:rFonts w:ascii="Times New Roman" w:eastAsia="Times New Roman" w:hAnsi="Times New Roman" w:cs="Times New Roman"/>
                <w:lang w:eastAsia="hu-HU"/>
              </w:rPr>
            </w:pPr>
            <w:r w:rsidRPr="28F9800E">
              <w:rPr>
                <w:rFonts w:ascii="Times New Roman" w:eastAsia="Times New Roman" w:hAnsi="Times New Roman" w:cs="Times New Roman"/>
                <w:lang w:eastAsia="hu-HU"/>
              </w:rPr>
              <w:t>1343,3</w:t>
            </w:r>
          </w:p>
        </w:tc>
        <w:tc>
          <w:tcPr>
            <w:tcW w:w="992" w:type="dxa"/>
            <w:noWrap/>
            <w:vAlign w:val="center"/>
          </w:tcPr>
          <w:p w14:paraId="53129E73" w14:textId="77777777" w:rsidR="00A948A8" w:rsidRPr="00A948A8" w:rsidRDefault="28F9800E" w:rsidP="28F9800E">
            <w:pPr>
              <w:keepNext/>
              <w:keepLines/>
              <w:spacing w:after="0" w:line="240" w:lineRule="auto"/>
              <w:jc w:val="right"/>
              <w:rPr>
                <w:rFonts w:ascii="Times New Roman" w:eastAsia="Times New Roman" w:hAnsi="Times New Roman" w:cs="Times New Roman"/>
                <w:lang w:eastAsia="hu-HU"/>
              </w:rPr>
            </w:pPr>
            <w:r w:rsidRPr="28F9800E">
              <w:rPr>
                <w:rFonts w:ascii="Times New Roman" w:eastAsia="Times New Roman" w:hAnsi="Times New Roman" w:cs="Times New Roman"/>
                <w:lang w:eastAsia="hu-HU"/>
              </w:rPr>
              <w:t>104,9</w:t>
            </w:r>
          </w:p>
        </w:tc>
        <w:tc>
          <w:tcPr>
            <w:tcW w:w="992" w:type="dxa"/>
            <w:vAlign w:val="center"/>
          </w:tcPr>
          <w:p w14:paraId="0C558835" w14:textId="77777777" w:rsidR="00A948A8" w:rsidRPr="00A948A8" w:rsidRDefault="28F9800E" w:rsidP="28F9800E">
            <w:pPr>
              <w:keepNext/>
              <w:keepLines/>
              <w:spacing w:after="0" w:line="240" w:lineRule="auto"/>
              <w:jc w:val="right"/>
              <w:rPr>
                <w:rFonts w:ascii="Times New Roman" w:eastAsia="Times New Roman" w:hAnsi="Times New Roman" w:cs="Times New Roman"/>
                <w:lang w:eastAsia="hu-HU"/>
              </w:rPr>
            </w:pPr>
            <w:r w:rsidRPr="28F9800E">
              <w:rPr>
                <w:rFonts w:ascii="Times New Roman" w:eastAsia="Times New Roman" w:hAnsi="Times New Roman" w:cs="Times New Roman"/>
                <w:lang w:eastAsia="hu-HU"/>
              </w:rPr>
              <w:t>108,5</w:t>
            </w:r>
          </w:p>
        </w:tc>
      </w:tr>
      <w:tr w:rsidR="00A948A8" w:rsidRPr="00A948A8" w14:paraId="1D62A574" w14:textId="77777777" w:rsidTr="28F9800E">
        <w:trPr>
          <w:trHeight w:val="340"/>
          <w:jc w:val="center"/>
        </w:trPr>
        <w:tc>
          <w:tcPr>
            <w:tcW w:w="1469" w:type="dxa"/>
            <w:noWrap/>
            <w:vAlign w:val="center"/>
            <w:hideMark/>
          </w:tcPr>
          <w:p w14:paraId="504DBF8F" w14:textId="77777777" w:rsidR="00A948A8" w:rsidRPr="00A948A8" w:rsidRDefault="5E04AD7D" w:rsidP="5E04AD7D">
            <w:pPr>
              <w:keepNext/>
              <w:keepLines/>
              <w:spacing w:after="0" w:line="240" w:lineRule="auto"/>
              <w:jc w:val="both"/>
              <w:rPr>
                <w:rFonts w:ascii="Times New Roman" w:eastAsia="Times New Roman" w:hAnsi="Times New Roman" w:cs="Times New Roman"/>
                <w:lang w:eastAsia="hu-HU"/>
              </w:rPr>
            </w:pPr>
            <w:r w:rsidRPr="5E04AD7D">
              <w:rPr>
                <w:rFonts w:ascii="Times New Roman" w:eastAsia="Times New Roman" w:hAnsi="Times New Roman" w:cs="Times New Roman"/>
                <w:lang w:eastAsia="hu-HU"/>
              </w:rPr>
              <w:t>Kiutalás</w:t>
            </w:r>
          </w:p>
        </w:tc>
        <w:tc>
          <w:tcPr>
            <w:tcW w:w="1645" w:type="dxa"/>
            <w:noWrap/>
            <w:vAlign w:val="center"/>
          </w:tcPr>
          <w:p w14:paraId="51BAB7C0" w14:textId="77777777" w:rsidR="00A948A8" w:rsidRPr="00A948A8" w:rsidRDefault="28F9800E" w:rsidP="28F9800E">
            <w:pPr>
              <w:keepNext/>
              <w:keepLines/>
              <w:spacing w:after="0" w:line="240" w:lineRule="auto"/>
              <w:jc w:val="right"/>
              <w:rPr>
                <w:rFonts w:ascii="Times New Roman" w:eastAsia="Times New Roman" w:hAnsi="Times New Roman" w:cs="Times New Roman"/>
                <w:lang w:eastAsia="hu-HU"/>
              </w:rPr>
            </w:pPr>
            <w:r w:rsidRPr="28F9800E">
              <w:rPr>
                <w:rFonts w:ascii="Times New Roman" w:eastAsia="Times New Roman" w:hAnsi="Times New Roman" w:cs="Times New Roman"/>
                <w:lang w:eastAsia="hu-HU"/>
              </w:rPr>
              <w:t>36,2</w:t>
            </w:r>
          </w:p>
        </w:tc>
        <w:tc>
          <w:tcPr>
            <w:tcW w:w="1701" w:type="dxa"/>
            <w:noWrap/>
            <w:vAlign w:val="center"/>
          </w:tcPr>
          <w:p w14:paraId="032822AF" w14:textId="77777777" w:rsidR="00A948A8" w:rsidRPr="00A948A8" w:rsidRDefault="28F9800E" w:rsidP="28F9800E">
            <w:pPr>
              <w:keepNext/>
              <w:keepLines/>
              <w:spacing w:after="0" w:line="240" w:lineRule="auto"/>
              <w:jc w:val="right"/>
              <w:rPr>
                <w:rFonts w:ascii="Times New Roman" w:eastAsia="Times New Roman" w:hAnsi="Times New Roman" w:cs="Times New Roman"/>
                <w:lang w:eastAsia="hu-HU"/>
              </w:rPr>
            </w:pPr>
            <w:r w:rsidRPr="28F9800E">
              <w:rPr>
                <w:rFonts w:ascii="Times New Roman" w:eastAsia="Times New Roman" w:hAnsi="Times New Roman" w:cs="Times New Roman"/>
                <w:lang w:eastAsia="hu-HU"/>
              </w:rPr>
              <w:t>45,8</w:t>
            </w:r>
          </w:p>
        </w:tc>
        <w:tc>
          <w:tcPr>
            <w:tcW w:w="992" w:type="dxa"/>
            <w:noWrap/>
            <w:vAlign w:val="center"/>
          </w:tcPr>
          <w:p w14:paraId="35C75690" w14:textId="77777777" w:rsidR="00A948A8" w:rsidRPr="00A948A8" w:rsidRDefault="28F9800E" w:rsidP="28F9800E">
            <w:pPr>
              <w:keepNext/>
              <w:keepLines/>
              <w:spacing w:after="0" w:line="240" w:lineRule="auto"/>
              <w:jc w:val="right"/>
              <w:rPr>
                <w:rFonts w:ascii="Times New Roman" w:eastAsia="Times New Roman" w:hAnsi="Times New Roman" w:cs="Times New Roman"/>
                <w:lang w:eastAsia="hu-HU"/>
              </w:rPr>
            </w:pPr>
            <w:r w:rsidRPr="28F9800E">
              <w:rPr>
                <w:rFonts w:ascii="Times New Roman" w:eastAsia="Times New Roman" w:hAnsi="Times New Roman" w:cs="Times New Roman"/>
                <w:lang w:eastAsia="hu-HU"/>
              </w:rPr>
              <w:t>9,6</w:t>
            </w:r>
          </w:p>
        </w:tc>
        <w:tc>
          <w:tcPr>
            <w:tcW w:w="992" w:type="dxa"/>
            <w:vAlign w:val="center"/>
          </w:tcPr>
          <w:p w14:paraId="3B5094A1" w14:textId="77777777" w:rsidR="00A948A8" w:rsidRPr="00A948A8" w:rsidRDefault="28F9800E" w:rsidP="28F9800E">
            <w:pPr>
              <w:keepNext/>
              <w:keepLines/>
              <w:spacing w:after="0" w:line="240" w:lineRule="auto"/>
              <w:jc w:val="right"/>
              <w:rPr>
                <w:rFonts w:ascii="Times New Roman" w:eastAsia="Times New Roman" w:hAnsi="Times New Roman" w:cs="Times New Roman"/>
                <w:lang w:eastAsia="hu-HU"/>
              </w:rPr>
            </w:pPr>
            <w:r w:rsidRPr="28F9800E">
              <w:rPr>
                <w:rFonts w:ascii="Times New Roman" w:eastAsia="Times New Roman" w:hAnsi="Times New Roman" w:cs="Times New Roman"/>
                <w:lang w:eastAsia="hu-HU"/>
              </w:rPr>
              <w:t>126,5</w:t>
            </w:r>
          </w:p>
        </w:tc>
      </w:tr>
      <w:tr w:rsidR="00A948A8" w:rsidRPr="00A948A8" w14:paraId="69696543" w14:textId="77777777" w:rsidTr="28F9800E">
        <w:trPr>
          <w:trHeight w:val="340"/>
          <w:jc w:val="center"/>
        </w:trPr>
        <w:tc>
          <w:tcPr>
            <w:tcW w:w="1469" w:type="dxa"/>
            <w:noWrap/>
            <w:vAlign w:val="center"/>
            <w:hideMark/>
          </w:tcPr>
          <w:p w14:paraId="6C72191F" w14:textId="77777777" w:rsidR="00A948A8" w:rsidRPr="00A948A8" w:rsidRDefault="5E04AD7D" w:rsidP="5E04AD7D">
            <w:pPr>
              <w:widowControl w:val="0"/>
              <w:spacing w:after="0" w:line="240" w:lineRule="auto"/>
              <w:jc w:val="both"/>
              <w:rPr>
                <w:rFonts w:ascii="Times New Roman" w:eastAsia="Times New Roman" w:hAnsi="Times New Roman" w:cs="Times New Roman"/>
                <w:b/>
                <w:bCs/>
                <w:lang w:eastAsia="hu-HU"/>
              </w:rPr>
            </w:pPr>
            <w:r w:rsidRPr="5E04AD7D">
              <w:rPr>
                <w:rFonts w:ascii="Times New Roman" w:eastAsia="Times New Roman" w:hAnsi="Times New Roman" w:cs="Times New Roman"/>
                <w:b/>
                <w:bCs/>
                <w:lang w:eastAsia="hu-HU"/>
              </w:rPr>
              <w:t>Egyenleg</w:t>
            </w:r>
          </w:p>
        </w:tc>
        <w:tc>
          <w:tcPr>
            <w:tcW w:w="1645" w:type="dxa"/>
            <w:noWrap/>
            <w:vAlign w:val="center"/>
          </w:tcPr>
          <w:p w14:paraId="703AAD20" w14:textId="77777777" w:rsidR="00A948A8" w:rsidRPr="00A948A8" w:rsidRDefault="28F9800E" w:rsidP="28F9800E">
            <w:pPr>
              <w:widowControl w:val="0"/>
              <w:spacing w:after="0" w:line="240" w:lineRule="auto"/>
              <w:jc w:val="right"/>
              <w:rPr>
                <w:rFonts w:ascii="Times New Roman" w:eastAsia="Times New Roman" w:hAnsi="Times New Roman" w:cs="Times New Roman"/>
                <w:b/>
                <w:bCs/>
                <w:lang w:eastAsia="hu-HU"/>
              </w:rPr>
            </w:pPr>
            <w:r w:rsidRPr="28F9800E">
              <w:rPr>
                <w:rFonts w:ascii="Times New Roman" w:eastAsia="Times New Roman" w:hAnsi="Times New Roman" w:cs="Times New Roman"/>
                <w:b/>
                <w:bCs/>
                <w:lang w:eastAsia="hu-HU"/>
              </w:rPr>
              <w:t>1202,2</w:t>
            </w:r>
          </w:p>
        </w:tc>
        <w:tc>
          <w:tcPr>
            <w:tcW w:w="1701" w:type="dxa"/>
            <w:noWrap/>
            <w:vAlign w:val="center"/>
          </w:tcPr>
          <w:p w14:paraId="16109000" w14:textId="77777777" w:rsidR="00A948A8" w:rsidRPr="00A948A8" w:rsidRDefault="28F9800E" w:rsidP="28F9800E">
            <w:pPr>
              <w:widowControl w:val="0"/>
              <w:spacing w:after="0" w:line="240" w:lineRule="auto"/>
              <w:jc w:val="right"/>
              <w:rPr>
                <w:rFonts w:ascii="Times New Roman" w:eastAsia="Times New Roman" w:hAnsi="Times New Roman" w:cs="Times New Roman"/>
                <w:b/>
                <w:bCs/>
                <w:lang w:eastAsia="hu-HU"/>
              </w:rPr>
            </w:pPr>
            <w:r w:rsidRPr="28F9800E">
              <w:rPr>
                <w:rFonts w:ascii="Times New Roman" w:eastAsia="Times New Roman" w:hAnsi="Times New Roman" w:cs="Times New Roman"/>
                <w:b/>
                <w:bCs/>
                <w:lang w:eastAsia="hu-HU"/>
              </w:rPr>
              <w:t>1297,5</w:t>
            </w:r>
          </w:p>
        </w:tc>
        <w:tc>
          <w:tcPr>
            <w:tcW w:w="992" w:type="dxa"/>
            <w:noWrap/>
            <w:vAlign w:val="center"/>
          </w:tcPr>
          <w:p w14:paraId="14710EB8" w14:textId="77777777" w:rsidR="00A948A8" w:rsidRPr="00A948A8" w:rsidRDefault="28F9800E" w:rsidP="28F9800E">
            <w:pPr>
              <w:widowControl w:val="0"/>
              <w:spacing w:after="0" w:line="240" w:lineRule="auto"/>
              <w:jc w:val="right"/>
              <w:rPr>
                <w:rFonts w:ascii="Times New Roman" w:eastAsia="Times New Roman" w:hAnsi="Times New Roman" w:cs="Times New Roman"/>
                <w:b/>
                <w:bCs/>
                <w:lang w:eastAsia="hu-HU"/>
              </w:rPr>
            </w:pPr>
            <w:r w:rsidRPr="28F9800E">
              <w:rPr>
                <w:rFonts w:ascii="Times New Roman" w:eastAsia="Times New Roman" w:hAnsi="Times New Roman" w:cs="Times New Roman"/>
                <w:b/>
                <w:bCs/>
                <w:lang w:eastAsia="hu-HU"/>
              </w:rPr>
              <w:t>95,3</w:t>
            </w:r>
          </w:p>
        </w:tc>
        <w:tc>
          <w:tcPr>
            <w:tcW w:w="992" w:type="dxa"/>
            <w:vAlign w:val="center"/>
          </w:tcPr>
          <w:p w14:paraId="504E5D98" w14:textId="77777777" w:rsidR="00A948A8" w:rsidRPr="00A948A8" w:rsidRDefault="28F9800E" w:rsidP="28F9800E">
            <w:pPr>
              <w:widowControl w:val="0"/>
              <w:spacing w:after="0" w:line="240" w:lineRule="auto"/>
              <w:jc w:val="right"/>
              <w:rPr>
                <w:rFonts w:ascii="Times New Roman" w:eastAsia="Times New Roman" w:hAnsi="Times New Roman" w:cs="Times New Roman"/>
                <w:b/>
                <w:bCs/>
                <w:lang w:eastAsia="hu-HU"/>
              </w:rPr>
            </w:pPr>
            <w:r w:rsidRPr="28F9800E">
              <w:rPr>
                <w:rFonts w:ascii="Times New Roman" w:eastAsia="Times New Roman" w:hAnsi="Times New Roman" w:cs="Times New Roman"/>
                <w:b/>
                <w:bCs/>
                <w:lang w:eastAsia="hu-HU"/>
              </w:rPr>
              <w:t>107,9</w:t>
            </w:r>
          </w:p>
        </w:tc>
      </w:tr>
    </w:tbl>
    <w:p w14:paraId="54234F12" w14:textId="5B8711D1" w:rsidR="123EFD2F" w:rsidRPr="00381A54" w:rsidRDefault="5E04AD7D" w:rsidP="5E04AD7D">
      <w:pPr>
        <w:spacing w:before="240"/>
        <w:jc w:val="both"/>
        <w:rPr>
          <w:rFonts w:ascii="Times New Roman" w:eastAsia="Times New Roman" w:hAnsi="Times New Roman" w:cs="Times New Roman"/>
          <w:sz w:val="26"/>
          <w:szCs w:val="26"/>
        </w:rPr>
      </w:pPr>
      <w:r w:rsidRPr="5E04AD7D">
        <w:rPr>
          <w:rFonts w:ascii="Times New Roman" w:eastAsia="Times New Roman" w:hAnsi="Times New Roman" w:cs="Times New Roman"/>
          <w:sz w:val="26"/>
          <w:szCs w:val="26"/>
        </w:rPr>
        <w:t xml:space="preserve">A </w:t>
      </w:r>
      <w:r w:rsidRPr="5E04AD7D">
        <w:rPr>
          <w:rFonts w:ascii="Times New Roman" w:eastAsia="Times New Roman" w:hAnsi="Times New Roman" w:cs="Times New Roman"/>
          <w:b/>
          <w:bCs/>
          <w:sz w:val="26"/>
          <w:szCs w:val="26"/>
        </w:rPr>
        <w:t>Központi Maradványelszámolási Alapba</w:t>
      </w:r>
      <w:r w:rsidRPr="5E04AD7D">
        <w:rPr>
          <w:rFonts w:ascii="Times New Roman" w:eastAsia="Times New Roman" w:hAnsi="Times New Roman" w:cs="Times New Roman"/>
          <w:sz w:val="26"/>
          <w:szCs w:val="26"/>
        </w:rPr>
        <w:t xml:space="preserve"> </w:t>
      </w:r>
      <w:r w:rsidRPr="5E04AD7D">
        <w:rPr>
          <w:rFonts w:ascii="Times New Roman" w:eastAsia="Times New Roman" w:hAnsi="Times New Roman" w:cs="Times New Roman"/>
          <w:b/>
          <w:bCs/>
          <w:sz w:val="26"/>
          <w:szCs w:val="26"/>
        </w:rPr>
        <w:t>történő befizetések</w:t>
      </w:r>
      <w:r w:rsidRPr="5E04AD7D">
        <w:rPr>
          <w:rFonts w:ascii="Times New Roman" w:eastAsia="Times New Roman" w:hAnsi="Times New Roman" w:cs="Times New Roman"/>
          <w:sz w:val="26"/>
          <w:szCs w:val="26"/>
        </w:rPr>
        <w:t xml:space="preserve"> mérlegsorra az év első három hónapjában 400,0 milliárd forint maradvány került befizetésre, szemben az előző év azonos időszakában befolyt 117,0 milliárd forintos összeggel.</w:t>
      </w:r>
    </w:p>
    <w:p w14:paraId="25C427CE" w14:textId="3F186F96" w:rsidR="029C2633" w:rsidRPr="00381A54" w:rsidRDefault="5E04AD7D" w:rsidP="5E04AD7D">
      <w:pPr>
        <w:jc w:val="both"/>
        <w:rPr>
          <w:rFonts w:ascii="Times New Roman" w:eastAsia="Times New Roman" w:hAnsi="Times New Roman" w:cs="Times New Roman"/>
          <w:b/>
          <w:bCs/>
          <w:sz w:val="26"/>
          <w:szCs w:val="26"/>
        </w:rPr>
      </w:pPr>
      <w:r w:rsidRPr="5E04AD7D">
        <w:rPr>
          <w:rFonts w:ascii="Times New Roman" w:eastAsia="Times New Roman" w:hAnsi="Times New Roman" w:cs="Times New Roman"/>
          <w:sz w:val="26"/>
          <w:szCs w:val="26"/>
        </w:rPr>
        <w:t xml:space="preserve">Az </w:t>
      </w:r>
      <w:r w:rsidRPr="5E04AD7D">
        <w:rPr>
          <w:rFonts w:ascii="Times New Roman" w:eastAsia="Times New Roman" w:hAnsi="Times New Roman" w:cs="Times New Roman"/>
          <w:b/>
          <w:bCs/>
          <w:sz w:val="26"/>
          <w:szCs w:val="26"/>
        </w:rPr>
        <w:t xml:space="preserve">állami vagyonnal kapcsolatos befizetések </w:t>
      </w:r>
      <w:r w:rsidRPr="5E04AD7D">
        <w:rPr>
          <w:rFonts w:ascii="Times New Roman" w:eastAsia="Times New Roman" w:hAnsi="Times New Roman" w:cs="Times New Roman"/>
          <w:sz w:val="26"/>
          <w:szCs w:val="26"/>
        </w:rPr>
        <w:t>márciusi összege 67,4 milliárd forint, amelynek meghatározó tétele az ingat</w:t>
      </w:r>
      <w:r w:rsidR="00AB0B81">
        <w:rPr>
          <w:rFonts w:ascii="Times New Roman" w:eastAsia="Times New Roman" w:hAnsi="Times New Roman" w:cs="Times New Roman"/>
          <w:sz w:val="26"/>
          <w:szCs w:val="26"/>
        </w:rPr>
        <w:t>lan</w:t>
      </w:r>
      <w:r w:rsidRPr="5E04AD7D">
        <w:rPr>
          <w:rFonts w:ascii="Times New Roman" w:eastAsia="Times New Roman" w:hAnsi="Times New Roman" w:cs="Times New Roman"/>
          <w:sz w:val="26"/>
          <w:szCs w:val="26"/>
        </w:rPr>
        <w:t>okkal kapcsolatos bevételek volt.</w:t>
      </w:r>
      <w:r w:rsidRPr="5E04AD7D">
        <w:rPr>
          <w:rFonts w:ascii="Times New Roman" w:eastAsia="Times New Roman" w:hAnsi="Times New Roman" w:cs="Times New Roman"/>
          <w:b/>
          <w:bCs/>
          <w:sz w:val="26"/>
          <w:szCs w:val="26"/>
        </w:rPr>
        <w:t xml:space="preserve"> </w:t>
      </w:r>
    </w:p>
    <w:p w14:paraId="0D0F2783" w14:textId="72B98320" w:rsidR="009D55B4" w:rsidRPr="00377D59" w:rsidRDefault="00527154" w:rsidP="009D55B4">
      <w:pPr>
        <w:jc w:val="center"/>
        <w:rPr>
          <w:rFonts w:ascii="Times New Roman" w:eastAsia="Times New Roman" w:hAnsi="Times New Roman" w:cs="Times New Roman"/>
          <w:sz w:val="26"/>
          <w:szCs w:val="26"/>
        </w:rPr>
      </w:pPr>
      <w:r w:rsidRPr="00527154">
        <w:rPr>
          <w:rFonts w:ascii="Times New Roman" w:eastAsia="Times New Roman" w:hAnsi="Times New Roman" w:cs="Times New Roman"/>
          <w:noProof/>
          <w:sz w:val="26"/>
          <w:szCs w:val="26"/>
        </w:rPr>
        <w:drawing>
          <wp:inline distT="0" distB="0" distL="0" distR="0" wp14:anchorId="51E84F32" wp14:editId="73D6C988">
            <wp:extent cx="5623433" cy="3335588"/>
            <wp:effectExtent l="0" t="0" r="0" b="0"/>
            <wp:docPr id="14057237" name="Kép 1" descr="A képen szöveg, képernyőkép, sor, Diagram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7237" name="Kép 1" descr="A képen szöveg, képernyőkép, sor, Diagram látható&#10;&#10;Előfordulhat, hogy a mesterséges intelligencia által létrehozott tartalom helytelen."/>
                    <pic:cNvPicPr/>
                  </pic:nvPicPr>
                  <pic:blipFill>
                    <a:blip r:embed="rId16"/>
                    <a:stretch>
                      <a:fillRect/>
                    </a:stretch>
                  </pic:blipFill>
                  <pic:spPr>
                    <a:xfrm>
                      <a:off x="0" y="0"/>
                      <a:ext cx="5639130" cy="3344899"/>
                    </a:xfrm>
                    <a:prstGeom prst="rect">
                      <a:avLst/>
                    </a:prstGeom>
                  </pic:spPr>
                </pic:pic>
              </a:graphicData>
            </a:graphic>
          </wp:inline>
        </w:drawing>
      </w:r>
    </w:p>
    <w:p w14:paraId="23623F4E" w14:textId="4D360FEA" w:rsidR="5B67C7D7" w:rsidRPr="00920F4D" w:rsidRDefault="5E04AD7D" w:rsidP="00693114">
      <w:pPr>
        <w:jc w:val="both"/>
        <w:rPr>
          <w:rFonts w:ascii="Times New Roman" w:eastAsia="Times New Roman" w:hAnsi="Times New Roman" w:cs="Times New Roman"/>
          <w:sz w:val="26"/>
          <w:szCs w:val="26"/>
        </w:rPr>
      </w:pPr>
      <w:r w:rsidRPr="5E04AD7D">
        <w:rPr>
          <w:rFonts w:ascii="Times New Roman" w:eastAsia="Times New Roman" w:hAnsi="Times New Roman" w:cs="Times New Roman"/>
          <w:sz w:val="26"/>
          <w:szCs w:val="26"/>
        </w:rPr>
        <w:t xml:space="preserve">A költségvetés XLV. </w:t>
      </w:r>
      <w:r w:rsidRPr="5E04AD7D">
        <w:rPr>
          <w:rFonts w:ascii="Times New Roman" w:eastAsia="Times New Roman" w:hAnsi="Times New Roman" w:cs="Times New Roman"/>
          <w:b/>
          <w:bCs/>
          <w:sz w:val="26"/>
          <w:szCs w:val="26"/>
        </w:rPr>
        <w:t>Állami beruházások</w:t>
      </w:r>
      <w:r w:rsidRPr="5E04AD7D">
        <w:rPr>
          <w:rFonts w:ascii="Times New Roman" w:eastAsia="Times New Roman" w:hAnsi="Times New Roman" w:cs="Times New Roman"/>
          <w:sz w:val="26"/>
          <w:szCs w:val="26"/>
        </w:rPr>
        <w:t xml:space="preserve"> fejezetének bevételei 2026. március végéig 79,0 milliárd forintot tettek ki.</w:t>
      </w:r>
    </w:p>
    <w:p w14:paraId="1A94A750" w14:textId="7BEB1E0B" w:rsidR="00D32B0C" w:rsidRPr="00377D59" w:rsidRDefault="28F9800E" w:rsidP="00693114">
      <w:pPr>
        <w:jc w:val="both"/>
        <w:rPr>
          <w:rFonts w:ascii="Times New Roman" w:eastAsia="Times New Roman" w:hAnsi="Times New Roman" w:cs="Times New Roman"/>
          <w:sz w:val="26"/>
          <w:szCs w:val="26"/>
        </w:rPr>
      </w:pPr>
      <w:r w:rsidRPr="28F9800E">
        <w:rPr>
          <w:rFonts w:ascii="Times New Roman" w:eastAsia="Times New Roman" w:hAnsi="Times New Roman" w:cs="Times New Roman"/>
          <w:sz w:val="26"/>
          <w:szCs w:val="26"/>
        </w:rPr>
        <w:t xml:space="preserve">Az uniós bevételek főszabály szerint a XLII. A költségvetés közvetlen bevételei és kiadásai fejezetbe érkeznek, ezek kimutatására szolgál az </w:t>
      </w:r>
      <w:r w:rsidRPr="28F9800E">
        <w:rPr>
          <w:rFonts w:ascii="Times New Roman" w:eastAsia="Times New Roman" w:hAnsi="Times New Roman" w:cs="Times New Roman"/>
          <w:b/>
          <w:bCs/>
          <w:sz w:val="26"/>
          <w:szCs w:val="26"/>
        </w:rPr>
        <w:t>Uniós programok bevételei</w:t>
      </w:r>
      <w:r w:rsidRPr="28F9800E">
        <w:rPr>
          <w:rFonts w:ascii="Times New Roman" w:eastAsia="Times New Roman" w:hAnsi="Times New Roman" w:cs="Times New Roman"/>
          <w:sz w:val="26"/>
          <w:szCs w:val="26"/>
        </w:rPr>
        <w:t xml:space="preserve">, az </w:t>
      </w:r>
      <w:r w:rsidRPr="28F9800E">
        <w:rPr>
          <w:rFonts w:ascii="Times New Roman" w:eastAsia="Times New Roman" w:hAnsi="Times New Roman" w:cs="Times New Roman"/>
          <w:b/>
          <w:bCs/>
          <w:sz w:val="26"/>
          <w:szCs w:val="26"/>
        </w:rPr>
        <w:t>Egyéb uniós bevételek</w:t>
      </w:r>
      <w:r w:rsidRPr="28F9800E">
        <w:rPr>
          <w:rFonts w:ascii="Times New Roman" w:eastAsia="Times New Roman" w:hAnsi="Times New Roman" w:cs="Times New Roman"/>
          <w:sz w:val="26"/>
          <w:szCs w:val="26"/>
        </w:rPr>
        <w:t xml:space="preserve">, valamint az </w:t>
      </w:r>
      <w:r w:rsidRPr="28F9800E">
        <w:rPr>
          <w:rFonts w:ascii="Times New Roman" w:eastAsia="Times New Roman" w:hAnsi="Times New Roman" w:cs="Times New Roman"/>
          <w:b/>
          <w:bCs/>
          <w:sz w:val="26"/>
          <w:szCs w:val="26"/>
        </w:rPr>
        <w:t>Uniós támogatások utólagos megtérülése</w:t>
      </w:r>
      <w:r w:rsidRPr="28F9800E">
        <w:rPr>
          <w:rFonts w:ascii="Times New Roman" w:eastAsia="Times New Roman" w:hAnsi="Times New Roman" w:cs="Times New Roman"/>
          <w:sz w:val="26"/>
          <w:szCs w:val="26"/>
        </w:rPr>
        <w:t xml:space="preserve"> mérlegsor.</w:t>
      </w:r>
    </w:p>
    <w:p w14:paraId="11F30D81" w14:textId="52E1AB1D" w:rsidR="333BE5E1" w:rsidRDefault="5E04AD7D" w:rsidP="00693114">
      <w:pPr>
        <w:jc w:val="both"/>
        <w:rPr>
          <w:rFonts w:ascii="Times New Roman" w:eastAsia="Times New Roman" w:hAnsi="Times New Roman" w:cs="Times New Roman"/>
          <w:sz w:val="26"/>
          <w:szCs w:val="26"/>
        </w:rPr>
      </w:pPr>
      <w:r w:rsidRPr="5E04AD7D">
        <w:rPr>
          <w:rFonts w:ascii="Times New Roman" w:eastAsia="Times New Roman" w:hAnsi="Times New Roman" w:cs="Times New Roman"/>
          <w:sz w:val="26"/>
          <w:szCs w:val="26"/>
        </w:rPr>
        <w:lastRenderedPageBreak/>
        <w:t xml:space="preserve">Az </w:t>
      </w:r>
      <w:r w:rsidRPr="5E04AD7D">
        <w:rPr>
          <w:rFonts w:ascii="Times New Roman" w:eastAsia="Times New Roman" w:hAnsi="Times New Roman" w:cs="Times New Roman"/>
          <w:b/>
          <w:bCs/>
          <w:sz w:val="26"/>
          <w:szCs w:val="26"/>
        </w:rPr>
        <w:t>Uniós programok bevételei</w:t>
      </w:r>
      <w:r w:rsidRPr="5E04AD7D">
        <w:rPr>
          <w:rFonts w:ascii="Times New Roman" w:eastAsia="Times New Roman" w:hAnsi="Times New Roman" w:cs="Times New Roman"/>
          <w:sz w:val="26"/>
          <w:szCs w:val="26"/>
        </w:rPr>
        <w:t xml:space="preserve"> mérlegsoron 2026. március végéig 377,7 milliárd forint bevétel keletkezett. Ez az összeg a törvényi előirányzat (1894,0 milliárd forint) 19,9%-át teszi ki. A teljesült bevételből 345,6 milliárd forint az uniós, 22,1 milliárd forint az egyéb bevételekhez, illetve 10</w:t>
      </w:r>
      <w:r w:rsidR="001C4D5A">
        <w:rPr>
          <w:rFonts w:ascii="Times New Roman" w:eastAsia="Times New Roman" w:hAnsi="Times New Roman" w:cs="Times New Roman"/>
          <w:sz w:val="26"/>
          <w:szCs w:val="26"/>
        </w:rPr>
        <w:t>,0</w:t>
      </w:r>
      <w:r w:rsidRPr="5E04AD7D">
        <w:rPr>
          <w:rFonts w:ascii="Times New Roman" w:eastAsia="Times New Roman" w:hAnsi="Times New Roman" w:cs="Times New Roman"/>
          <w:sz w:val="26"/>
          <w:szCs w:val="26"/>
        </w:rPr>
        <w:t xml:space="preserve"> milliárd forint az uniós támogatások utólagos megtérüléséhez tartozik.</w:t>
      </w:r>
    </w:p>
    <w:p w14:paraId="040E2327" w14:textId="77B0A1AA" w:rsidR="74B9DF17" w:rsidRPr="00FE12D5" w:rsidRDefault="5E04AD7D" w:rsidP="00693114">
      <w:pPr>
        <w:jc w:val="both"/>
        <w:rPr>
          <w:rFonts w:ascii="Times New Roman" w:hAnsi="Times New Roman" w:cs="Times New Roman"/>
        </w:rPr>
      </w:pPr>
      <w:r w:rsidRPr="5E04AD7D">
        <w:rPr>
          <w:rFonts w:ascii="Times New Roman" w:eastAsia="Times New Roman" w:hAnsi="Times New Roman" w:cs="Times New Roman"/>
          <w:sz w:val="26"/>
          <w:szCs w:val="26"/>
        </w:rPr>
        <w:t xml:space="preserve">A </w:t>
      </w:r>
      <w:r w:rsidRPr="5E04AD7D">
        <w:rPr>
          <w:rFonts w:ascii="Times New Roman" w:eastAsia="Times New Roman" w:hAnsi="Times New Roman" w:cs="Times New Roman"/>
          <w:b/>
          <w:bCs/>
          <w:sz w:val="26"/>
          <w:szCs w:val="26"/>
        </w:rPr>
        <w:t xml:space="preserve">vámbeszedési költség megtérítése </w:t>
      </w:r>
      <w:r w:rsidRPr="5E04AD7D">
        <w:rPr>
          <w:rFonts w:ascii="Times New Roman" w:eastAsia="Times New Roman" w:hAnsi="Times New Roman" w:cs="Times New Roman"/>
          <w:sz w:val="26"/>
          <w:szCs w:val="26"/>
        </w:rPr>
        <w:t>mérlegsoron 12,1 milliárd forint bevétel jelentkezett 2026. március végéig. Ez az összeg a törvényi előirányzat 34,9%-a</w:t>
      </w:r>
      <w:r w:rsidR="008754B2">
        <w:rPr>
          <w:rFonts w:ascii="Times New Roman" w:eastAsia="Times New Roman" w:hAnsi="Times New Roman" w:cs="Times New Roman"/>
          <w:sz w:val="26"/>
          <w:szCs w:val="26"/>
        </w:rPr>
        <w:t>,</w:t>
      </w:r>
      <w:r w:rsidRPr="5E04AD7D">
        <w:rPr>
          <w:rFonts w:ascii="Times New Roman" w:eastAsia="Times New Roman" w:hAnsi="Times New Roman" w:cs="Times New Roman"/>
          <w:sz w:val="26"/>
          <w:szCs w:val="26"/>
        </w:rPr>
        <w:t xml:space="preserve"> és 4</w:t>
      </w:r>
      <w:r w:rsidR="001C4D5A">
        <w:rPr>
          <w:rFonts w:ascii="Times New Roman" w:eastAsia="Times New Roman" w:hAnsi="Times New Roman" w:cs="Times New Roman"/>
          <w:sz w:val="26"/>
          <w:szCs w:val="26"/>
        </w:rPr>
        <w:t>,1</w:t>
      </w:r>
      <w:r w:rsidRPr="5E04AD7D">
        <w:rPr>
          <w:rFonts w:ascii="Times New Roman" w:eastAsia="Times New Roman" w:hAnsi="Times New Roman" w:cs="Times New Roman"/>
          <w:sz w:val="26"/>
          <w:szCs w:val="26"/>
        </w:rPr>
        <w:t xml:space="preserve"> milliárd forinttal haladja meg a 2025. év azonos időszakában keletkezett bevételt.</w:t>
      </w:r>
    </w:p>
    <w:p w14:paraId="20E71318" w14:textId="2536AFAA" w:rsidR="00A948A8" w:rsidRPr="00A948A8" w:rsidRDefault="5E04AD7D" w:rsidP="00693114">
      <w:pPr>
        <w:jc w:val="both"/>
        <w:rPr>
          <w:rFonts w:ascii="Times New Roman" w:eastAsia="Calibri" w:hAnsi="Times New Roman" w:cs="Times New Roman"/>
          <w:sz w:val="26"/>
          <w:szCs w:val="26"/>
          <w:lang w:eastAsia="hu-HU"/>
        </w:rPr>
      </w:pPr>
      <w:r w:rsidRPr="5E04AD7D">
        <w:rPr>
          <w:rFonts w:ascii="Times New Roman" w:eastAsia="Calibri" w:hAnsi="Times New Roman" w:cs="Times New Roman"/>
          <w:sz w:val="26"/>
          <w:szCs w:val="26"/>
          <w:lang w:eastAsia="hu-HU"/>
        </w:rPr>
        <w:t xml:space="preserve">A befizetett társadalombiztosítási járulék 8,1%-át az állami adóhatóság a foglalkoztatási programokkal kapcsolatos elkülönített állami pénzalapnak utalja át. 2026 első három hónapjában a </w:t>
      </w:r>
      <w:r w:rsidRPr="5E04AD7D">
        <w:rPr>
          <w:rFonts w:ascii="Times New Roman" w:eastAsia="Calibri" w:hAnsi="Times New Roman" w:cs="Times New Roman"/>
          <w:b/>
          <w:bCs/>
          <w:sz w:val="26"/>
          <w:szCs w:val="26"/>
          <w:lang w:eastAsia="hu-HU"/>
        </w:rPr>
        <w:t xml:space="preserve">társadalombiztosítási járulék </w:t>
      </w:r>
      <w:r w:rsidRPr="5E04AD7D">
        <w:rPr>
          <w:rFonts w:ascii="Times New Roman" w:eastAsia="Times New Roman" w:hAnsi="Times New Roman" w:cs="Times New Roman"/>
          <w:b/>
          <w:bCs/>
          <w:sz w:val="26"/>
          <w:szCs w:val="26"/>
          <w:lang w:eastAsia="hu-HU"/>
        </w:rPr>
        <w:t xml:space="preserve">Nemzeti Foglalkoztatási </w:t>
      </w:r>
      <w:r w:rsidRPr="5E04AD7D">
        <w:rPr>
          <w:rFonts w:ascii="Times New Roman" w:eastAsia="Calibri" w:hAnsi="Times New Roman" w:cs="Times New Roman"/>
          <w:b/>
          <w:bCs/>
          <w:sz w:val="26"/>
          <w:szCs w:val="26"/>
          <w:lang w:eastAsia="hu-HU"/>
        </w:rPr>
        <w:t xml:space="preserve">Alapot megillető része </w:t>
      </w:r>
      <w:r w:rsidRPr="5E04AD7D">
        <w:rPr>
          <w:rFonts w:ascii="Times New Roman" w:eastAsia="Calibri" w:hAnsi="Times New Roman" w:cs="Times New Roman"/>
          <w:sz w:val="26"/>
          <w:szCs w:val="26"/>
          <w:lang w:eastAsia="hu-HU"/>
        </w:rPr>
        <w:t>119,9 milliárd</w:t>
      </w:r>
      <w:r w:rsidRPr="5E04AD7D">
        <w:rPr>
          <w:rFonts w:ascii="Times New Roman" w:eastAsia="Times New Roman" w:hAnsi="Times New Roman" w:cs="Times New Roman"/>
          <w:sz w:val="26"/>
          <w:szCs w:val="26"/>
          <w:lang w:eastAsia="hu-HU"/>
        </w:rPr>
        <w:t> </w:t>
      </w:r>
      <w:r w:rsidRPr="5E04AD7D">
        <w:rPr>
          <w:rFonts w:ascii="Times New Roman" w:eastAsia="Calibri" w:hAnsi="Times New Roman" w:cs="Times New Roman"/>
          <w:sz w:val="26"/>
          <w:szCs w:val="26"/>
          <w:lang w:eastAsia="hu-HU"/>
        </w:rPr>
        <w:t>forintban teljesült, amely az előző év azonos időszakában befolyt bevételt 14,1</w:t>
      </w:r>
      <w:r w:rsidRPr="5E04AD7D">
        <w:rPr>
          <w:rFonts w:ascii="Times New Roman" w:eastAsia="Times New Roman" w:hAnsi="Times New Roman" w:cs="Times New Roman"/>
          <w:sz w:val="26"/>
          <w:szCs w:val="26"/>
          <w:lang w:eastAsia="hu-HU"/>
        </w:rPr>
        <w:t> </w:t>
      </w:r>
      <w:r w:rsidRPr="5E04AD7D">
        <w:rPr>
          <w:rFonts w:ascii="Times New Roman" w:eastAsia="Calibri" w:hAnsi="Times New Roman" w:cs="Times New Roman"/>
          <w:sz w:val="26"/>
          <w:szCs w:val="26"/>
          <w:lang w:eastAsia="hu-HU"/>
        </w:rPr>
        <w:t>milliárd</w:t>
      </w:r>
      <w:r w:rsidRPr="5E04AD7D">
        <w:rPr>
          <w:rFonts w:ascii="Times New Roman" w:eastAsia="Times New Roman" w:hAnsi="Times New Roman" w:cs="Times New Roman"/>
          <w:sz w:val="26"/>
          <w:szCs w:val="26"/>
          <w:lang w:eastAsia="hu-HU"/>
        </w:rPr>
        <w:t> </w:t>
      </w:r>
      <w:r w:rsidRPr="5E04AD7D">
        <w:rPr>
          <w:rFonts w:ascii="Times New Roman" w:eastAsia="Calibri" w:hAnsi="Times New Roman" w:cs="Times New Roman"/>
          <w:sz w:val="26"/>
          <w:szCs w:val="26"/>
          <w:lang w:eastAsia="hu-HU"/>
        </w:rPr>
        <w:t>forinttal haladta meg. A bevételnövekedés oka a járulékköteles bértömeg növekedésének, a családi kedvezmények kiterjesztésének és az egyszeri kifizetésekhez kapcsolódó befizetéseknek az együttes hatása.</w:t>
      </w:r>
      <w:bookmarkStart w:id="2" w:name="_Hlk224054089"/>
    </w:p>
    <w:bookmarkEnd w:id="2"/>
    <w:p w14:paraId="5BD440D4" w14:textId="65012F6C" w:rsidR="00A948A8" w:rsidRPr="00A948A8" w:rsidRDefault="28F9800E" w:rsidP="00693114">
      <w:pPr>
        <w:jc w:val="both"/>
        <w:rPr>
          <w:rFonts w:ascii="Times New Roman" w:eastAsia="Times New Roman" w:hAnsi="Times New Roman" w:cs="Times New Roman"/>
          <w:sz w:val="26"/>
          <w:szCs w:val="26"/>
          <w:lang w:eastAsia="hu-HU"/>
        </w:rPr>
      </w:pPr>
      <w:r w:rsidRPr="28F9800E">
        <w:rPr>
          <w:rFonts w:ascii="Times New Roman" w:eastAsia="Times New Roman" w:hAnsi="Times New Roman" w:cs="Times New Roman"/>
          <w:sz w:val="26"/>
          <w:szCs w:val="26"/>
          <w:lang w:eastAsia="hu-HU"/>
        </w:rPr>
        <w:t>2026-ban a szociális hozzájárulási adó megfizetett összegének 82,81%-a a</w:t>
      </w:r>
      <w:r w:rsidR="00F17FAE">
        <w:rPr>
          <w:rFonts w:ascii="Times New Roman" w:eastAsia="Times New Roman" w:hAnsi="Times New Roman" w:cs="Times New Roman"/>
          <w:sz w:val="26"/>
          <w:szCs w:val="26"/>
          <w:lang w:eastAsia="hu-HU"/>
        </w:rPr>
        <w:t> </w:t>
      </w:r>
      <w:r w:rsidRPr="28F9800E">
        <w:rPr>
          <w:rFonts w:ascii="Times New Roman" w:eastAsia="Times New Roman" w:hAnsi="Times New Roman" w:cs="Times New Roman"/>
          <w:sz w:val="26"/>
          <w:szCs w:val="26"/>
          <w:lang w:eastAsia="hu-HU"/>
        </w:rPr>
        <w:t xml:space="preserve">Nyugdíjbiztosítási Alapot illeti meg. A </w:t>
      </w:r>
      <w:r w:rsidRPr="28F9800E">
        <w:rPr>
          <w:rFonts w:ascii="Times New Roman" w:eastAsia="Times New Roman" w:hAnsi="Times New Roman" w:cs="Times New Roman"/>
          <w:b/>
          <w:bCs/>
          <w:sz w:val="26"/>
          <w:szCs w:val="26"/>
          <w:lang w:eastAsia="hu-HU"/>
        </w:rPr>
        <w:t xml:space="preserve">szociális hozzájárulási adó Nyugdíjbiztosítási Alapot megillető része </w:t>
      </w:r>
      <w:r w:rsidRPr="28F9800E">
        <w:rPr>
          <w:rFonts w:ascii="Times New Roman" w:eastAsia="Times New Roman" w:hAnsi="Times New Roman" w:cs="Times New Roman"/>
          <w:sz w:val="26"/>
          <w:szCs w:val="26"/>
          <w:lang w:eastAsia="hu-HU"/>
        </w:rPr>
        <w:t>2026 első három hónapjában 799,6 milliárd forintban teljesült, amely 88,1 milliárd forinttal haladta meg az előző év</w:t>
      </w:r>
      <w:r w:rsidRPr="28F9800E">
        <w:rPr>
          <w:rFonts w:ascii="Times New Roman" w:eastAsia="Calibri" w:hAnsi="Times New Roman" w:cs="Times New Roman"/>
          <w:sz w:val="26"/>
          <w:szCs w:val="26"/>
          <w:lang w:eastAsia="hu-HU"/>
        </w:rPr>
        <w:t xml:space="preserve"> azonos időszakában </w:t>
      </w:r>
      <w:r w:rsidRPr="28F9800E">
        <w:rPr>
          <w:rFonts w:ascii="Times New Roman" w:eastAsia="Times New Roman" w:hAnsi="Times New Roman" w:cs="Times New Roman"/>
          <w:sz w:val="26"/>
          <w:szCs w:val="26"/>
          <w:lang w:eastAsia="hu-HU"/>
        </w:rPr>
        <w:t>befolyt bevételt. A bevétel változása az adóköteles jövedelmek növekedésével és az alapok közötti megoszlási arány változásával</w:t>
      </w:r>
      <w:r w:rsidRPr="28F9800E">
        <w:rPr>
          <w:rFonts w:ascii="Times New Roman" w:eastAsia="Times New Roman" w:hAnsi="Times New Roman" w:cs="Times New Roman"/>
          <w:color w:val="000000" w:themeColor="text1"/>
          <w:sz w:val="26"/>
          <w:szCs w:val="26"/>
          <w:lang w:eastAsia="hu-HU"/>
        </w:rPr>
        <w:t xml:space="preserve"> magyarázható, valamint az egyszeri kifizetésekhez kapcsolódó befizetésekkel.</w:t>
      </w:r>
      <w:bookmarkStart w:id="3" w:name="_Hlk224054676"/>
      <w:bookmarkEnd w:id="3"/>
    </w:p>
    <w:p w14:paraId="0F69A6EF" w14:textId="1E8F6705" w:rsidR="00E20C14" w:rsidRDefault="5E04AD7D" w:rsidP="00693114">
      <w:pPr>
        <w:jc w:val="both"/>
        <w:rPr>
          <w:rFonts w:ascii="Times New Roman" w:eastAsia="Calibri" w:hAnsi="Times New Roman" w:cs="Times New Roman"/>
          <w:sz w:val="26"/>
          <w:szCs w:val="26"/>
          <w:lang w:eastAsia="hu-HU"/>
        </w:rPr>
      </w:pPr>
      <w:r w:rsidRPr="5E04AD7D">
        <w:rPr>
          <w:rFonts w:ascii="Times New Roman" w:eastAsia="Times New Roman" w:hAnsi="Times New Roman" w:cs="Times New Roman"/>
          <w:sz w:val="26"/>
          <w:szCs w:val="26"/>
          <w:lang w:eastAsia="hu-HU"/>
        </w:rPr>
        <w:t xml:space="preserve">A befizetett társadalombiztosítási járulék 54%-át az állami adóhatóság a Nyugdíjbiztosítási Alapnak utalja át. 2026 első három hónapjában a </w:t>
      </w:r>
      <w:r w:rsidRPr="5E04AD7D">
        <w:rPr>
          <w:rFonts w:ascii="Times New Roman" w:eastAsia="Times New Roman" w:hAnsi="Times New Roman" w:cs="Times New Roman"/>
          <w:b/>
          <w:bCs/>
          <w:sz w:val="26"/>
          <w:szCs w:val="26"/>
          <w:lang w:eastAsia="hu-HU"/>
        </w:rPr>
        <w:t>társadalombiztosítási járulék Nyugdíjbiztosítási Alapot megillető része és nyugdíjjárulék</w:t>
      </w:r>
      <w:r w:rsidRPr="5E04AD7D">
        <w:rPr>
          <w:rFonts w:ascii="Times New Roman" w:eastAsia="Times New Roman" w:hAnsi="Times New Roman" w:cs="Times New Roman"/>
          <w:sz w:val="26"/>
          <w:szCs w:val="26"/>
          <w:lang w:eastAsia="hu-HU"/>
        </w:rPr>
        <w:t xml:space="preserve"> 816,2 milliárd forintban teljesült, amely az előző </w:t>
      </w:r>
      <w:r w:rsidRPr="5E04AD7D">
        <w:rPr>
          <w:rFonts w:ascii="Times New Roman" w:eastAsia="Calibri" w:hAnsi="Times New Roman" w:cs="Times New Roman"/>
          <w:sz w:val="26"/>
          <w:szCs w:val="26"/>
          <w:lang w:eastAsia="hu-HU"/>
        </w:rPr>
        <w:t>év azonos időszakában</w:t>
      </w:r>
      <w:r w:rsidRPr="5E04AD7D">
        <w:rPr>
          <w:rFonts w:ascii="Times New Roman" w:eastAsia="Times New Roman" w:hAnsi="Times New Roman" w:cs="Times New Roman"/>
          <w:sz w:val="26"/>
          <w:szCs w:val="26"/>
          <w:lang w:eastAsia="hu-HU"/>
        </w:rPr>
        <w:t xml:space="preserve"> befolyt bevételt 94,6 milliárd forinttal haladta meg. </w:t>
      </w:r>
      <w:r w:rsidRPr="5E04AD7D">
        <w:rPr>
          <w:rFonts w:ascii="Times New Roman" w:eastAsia="Calibri" w:hAnsi="Times New Roman" w:cs="Times New Roman"/>
          <w:sz w:val="26"/>
          <w:szCs w:val="26"/>
          <w:lang w:eastAsia="hu-HU"/>
        </w:rPr>
        <w:t>A bevételnövekedés oka a járulékköteles bértömeg növekedésének, a családi kedvezmények kiterjesztésének és az egyszeri kifizetésekhez kapcsolódó befizetéseknek az együttes hatása.</w:t>
      </w:r>
    </w:p>
    <w:p w14:paraId="0858CB79" w14:textId="70588816" w:rsidR="00A76FE3" w:rsidRDefault="5E04AD7D" w:rsidP="00693114">
      <w:pPr>
        <w:jc w:val="both"/>
      </w:pPr>
      <w:r w:rsidRPr="5E04AD7D">
        <w:rPr>
          <w:rFonts w:ascii="Times New Roman" w:eastAsia="Times New Roman" w:hAnsi="Times New Roman" w:cs="Times New Roman"/>
          <w:sz w:val="26"/>
          <w:szCs w:val="26"/>
        </w:rPr>
        <w:t xml:space="preserve">A </w:t>
      </w:r>
      <w:r w:rsidRPr="5E04AD7D">
        <w:rPr>
          <w:rFonts w:ascii="Times New Roman" w:eastAsia="Times New Roman" w:hAnsi="Times New Roman" w:cs="Times New Roman"/>
          <w:b/>
          <w:bCs/>
          <w:sz w:val="26"/>
          <w:szCs w:val="26"/>
        </w:rPr>
        <w:t>Nyugdíjbiztosítási Alap</w:t>
      </w:r>
      <w:r w:rsidRPr="5E04AD7D">
        <w:rPr>
          <w:rFonts w:ascii="Times New Roman" w:eastAsia="Times New Roman" w:hAnsi="Times New Roman" w:cs="Times New Roman"/>
          <w:sz w:val="26"/>
          <w:szCs w:val="26"/>
        </w:rPr>
        <w:t xml:space="preserve"> 2026. évi költségvetése az ellátási kiadások támogatására 626,0 milliárd forint </w:t>
      </w:r>
      <w:r w:rsidRPr="5E04AD7D">
        <w:rPr>
          <w:rFonts w:ascii="Times New Roman" w:eastAsia="Times New Roman" w:hAnsi="Times New Roman" w:cs="Times New Roman"/>
          <w:b/>
          <w:bCs/>
          <w:sz w:val="26"/>
          <w:szCs w:val="26"/>
        </w:rPr>
        <w:t>központi költségvetési hozzájárulást</w:t>
      </w:r>
      <w:r w:rsidRPr="5E04AD7D">
        <w:rPr>
          <w:rFonts w:ascii="Times New Roman" w:eastAsia="Times New Roman" w:hAnsi="Times New Roman" w:cs="Times New Roman"/>
          <w:sz w:val="26"/>
          <w:szCs w:val="26"/>
        </w:rPr>
        <w:t xml:space="preserve"> tartalmaz, ami 61,5 milliárd forinttal magasabb az előző évi előirányzat összegénél.</w:t>
      </w:r>
    </w:p>
    <w:p w14:paraId="6AC8A7EE" w14:textId="215BD7C2" w:rsidR="00A76FE3" w:rsidRDefault="5E04AD7D" w:rsidP="00693114">
      <w:pPr>
        <w:jc w:val="both"/>
      </w:pPr>
      <w:r w:rsidRPr="5E04AD7D">
        <w:rPr>
          <w:rFonts w:ascii="Times New Roman" w:eastAsia="Times New Roman" w:hAnsi="Times New Roman" w:cs="Times New Roman"/>
          <w:sz w:val="26"/>
          <w:szCs w:val="26"/>
        </w:rPr>
        <w:t>A költségvetési hozzájárulás előirányzataiból 70 milliárd forintot pénzeszközátadás útján biztosít az alap részére, és 556 milliárd forintot – a 13. havi nyugdíj, illetve a nyugdíjprémium fedezeteként – címzett támogatás formájában. A 13. havi nyugdíj és a nyugdíjprémium támogatásának előirányzatai év közben előirányzat-módosítás nélkül túlléphetők. A 14. havi egyheti nyugdíjnak a tárgyévben nincs címzett támogatása, a kiadások fedezetét az érintett előirányzatok automatikus túlteljesíthetősége biztosítja.</w:t>
      </w:r>
    </w:p>
    <w:p w14:paraId="6BF2F156" w14:textId="242E5ABD" w:rsidR="00A76FE3" w:rsidRDefault="5E04AD7D" w:rsidP="00693114">
      <w:pPr>
        <w:jc w:val="both"/>
        <w:rPr>
          <w:rFonts w:ascii="Times New Roman" w:eastAsia="Times New Roman" w:hAnsi="Times New Roman" w:cs="Times New Roman"/>
          <w:sz w:val="26"/>
          <w:szCs w:val="26"/>
        </w:rPr>
      </w:pPr>
      <w:r w:rsidRPr="5E04AD7D">
        <w:rPr>
          <w:rFonts w:ascii="Times New Roman" w:eastAsia="Times New Roman" w:hAnsi="Times New Roman" w:cs="Times New Roman"/>
          <w:sz w:val="26"/>
          <w:szCs w:val="26"/>
        </w:rPr>
        <w:t xml:space="preserve">A </w:t>
      </w:r>
      <w:r w:rsidRPr="5E04AD7D">
        <w:rPr>
          <w:rFonts w:ascii="Times New Roman" w:eastAsia="Times New Roman" w:hAnsi="Times New Roman" w:cs="Times New Roman"/>
          <w:b/>
          <w:bCs/>
          <w:sz w:val="26"/>
          <w:szCs w:val="26"/>
        </w:rPr>
        <w:t>Nyugdíjbiztosítási Alap</w:t>
      </w:r>
      <w:r w:rsidRPr="5E04AD7D">
        <w:rPr>
          <w:rFonts w:ascii="Times New Roman" w:eastAsia="Times New Roman" w:hAnsi="Times New Roman" w:cs="Times New Roman"/>
          <w:sz w:val="26"/>
          <w:szCs w:val="26"/>
        </w:rPr>
        <w:t xml:space="preserve"> részére 2026. március végéig a Magyar Államkincstár a költségvetési törvény előirányzatainak figyelembevételével jóváhagyásra benyújtott éves </w:t>
      </w:r>
      <w:r w:rsidRPr="5E04AD7D">
        <w:rPr>
          <w:rFonts w:ascii="Times New Roman" w:eastAsia="Times New Roman" w:hAnsi="Times New Roman" w:cs="Times New Roman"/>
          <w:sz w:val="26"/>
          <w:szCs w:val="26"/>
        </w:rPr>
        <w:lastRenderedPageBreak/>
        <w:t xml:space="preserve">előirányzat-felhasználási terv ütemezésének megfelelően 17,5 milliárd forint </w:t>
      </w:r>
      <w:r w:rsidRPr="5E04AD7D">
        <w:rPr>
          <w:rFonts w:ascii="Times New Roman" w:eastAsia="Times New Roman" w:hAnsi="Times New Roman" w:cs="Times New Roman"/>
          <w:b/>
          <w:bCs/>
          <w:sz w:val="26"/>
          <w:szCs w:val="26"/>
        </w:rPr>
        <w:t>központi támogatást</w:t>
      </w:r>
      <w:r w:rsidRPr="5E04AD7D">
        <w:rPr>
          <w:rFonts w:ascii="Times New Roman" w:eastAsia="Times New Roman" w:hAnsi="Times New Roman" w:cs="Times New Roman"/>
          <w:sz w:val="26"/>
          <w:szCs w:val="26"/>
        </w:rPr>
        <w:t xml:space="preserve"> utalt át pénzeszközátadás jogcímen, ami az előző év azonos időszakában folyósított havi támogatás összegénél 1,85 milliárd forinttal kevesebb. A pénzeszköz-átadás az alap költségvetési egyensúlyának biztosítását szolgálja.</w:t>
      </w:r>
    </w:p>
    <w:p w14:paraId="62A2D78D" w14:textId="7D99D8C4" w:rsidR="560FAF85" w:rsidRDefault="5E04AD7D" w:rsidP="00693114">
      <w:pPr>
        <w:jc w:val="both"/>
      </w:pPr>
      <w:r w:rsidRPr="5E04AD7D">
        <w:rPr>
          <w:rFonts w:ascii="Times New Roman" w:eastAsia="Times New Roman" w:hAnsi="Times New Roman" w:cs="Times New Roman"/>
          <w:sz w:val="26"/>
          <w:szCs w:val="26"/>
        </w:rPr>
        <w:t xml:space="preserve">A </w:t>
      </w:r>
      <w:r w:rsidRPr="5E04AD7D">
        <w:rPr>
          <w:rFonts w:ascii="Times New Roman" w:eastAsia="Times New Roman" w:hAnsi="Times New Roman" w:cs="Times New Roman"/>
          <w:b/>
          <w:bCs/>
          <w:sz w:val="26"/>
          <w:szCs w:val="26"/>
        </w:rPr>
        <w:t>13. havi nyugdíj kifizetésének</w:t>
      </w:r>
      <w:r w:rsidRPr="5E04AD7D">
        <w:rPr>
          <w:rFonts w:ascii="Times New Roman" w:eastAsia="Times New Roman" w:hAnsi="Times New Roman" w:cs="Times New Roman"/>
          <w:sz w:val="26"/>
          <w:szCs w:val="26"/>
        </w:rPr>
        <w:t xml:space="preserve"> támogatására február hónapban 531,7</w:t>
      </w:r>
      <w:r w:rsidR="001C4D5A">
        <w:rPr>
          <w:rFonts w:ascii="Times New Roman" w:eastAsia="Times New Roman" w:hAnsi="Times New Roman" w:cs="Times New Roman"/>
          <w:sz w:val="26"/>
          <w:szCs w:val="26"/>
        </w:rPr>
        <w:t> </w:t>
      </w:r>
      <w:r w:rsidRPr="5E04AD7D">
        <w:rPr>
          <w:rFonts w:ascii="Times New Roman" w:eastAsia="Times New Roman" w:hAnsi="Times New Roman" w:cs="Times New Roman"/>
          <w:sz w:val="26"/>
          <w:szCs w:val="26"/>
        </w:rPr>
        <w:t>milliárd forint került átutalásra a Nyugdíjbiztosítási Alap részére, ami 44,6 milliárd forinttal haladja meg az előző év azonos időszakában ugyanezen a jogcímen nyújtott támogatás összegét.</w:t>
      </w:r>
    </w:p>
    <w:p w14:paraId="1E5039D7" w14:textId="2835F56B" w:rsidR="475F3A1A" w:rsidRDefault="00527154" w:rsidP="005861AE">
      <w:pPr>
        <w:jc w:val="center"/>
        <w:rPr>
          <w:rFonts w:ascii="Times New Roman" w:eastAsia="Times New Roman" w:hAnsi="Times New Roman" w:cs="Times New Roman"/>
          <w:sz w:val="26"/>
          <w:szCs w:val="26"/>
        </w:rPr>
      </w:pPr>
      <w:r w:rsidRPr="00527154">
        <w:rPr>
          <w:rFonts w:ascii="Times New Roman" w:eastAsia="Times New Roman" w:hAnsi="Times New Roman" w:cs="Times New Roman"/>
          <w:noProof/>
          <w:sz w:val="26"/>
          <w:szCs w:val="26"/>
        </w:rPr>
        <w:drawing>
          <wp:inline distT="0" distB="0" distL="0" distR="0" wp14:anchorId="3914C43E" wp14:editId="152E6CEC">
            <wp:extent cx="4921858" cy="2354915"/>
            <wp:effectExtent l="0" t="0" r="0" b="7620"/>
            <wp:docPr id="733948845" name="Kép 1" descr="A képen szöveg, képernyőkép, diagram, kör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948845" name="Kép 1" descr="A képen szöveg, képernyőkép, diagram, kör látható&#10;&#10;Előfordulhat, hogy a mesterséges intelligencia által létrehozott tartalom helytelen."/>
                    <pic:cNvPicPr/>
                  </pic:nvPicPr>
                  <pic:blipFill>
                    <a:blip r:embed="rId17"/>
                    <a:stretch>
                      <a:fillRect/>
                    </a:stretch>
                  </pic:blipFill>
                  <pic:spPr>
                    <a:xfrm>
                      <a:off x="0" y="0"/>
                      <a:ext cx="4964720" cy="2375423"/>
                    </a:xfrm>
                    <a:prstGeom prst="rect">
                      <a:avLst/>
                    </a:prstGeom>
                  </pic:spPr>
                </pic:pic>
              </a:graphicData>
            </a:graphic>
          </wp:inline>
        </w:drawing>
      </w:r>
    </w:p>
    <w:p w14:paraId="559B0B8E" w14:textId="1C66DD63" w:rsidR="00A948A8" w:rsidRPr="00A948A8" w:rsidRDefault="5E04AD7D" w:rsidP="5E04AD7D">
      <w:pPr>
        <w:jc w:val="both"/>
        <w:rPr>
          <w:rFonts w:ascii="Times New Roman" w:eastAsia="Calibri" w:hAnsi="Times New Roman" w:cs="Times New Roman"/>
          <w:sz w:val="26"/>
          <w:szCs w:val="26"/>
          <w:lang w:eastAsia="hu-HU"/>
        </w:rPr>
      </w:pPr>
      <w:r w:rsidRPr="5E04AD7D">
        <w:rPr>
          <w:rFonts w:ascii="Times New Roman" w:eastAsia="Calibri" w:hAnsi="Times New Roman" w:cs="Times New Roman"/>
          <w:sz w:val="26"/>
          <w:szCs w:val="26"/>
          <w:lang w:eastAsia="hu-HU"/>
        </w:rPr>
        <w:t>2026-ban a szociális hozzájárulási adó megfizetett összegének 17,19%-a az</w:t>
      </w:r>
      <w:r w:rsidR="00F17FAE">
        <w:rPr>
          <w:rFonts w:ascii="Times New Roman" w:eastAsia="Calibri" w:hAnsi="Times New Roman" w:cs="Times New Roman"/>
          <w:sz w:val="26"/>
          <w:szCs w:val="26"/>
          <w:lang w:eastAsia="hu-HU"/>
        </w:rPr>
        <w:t> </w:t>
      </w:r>
      <w:r w:rsidRPr="5E04AD7D">
        <w:rPr>
          <w:rFonts w:ascii="Times New Roman" w:eastAsia="Calibri" w:hAnsi="Times New Roman" w:cs="Times New Roman"/>
          <w:sz w:val="26"/>
          <w:szCs w:val="26"/>
          <w:lang w:eastAsia="hu-HU"/>
        </w:rPr>
        <w:t xml:space="preserve">Egészségbiztosítási Alapot illeti meg. 2026 első három hónapjában a </w:t>
      </w:r>
      <w:r w:rsidRPr="5E04AD7D">
        <w:rPr>
          <w:rFonts w:ascii="Times New Roman" w:eastAsia="Calibri" w:hAnsi="Times New Roman" w:cs="Times New Roman"/>
          <w:b/>
          <w:bCs/>
          <w:sz w:val="26"/>
          <w:szCs w:val="26"/>
          <w:lang w:eastAsia="hu-HU"/>
        </w:rPr>
        <w:t>szociális hozzájárulási adó Egészségbiztosítási Alapot megillető része</w:t>
      </w:r>
      <w:r w:rsidRPr="5E04AD7D">
        <w:rPr>
          <w:rFonts w:ascii="Times New Roman" w:eastAsia="Calibri" w:hAnsi="Times New Roman" w:cs="Times New Roman"/>
          <w:sz w:val="26"/>
          <w:szCs w:val="26"/>
          <w:lang w:eastAsia="hu-HU"/>
        </w:rPr>
        <w:t xml:space="preserve"> 166,0</w:t>
      </w:r>
      <w:r w:rsidRPr="5E04AD7D">
        <w:rPr>
          <w:rFonts w:ascii="Times New Roman" w:eastAsia="Times New Roman" w:hAnsi="Times New Roman" w:cs="Times New Roman"/>
          <w:sz w:val="26"/>
          <w:szCs w:val="26"/>
          <w:lang w:eastAsia="hu-HU"/>
        </w:rPr>
        <w:t> </w:t>
      </w:r>
      <w:r w:rsidRPr="5E04AD7D">
        <w:rPr>
          <w:rFonts w:ascii="Times New Roman" w:eastAsia="Calibri" w:hAnsi="Times New Roman" w:cs="Times New Roman"/>
          <w:sz w:val="26"/>
          <w:szCs w:val="26"/>
          <w:lang w:eastAsia="hu-HU"/>
        </w:rPr>
        <w:t>milliárd</w:t>
      </w:r>
      <w:r w:rsidRPr="5E04AD7D">
        <w:rPr>
          <w:rFonts w:ascii="Times New Roman" w:eastAsia="Times New Roman" w:hAnsi="Times New Roman" w:cs="Times New Roman"/>
          <w:sz w:val="26"/>
          <w:szCs w:val="26"/>
          <w:lang w:eastAsia="hu-HU"/>
        </w:rPr>
        <w:t> </w:t>
      </w:r>
      <w:r w:rsidRPr="5E04AD7D">
        <w:rPr>
          <w:rFonts w:ascii="Times New Roman" w:eastAsia="Calibri" w:hAnsi="Times New Roman" w:cs="Times New Roman"/>
          <w:sz w:val="26"/>
          <w:szCs w:val="26"/>
          <w:lang w:eastAsia="hu-HU"/>
        </w:rPr>
        <w:t>forintban teljesült, amely 59,3</w:t>
      </w:r>
      <w:r w:rsidRPr="5E04AD7D">
        <w:rPr>
          <w:rFonts w:ascii="Times New Roman" w:eastAsia="Times New Roman" w:hAnsi="Times New Roman" w:cs="Times New Roman"/>
          <w:sz w:val="26"/>
          <w:szCs w:val="26"/>
          <w:lang w:eastAsia="hu-HU"/>
        </w:rPr>
        <w:t> </w:t>
      </w:r>
      <w:r w:rsidRPr="5E04AD7D">
        <w:rPr>
          <w:rFonts w:ascii="Times New Roman" w:eastAsia="Calibri" w:hAnsi="Times New Roman" w:cs="Times New Roman"/>
          <w:sz w:val="26"/>
          <w:szCs w:val="26"/>
          <w:lang w:eastAsia="hu-HU"/>
        </w:rPr>
        <w:t>milliárd</w:t>
      </w:r>
      <w:r w:rsidRPr="5E04AD7D">
        <w:rPr>
          <w:rFonts w:ascii="Times New Roman" w:eastAsia="Times New Roman" w:hAnsi="Times New Roman" w:cs="Times New Roman"/>
          <w:sz w:val="26"/>
          <w:szCs w:val="26"/>
          <w:lang w:eastAsia="hu-HU"/>
        </w:rPr>
        <w:t> </w:t>
      </w:r>
      <w:r w:rsidRPr="5E04AD7D">
        <w:rPr>
          <w:rFonts w:ascii="Times New Roman" w:eastAsia="Calibri" w:hAnsi="Times New Roman" w:cs="Times New Roman"/>
          <w:sz w:val="26"/>
          <w:szCs w:val="26"/>
          <w:lang w:eastAsia="hu-HU"/>
        </w:rPr>
        <w:t xml:space="preserve">forinttal </w:t>
      </w:r>
      <w:r w:rsidRPr="5E04AD7D">
        <w:rPr>
          <w:rFonts w:ascii="Times New Roman" w:eastAsia="Times New Roman" w:hAnsi="Times New Roman" w:cs="Times New Roman"/>
          <w:sz w:val="26"/>
          <w:szCs w:val="26"/>
          <w:lang w:eastAsia="hu-HU"/>
        </w:rPr>
        <w:t xml:space="preserve">haladta meg az előző </w:t>
      </w:r>
      <w:r w:rsidRPr="5E04AD7D">
        <w:rPr>
          <w:rFonts w:ascii="Times New Roman" w:eastAsia="Calibri" w:hAnsi="Times New Roman" w:cs="Times New Roman"/>
          <w:sz w:val="26"/>
          <w:szCs w:val="26"/>
          <w:lang w:eastAsia="hu-HU"/>
        </w:rPr>
        <w:t>év azonos időszakában</w:t>
      </w:r>
      <w:r w:rsidRPr="5E04AD7D">
        <w:rPr>
          <w:rFonts w:ascii="Times New Roman" w:eastAsia="Times New Roman" w:hAnsi="Times New Roman" w:cs="Times New Roman"/>
          <w:sz w:val="26"/>
          <w:szCs w:val="26"/>
          <w:lang w:eastAsia="hu-HU"/>
        </w:rPr>
        <w:t xml:space="preserve"> befolyt bevételt. </w:t>
      </w:r>
      <w:r w:rsidRPr="5E04AD7D">
        <w:rPr>
          <w:rFonts w:ascii="Times New Roman" w:eastAsia="Calibri" w:hAnsi="Times New Roman" w:cs="Times New Roman"/>
          <w:sz w:val="26"/>
          <w:szCs w:val="26"/>
          <w:lang w:eastAsia="hu-HU"/>
        </w:rPr>
        <w:t>A bevétel változása az adóköteles jövedelmek növekedésével és az alapok közötti megoszlási arány változásával magyarázható, valamint az egyszeri kifizetésekhez kapcsolódó befizetésekkel.</w:t>
      </w:r>
    </w:p>
    <w:p w14:paraId="287ED0DA" w14:textId="5BF4790A" w:rsidR="00C33C0A" w:rsidRDefault="5E04AD7D" w:rsidP="5E04AD7D">
      <w:pPr>
        <w:jc w:val="both"/>
        <w:rPr>
          <w:rFonts w:ascii="Times New Roman" w:eastAsia="Calibri" w:hAnsi="Times New Roman" w:cs="Times New Roman"/>
          <w:sz w:val="26"/>
          <w:szCs w:val="26"/>
          <w:lang w:eastAsia="hu-HU"/>
        </w:rPr>
      </w:pPr>
      <w:r w:rsidRPr="5E04AD7D">
        <w:rPr>
          <w:rFonts w:ascii="Times New Roman" w:eastAsia="Calibri" w:hAnsi="Times New Roman" w:cs="Times New Roman"/>
          <w:sz w:val="26"/>
          <w:szCs w:val="26"/>
          <w:lang w:eastAsia="hu-HU"/>
        </w:rPr>
        <w:t>A befizetett társadalombiztosítási járulék 37,9%-át az állami adóhatóság az</w:t>
      </w:r>
      <w:r w:rsidR="00F17FAE">
        <w:rPr>
          <w:rFonts w:ascii="Times New Roman" w:eastAsia="Calibri" w:hAnsi="Times New Roman" w:cs="Times New Roman"/>
          <w:sz w:val="26"/>
          <w:szCs w:val="26"/>
          <w:lang w:eastAsia="hu-HU"/>
        </w:rPr>
        <w:t> </w:t>
      </w:r>
      <w:r w:rsidRPr="5E04AD7D">
        <w:rPr>
          <w:rFonts w:ascii="Times New Roman" w:eastAsia="Calibri" w:hAnsi="Times New Roman" w:cs="Times New Roman"/>
          <w:sz w:val="26"/>
          <w:szCs w:val="26"/>
          <w:lang w:eastAsia="hu-HU"/>
        </w:rPr>
        <w:t>Egészségbiztosítási Alapnak utalja át. 2026 első három hónapjában a</w:t>
      </w:r>
      <w:r w:rsidR="00F17FAE">
        <w:rPr>
          <w:rFonts w:ascii="Times New Roman" w:eastAsia="Calibri" w:hAnsi="Times New Roman" w:cs="Times New Roman"/>
          <w:sz w:val="26"/>
          <w:szCs w:val="26"/>
          <w:lang w:eastAsia="hu-HU"/>
        </w:rPr>
        <w:t> </w:t>
      </w:r>
      <w:r w:rsidRPr="5E04AD7D">
        <w:rPr>
          <w:rFonts w:ascii="Times New Roman" w:eastAsia="Calibri" w:hAnsi="Times New Roman" w:cs="Times New Roman"/>
          <w:b/>
          <w:bCs/>
          <w:sz w:val="26"/>
          <w:szCs w:val="26"/>
          <w:lang w:eastAsia="hu-HU"/>
        </w:rPr>
        <w:t>társadalombiztosítási járulék Egészségbiztosítási Alapot megillető része és egészségbiztosítási járulék</w:t>
      </w:r>
      <w:r w:rsidRPr="5E04AD7D">
        <w:rPr>
          <w:rFonts w:ascii="Times New Roman" w:eastAsia="Calibri" w:hAnsi="Times New Roman" w:cs="Times New Roman"/>
          <w:sz w:val="26"/>
          <w:szCs w:val="26"/>
          <w:lang w:eastAsia="hu-HU"/>
        </w:rPr>
        <w:t xml:space="preserve"> 557,6</w:t>
      </w:r>
      <w:r w:rsidRPr="5E04AD7D">
        <w:rPr>
          <w:rFonts w:ascii="Times New Roman" w:eastAsia="Times New Roman" w:hAnsi="Times New Roman" w:cs="Times New Roman"/>
          <w:sz w:val="26"/>
          <w:szCs w:val="26"/>
          <w:lang w:eastAsia="hu-HU"/>
        </w:rPr>
        <w:t> </w:t>
      </w:r>
      <w:r w:rsidRPr="5E04AD7D">
        <w:rPr>
          <w:rFonts w:ascii="Times New Roman" w:eastAsia="Calibri" w:hAnsi="Times New Roman" w:cs="Times New Roman"/>
          <w:sz w:val="26"/>
          <w:szCs w:val="26"/>
          <w:lang w:eastAsia="hu-HU"/>
        </w:rPr>
        <w:t>milliárd</w:t>
      </w:r>
      <w:r w:rsidRPr="5E04AD7D">
        <w:rPr>
          <w:rFonts w:ascii="Times New Roman" w:eastAsia="Times New Roman" w:hAnsi="Times New Roman" w:cs="Times New Roman"/>
          <w:sz w:val="26"/>
          <w:szCs w:val="26"/>
          <w:lang w:eastAsia="hu-HU"/>
        </w:rPr>
        <w:t> </w:t>
      </w:r>
      <w:r w:rsidRPr="5E04AD7D">
        <w:rPr>
          <w:rFonts w:ascii="Times New Roman" w:eastAsia="Calibri" w:hAnsi="Times New Roman" w:cs="Times New Roman"/>
          <w:sz w:val="26"/>
          <w:szCs w:val="26"/>
          <w:lang w:eastAsia="hu-HU"/>
        </w:rPr>
        <w:t xml:space="preserve">forintban teljesült, </w:t>
      </w:r>
      <w:r w:rsidRPr="5E04AD7D">
        <w:rPr>
          <w:rFonts w:ascii="Times New Roman" w:eastAsia="Times New Roman" w:hAnsi="Times New Roman" w:cs="Times New Roman"/>
          <w:sz w:val="26"/>
          <w:szCs w:val="26"/>
          <w:lang w:eastAsia="hu-HU"/>
        </w:rPr>
        <w:t xml:space="preserve">amely az előző </w:t>
      </w:r>
      <w:r w:rsidRPr="5E04AD7D">
        <w:rPr>
          <w:rFonts w:ascii="Times New Roman" w:eastAsia="Calibri" w:hAnsi="Times New Roman" w:cs="Times New Roman"/>
          <w:sz w:val="26"/>
          <w:szCs w:val="26"/>
          <w:lang w:eastAsia="hu-HU"/>
        </w:rPr>
        <w:t>év azonos időszakában</w:t>
      </w:r>
      <w:r w:rsidRPr="5E04AD7D">
        <w:rPr>
          <w:rFonts w:ascii="Times New Roman" w:eastAsia="Times New Roman" w:hAnsi="Times New Roman" w:cs="Times New Roman"/>
          <w:sz w:val="26"/>
          <w:szCs w:val="26"/>
          <w:lang w:eastAsia="hu-HU"/>
        </w:rPr>
        <w:t xml:space="preserve"> befolyt bevételt</w:t>
      </w:r>
      <w:r w:rsidRPr="5E04AD7D">
        <w:rPr>
          <w:rFonts w:ascii="Times New Roman" w:eastAsia="Calibri" w:hAnsi="Times New Roman" w:cs="Times New Roman"/>
          <w:sz w:val="26"/>
          <w:szCs w:val="26"/>
          <w:lang w:eastAsia="hu-HU"/>
        </w:rPr>
        <w:t xml:space="preserve"> 65,8 milliárd</w:t>
      </w:r>
      <w:r w:rsidRPr="5E04AD7D">
        <w:rPr>
          <w:rFonts w:ascii="Times New Roman" w:eastAsia="Times New Roman" w:hAnsi="Times New Roman" w:cs="Times New Roman"/>
          <w:sz w:val="26"/>
          <w:szCs w:val="26"/>
          <w:lang w:eastAsia="hu-HU"/>
        </w:rPr>
        <w:t> </w:t>
      </w:r>
      <w:r w:rsidRPr="5E04AD7D">
        <w:rPr>
          <w:rFonts w:ascii="Times New Roman" w:eastAsia="Calibri" w:hAnsi="Times New Roman" w:cs="Times New Roman"/>
          <w:sz w:val="26"/>
          <w:szCs w:val="26"/>
          <w:lang w:eastAsia="hu-HU"/>
        </w:rPr>
        <w:t>forinttal haladta meg. A bevételnövekedés oka a járulékköteles bértömeg növekedésének, a családi kedvezmények kiterjesztésének és az egyszeri kifizetésekhez kapcsolódó befizetéseknek az együttes hatása.</w:t>
      </w:r>
    </w:p>
    <w:p w14:paraId="3AA29024" w14:textId="4CD7F188" w:rsidR="00215359" w:rsidRDefault="5E04AD7D" w:rsidP="0024065B">
      <w:pPr>
        <w:jc w:val="both"/>
        <w:rPr>
          <w:rFonts w:ascii="Times New Roman" w:hAnsi="Times New Roman" w:cs="Times New Roman"/>
          <w:sz w:val="26"/>
          <w:szCs w:val="26"/>
        </w:rPr>
      </w:pPr>
      <w:r w:rsidRPr="5E04AD7D">
        <w:rPr>
          <w:rFonts w:ascii="Times New Roman" w:hAnsi="Times New Roman" w:cs="Times New Roman"/>
          <w:sz w:val="26"/>
          <w:szCs w:val="26"/>
        </w:rPr>
        <w:t xml:space="preserve">Az </w:t>
      </w:r>
      <w:r w:rsidRPr="5E04AD7D">
        <w:rPr>
          <w:rFonts w:ascii="Times New Roman" w:hAnsi="Times New Roman" w:cs="Times New Roman"/>
          <w:b/>
          <w:bCs/>
          <w:sz w:val="26"/>
          <w:szCs w:val="26"/>
        </w:rPr>
        <w:t>Egészségbiztosítási Alap költségvetési hozzájárulásai</w:t>
      </w:r>
      <w:r w:rsidRPr="5E04AD7D">
        <w:rPr>
          <w:rFonts w:ascii="Times New Roman" w:hAnsi="Times New Roman" w:cs="Times New Roman"/>
          <w:sz w:val="26"/>
          <w:szCs w:val="26"/>
        </w:rPr>
        <w:t xml:space="preserve"> 2026 első három hónapjában összesen 429,6 milliárd forintot tettek ki, amely 42,7 milliárd forinttal alacsonyabb, mint az előző év azonos időszakában átutalt összeg. 2026. március végéig az Egészségbiztosítási Alap járulék címen átvett pénzeszközként 182,6 milliárd forint támogatást kapott, szemben a tavalyi év első három hónapjában átutalt 173,1 milliárd forinttal. Az alap kiadásainak támogatására szolgáló tervezett pénzeszköz-átvétel és az egészségügyi feladatok ellátásával kapcsolatos hozzájárulás együttes összege 2026</w:t>
      </w:r>
      <w:r w:rsidR="0024065B">
        <w:rPr>
          <w:rFonts w:ascii="Times New Roman" w:hAnsi="Times New Roman" w:cs="Times New Roman"/>
          <w:sz w:val="26"/>
          <w:szCs w:val="26"/>
        </w:rPr>
        <w:t> </w:t>
      </w:r>
      <w:r w:rsidRPr="5E04AD7D">
        <w:rPr>
          <w:rFonts w:ascii="Times New Roman" w:hAnsi="Times New Roman" w:cs="Times New Roman"/>
          <w:sz w:val="26"/>
          <w:szCs w:val="26"/>
        </w:rPr>
        <w:t>március végéig 247,0 milliárd forintot tett ki, amely 52,2 milliárd forinttal elmarad az előző év ezen időszakában átutalt összegtől.</w:t>
      </w:r>
    </w:p>
    <w:p w14:paraId="51F08DF7" w14:textId="6FA8B559" w:rsidR="009E34AE" w:rsidRPr="00377D59" w:rsidRDefault="5E04AD7D" w:rsidP="5E04AD7D">
      <w:pPr>
        <w:keepNext/>
        <w:numPr>
          <w:ilvl w:val="0"/>
          <w:numId w:val="3"/>
        </w:numPr>
        <w:spacing w:after="120" w:line="240" w:lineRule="auto"/>
        <w:jc w:val="both"/>
        <w:outlineLvl w:val="2"/>
        <w:rPr>
          <w:rFonts w:ascii="Times New Roman" w:eastAsia="Times New Roman" w:hAnsi="Times New Roman" w:cs="Times New Roman"/>
          <w:b/>
          <w:bCs/>
          <w:smallCaps/>
          <w:sz w:val="28"/>
          <w:szCs w:val="28"/>
          <w:lang w:eastAsia="hu-HU"/>
        </w:rPr>
      </w:pPr>
      <w:r w:rsidRPr="5E04AD7D">
        <w:rPr>
          <w:rFonts w:ascii="Times New Roman" w:eastAsia="Times New Roman" w:hAnsi="Times New Roman" w:cs="Times New Roman"/>
          <w:b/>
          <w:bCs/>
          <w:smallCaps/>
          <w:sz w:val="28"/>
          <w:szCs w:val="28"/>
          <w:lang w:eastAsia="hu-HU"/>
        </w:rPr>
        <w:lastRenderedPageBreak/>
        <w:t xml:space="preserve">A főbb kiadások </w:t>
      </w:r>
    </w:p>
    <w:p w14:paraId="1DF4301B" w14:textId="470CA773" w:rsidR="00215359" w:rsidRPr="00215359" w:rsidRDefault="5E04AD7D" w:rsidP="00215359">
      <w:pPr>
        <w:jc w:val="both"/>
        <w:rPr>
          <w:rFonts w:ascii="Times New Roman" w:eastAsia="Times New Roman" w:hAnsi="Times New Roman" w:cs="Times New Roman"/>
          <w:b/>
          <w:bCs/>
          <w:sz w:val="26"/>
          <w:szCs w:val="26"/>
          <w:lang w:eastAsia="hu-HU"/>
        </w:rPr>
      </w:pPr>
      <w:r w:rsidRPr="5E04AD7D">
        <w:rPr>
          <w:rFonts w:ascii="Times New Roman" w:eastAsia="Times New Roman" w:hAnsi="Times New Roman" w:cs="Times New Roman"/>
          <w:b/>
          <w:bCs/>
          <w:sz w:val="26"/>
          <w:szCs w:val="26"/>
          <w:lang w:eastAsia="hu-HU"/>
        </w:rPr>
        <w:t xml:space="preserve">A </w:t>
      </w:r>
      <w:r w:rsidR="00215359" w:rsidRPr="00215359">
        <w:rPr>
          <w:rFonts w:ascii="Times New Roman" w:eastAsia="Times New Roman" w:hAnsi="Times New Roman" w:cs="Times New Roman"/>
          <w:b/>
          <w:bCs/>
          <w:sz w:val="26"/>
          <w:szCs w:val="26"/>
          <w:lang w:eastAsia="hu-HU"/>
        </w:rPr>
        <w:t>központi alrendszer március végi 13</w:t>
      </w:r>
      <w:r w:rsidR="00215359">
        <w:rPr>
          <w:rFonts w:ascii="Times New Roman" w:eastAsia="Times New Roman" w:hAnsi="Times New Roman" w:cs="Times New Roman"/>
          <w:b/>
          <w:bCs/>
          <w:sz w:val="26"/>
          <w:szCs w:val="26"/>
          <w:lang w:eastAsia="hu-HU"/>
        </w:rPr>
        <w:t> </w:t>
      </w:r>
      <w:r w:rsidR="00215359" w:rsidRPr="00215359">
        <w:rPr>
          <w:rFonts w:ascii="Times New Roman" w:eastAsia="Times New Roman" w:hAnsi="Times New Roman" w:cs="Times New Roman"/>
          <w:b/>
          <w:bCs/>
          <w:sz w:val="26"/>
          <w:szCs w:val="26"/>
          <w:lang w:eastAsia="hu-HU"/>
        </w:rPr>
        <w:t>963,6 milliárd forint összegű kiadásai 2211,7</w:t>
      </w:r>
      <w:r w:rsidR="00215359">
        <w:rPr>
          <w:rFonts w:ascii="Times New Roman" w:eastAsia="Times New Roman" w:hAnsi="Times New Roman" w:cs="Times New Roman"/>
          <w:b/>
          <w:bCs/>
          <w:sz w:val="26"/>
          <w:szCs w:val="26"/>
          <w:lang w:eastAsia="hu-HU"/>
        </w:rPr>
        <w:t> </w:t>
      </w:r>
      <w:r w:rsidR="00215359" w:rsidRPr="00215359">
        <w:rPr>
          <w:rFonts w:ascii="Times New Roman" w:eastAsia="Times New Roman" w:hAnsi="Times New Roman" w:cs="Times New Roman"/>
          <w:b/>
          <w:bCs/>
          <w:sz w:val="26"/>
          <w:szCs w:val="26"/>
          <w:lang w:eastAsia="hu-HU"/>
        </w:rPr>
        <w:t xml:space="preserve">milliárd forinttal, 18,8%-kal haladták meg az előző év azonos időszaki adatát. </w:t>
      </w:r>
    </w:p>
    <w:p w14:paraId="3BE643E4" w14:textId="26FCACF7" w:rsidR="00215359" w:rsidRPr="00215359" w:rsidRDefault="00215359" w:rsidP="00215359">
      <w:pPr>
        <w:jc w:val="both"/>
        <w:rPr>
          <w:rFonts w:ascii="Times New Roman" w:eastAsia="Times New Roman" w:hAnsi="Times New Roman" w:cs="Times New Roman"/>
          <w:b/>
          <w:bCs/>
          <w:sz w:val="26"/>
          <w:szCs w:val="26"/>
          <w:lang w:eastAsia="hu-HU"/>
        </w:rPr>
      </w:pPr>
      <w:r w:rsidRPr="00215359">
        <w:rPr>
          <w:rFonts w:ascii="Times New Roman" w:eastAsia="Times New Roman" w:hAnsi="Times New Roman" w:cs="Times New Roman"/>
          <w:b/>
          <w:bCs/>
          <w:sz w:val="26"/>
          <w:szCs w:val="26"/>
          <w:lang w:eastAsia="hu-HU"/>
        </w:rPr>
        <w:t>Magasabban teljesültek az egy évvel korábbihoz képest többek között a költségvetési szervek kiadásai, a szakmai fejezeti kezelésű előirányzatok kiadásai, a</w:t>
      </w:r>
      <w:r>
        <w:rPr>
          <w:rFonts w:ascii="Times New Roman" w:eastAsia="Times New Roman" w:hAnsi="Times New Roman" w:cs="Times New Roman"/>
          <w:b/>
          <w:bCs/>
          <w:sz w:val="26"/>
          <w:szCs w:val="26"/>
          <w:lang w:eastAsia="hu-HU"/>
        </w:rPr>
        <w:t> </w:t>
      </w:r>
      <w:r w:rsidRPr="00215359">
        <w:rPr>
          <w:rFonts w:ascii="Times New Roman" w:eastAsia="Times New Roman" w:hAnsi="Times New Roman" w:cs="Times New Roman"/>
          <w:b/>
          <w:bCs/>
          <w:sz w:val="26"/>
          <w:szCs w:val="26"/>
          <w:lang w:eastAsia="hu-HU"/>
        </w:rPr>
        <w:t>lakástámogatások és az állami beruházási fejezet kiadásai.</w:t>
      </w:r>
    </w:p>
    <w:p w14:paraId="1660E392" w14:textId="268A77E4" w:rsidR="00F46F72" w:rsidRPr="00AA3374" w:rsidRDefault="00215359" w:rsidP="00215359">
      <w:pPr>
        <w:jc w:val="both"/>
        <w:rPr>
          <w:rFonts w:ascii="Times New Roman" w:hAnsi="Times New Roman" w:cs="Times New Roman"/>
          <w:b/>
          <w:bCs/>
          <w:sz w:val="26"/>
          <w:szCs w:val="26"/>
        </w:rPr>
      </w:pPr>
      <w:r w:rsidRPr="00215359">
        <w:rPr>
          <w:rFonts w:ascii="Times New Roman" w:eastAsia="Times New Roman" w:hAnsi="Times New Roman" w:cs="Times New Roman"/>
          <w:b/>
          <w:bCs/>
          <w:sz w:val="26"/>
          <w:szCs w:val="26"/>
          <w:lang w:eastAsia="hu-HU"/>
        </w:rPr>
        <w:t xml:space="preserve">Meghaladták az egy évvel korábbi kifizetést a nyugellátásokra és a gyógyító-megelőző ellátásra fordított összegek is. Nyugellátásokra </w:t>
      </w:r>
      <w:r w:rsidR="00FA52E5">
        <w:rPr>
          <w:rFonts w:ascii="Times New Roman" w:eastAsia="Times New Roman" w:hAnsi="Times New Roman" w:cs="Times New Roman"/>
          <w:b/>
          <w:bCs/>
          <w:sz w:val="26"/>
          <w:szCs w:val="26"/>
          <w:lang w:eastAsia="hu-HU"/>
        </w:rPr>
        <w:t xml:space="preserve">és nyugdíjszerű ellátásokra </w:t>
      </w:r>
      <w:r w:rsidRPr="00215359">
        <w:rPr>
          <w:rFonts w:ascii="Times New Roman" w:eastAsia="Times New Roman" w:hAnsi="Times New Roman" w:cs="Times New Roman"/>
          <w:b/>
          <w:bCs/>
          <w:sz w:val="26"/>
          <w:szCs w:val="26"/>
          <w:lang w:eastAsia="hu-HU"/>
        </w:rPr>
        <w:t>2</w:t>
      </w:r>
      <w:r w:rsidR="00FA52E5">
        <w:rPr>
          <w:rFonts w:ascii="Times New Roman" w:eastAsia="Times New Roman" w:hAnsi="Times New Roman" w:cs="Times New Roman"/>
          <w:b/>
          <w:bCs/>
          <w:sz w:val="26"/>
          <w:szCs w:val="26"/>
          <w:lang w:eastAsia="hu-HU"/>
        </w:rPr>
        <w:t>506,1</w:t>
      </w:r>
      <w:r w:rsidRPr="00215359">
        <w:rPr>
          <w:rFonts w:ascii="Times New Roman" w:eastAsia="Times New Roman" w:hAnsi="Times New Roman" w:cs="Times New Roman"/>
          <w:b/>
          <w:bCs/>
          <w:sz w:val="26"/>
          <w:szCs w:val="26"/>
          <w:lang w:eastAsia="hu-HU"/>
        </w:rPr>
        <w:t xml:space="preserve"> milliárd forint, míg a gyógyító-megelőző ellátásra 798,3 milliárd forint került kifizetésre március végéig</w:t>
      </w:r>
      <w:r w:rsidR="5E04AD7D" w:rsidRPr="5E04AD7D">
        <w:rPr>
          <w:rFonts w:ascii="Times New Roman" w:hAnsi="Times New Roman" w:cs="Times New Roman"/>
          <w:b/>
          <w:bCs/>
          <w:sz w:val="26"/>
          <w:szCs w:val="26"/>
        </w:rPr>
        <w:t>.</w:t>
      </w:r>
    </w:p>
    <w:p w14:paraId="71AFDEF8" w14:textId="6FDFCA02" w:rsidR="00C35E13" w:rsidRDefault="00527154" w:rsidP="003415FE">
      <w:pPr>
        <w:pStyle w:val="NormlWeb"/>
        <w:spacing w:after="0" w:afterAutospacing="0"/>
        <w:jc w:val="center"/>
      </w:pPr>
      <w:r w:rsidRPr="00527154">
        <w:rPr>
          <w:noProof/>
        </w:rPr>
        <w:drawing>
          <wp:inline distT="0" distB="0" distL="0" distR="0" wp14:anchorId="7755B43F" wp14:editId="1223946B">
            <wp:extent cx="5940110" cy="2529840"/>
            <wp:effectExtent l="0" t="0" r="3810" b="3810"/>
            <wp:docPr id="1069778067" name="Kép 1" descr="A képen diagram, kör, szöveg, képernyőkép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778067" name="Kép 1" descr="A képen diagram, kör, szöveg, képernyőkép látható&#10;&#10;Előfordulhat, hogy a mesterséges intelligencia által létrehozott tartalom helytelen."/>
                    <pic:cNvPicPr/>
                  </pic:nvPicPr>
                  <pic:blipFill>
                    <a:blip r:embed="rId18"/>
                    <a:stretch>
                      <a:fillRect/>
                    </a:stretch>
                  </pic:blipFill>
                  <pic:spPr>
                    <a:xfrm>
                      <a:off x="0" y="0"/>
                      <a:ext cx="5957725" cy="2537342"/>
                    </a:xfrm>
                    <a:prstGeom prst="rect">
                      <a:avLst/>
                    </a:prstGeom>
                  </pic:spPr>
                </pic:pic>
              </a:graphicData>
            </a:graphic>
          </wp:inline>
        </w:drawing>
      </w:r>
    </w:p>
    <w:p w14:paraId="53EF96F0" w14:textId="3B637F3C" w:rsidR="00371825" w:rsidRDefault="5E04AD7D" w:rsidP="5E04AD7D">
      <w:pPr>
        <w:jc w:val="both"/>
        <w:rPr>
          <w:rFonts w:ascii="Times New Roman" w:eastAsia="Times New Roman" w:hAnsi="Times New Roman" w:cs="Times New Roman"/>
          <w:sz w:val="26"/>
          <w:szCs w:val="26"/>
        </w:rPr>
      </w:pPr>
      <w:r w:rsidRPr="5E04AD7D">
        <w:rPr>
          <w:rFonts w:ascii="Times New Roman" w:eastAsia="Times New Roman" w:hAnsi="Times New Roman" w:cs="Times New Roman"/>
          <w:sz w:val="26"/>
          <w:szCs w:val="26"/>
        </w:rPr>
        <w:t xml:space="preserve">Az </w:t>
      </w:r>
      <w:r w:rsidRPr="5E04AD7D">
        <w:rPr>
          <w:rFonts w:ascii="Times New Roman" w:eastAsia="Times New Roman" w:hAnsi="Times New Roman" w:cs="Times New Roman"/>
          <w:b/>
          <w:bCs/>
          <w:sz w:val="26"/>
          <w:szCs w:val="26"/>
        </w:rPr>
        <w:t>úthálózat rendelkezésre állási díjak</w:t>
      </w:r>
      <w:r w:rsidRPr="5E04AD7D">
        <w:rPr>
          <w:rFonts w:ascii="Times New Roman" w:eastAsia="Times New Roman" w:hAnsi="Times New Roman" w:cs="Times New Roman"/>
          <w:sz w:val="26"/>
          <w:szCs w:val="26"/>
        </w:rPr>
        <w:t xml:space="preserve"> mérlegsor tartalmazza az M5, M6 autópálya rendelkezésre állási díjak, valamint a gyorsforgalmi úthálózat rendelkezésre állási díj előirányzatok kiadásait, amelynek összege 2026 első három hónapjában 98,3</w:t>
      </w:r>
      <w:r w:rsidR="00261087">
        <w:rPr>
          <w:rFonts w:ascii="Times New Roman" w:eastAsia="Times New Roman" w:hAnsi="Times New Roman" w:cs="Times New Roman"/>
          <w:sz w:val="26"/>
          <w:szCs w:val="26"/>
        </w:rPr>
        <w:t> </w:t>
      </w:r>
      <w:r w:rsidRPr="5E04AD7D">
        <w:rPr>
          <w:rFonts w:ascii="Times New Roman" w:eastAsia="Times New Roman" w:hAnsi="Times New Roman" w:cs="Times New Roman"/>
          <w:sz w:val="26"/>
          <w:szCs w:val="26"/>
        </w:rPr>
        <w:t>milliárd forint volt, ami 2,8 milliárd forinttal magasabb összegben teljesült a 2025. év azonos időszakához képest.</w:t>
      </w:r>
    </w:p>
    <w:p w14:paraId="2C5CA0F5" w14:textId="09E00571" w:rsidR="1FABBDF6" w:rsidRDefault="5E04AD7D" w:rsidP="5E04AD7D">
      <w:pPr>
        <w:jc w:val="both"/>
        <w:rPr>
          <w:rFonts w:ascii="Times New Roman" w:eastAsia="Times New Roman" w:hAnsi="Times New Roman" w:cs="Times New Roman"/>
          <w:sz w:val="26"/>
          <w:szCs w:val="26"/>
        </w:rPr>
      </w:pPr>
      <w:r w:rsidRPr="5E04AD7D">
        <w:rPr>
          <w:rFonts w:ascii="Times New Roman" w:eastAsia="Times New Roman" w:hAnsi="Times New Roman" w:cs="Times New Roman"/>
          <w:sz w:val="26"/>
          <w:szCs w:val="26"/>
        </w:rPr>
        <w:t xml:space="preserve">A </w:t>
      </w:r>
      <w:r w:rsidRPr="5E04AD7D">
        <w:rPr>
          <w:rFonts w:ascii="Times New Roman" w:eastAsia="Times New Roman" w:hAnsi="Times New Roman" w:cs="Times New Roman"/>
          <w:b/>
          <w:bCs/>
          <w:sz w:val="26"/>
          <w:szCs w:val="26"/>
        </w:rPr>
        <w:t>közösségi közlekedés költségtérítés és támogatás</w:t>
      </w:r>
      <w:r w:rsidRPr="5E04AD7D">
        <w:rPr>
          <w:rFonts w:ascii="Times New Roman" w:eastAsia="Times New Roman" w:hAnsi="Times New Roman" w:cs="Times New Roman"/>
          <w:sz w:val="26"/>
          <w:szCs w:val="26"/>
        </w:rPr>
        <w:t xml:space="preserve"> mérlegsor kiadásai 2026. március végéig 217,6 milliárd forintot tettek ki, amelyek magasabb teljesítést mutatnak az megelőző év azonos időszakának adataival összevetve.  Ennek oka, hogy az idei évben egyrészt több szerződés tekintetében korábban kezdődött meg a közlekedési közszolgáltatások költségtérítéseinek folyósítása, másrészt a 2025. április 1-je előtti régi buszos közszolgáltatási rendszer finanszírozása alapjaiban eltér az azt felváltó új autóbuszos koncessziós rendszertől. A mérlegsoron belül magasabb összegű kifizetés a</w:t>
      </w:r>
      <w:r w:rsidR="0002125B">
        <w:rPr>
          <w:rFonts w:ascii="Times New Roman" w:eastAsia="Times New Roman" w:hAnsi="Times New Roman" w:cs="Times New Roman"/>
          <w:sz w:val="26"/>
          <w:szCs w:val="26"/>
        </w:rPr>
        <w:t> </w:t>
      </w:r>
      <w:r w:rsidRPr="5E04AD7D">
        <w:rPr>
          <w:rFonts w:ascii="Times New Roman" w:eastAsia="Times New Roman" w:hAnsi="Times New Roman" w:cs="Times New Roman"/>
          <w:sz w:val="26"/>
          <w:szCs w:val="26"/>
        </w:rPr>
        <w:t xml:space="preserve">vasúti pályahálózat működtetésének költségtérítése és az autóbusszal végzett személyszállítási közszolgáltatások ellentételezése vonatkozásában történt. </w:t>
      </w:r>
    </w:p>
    <w:p w14:paraId="79E8C263" w14:textId="06A73CDA" w:rsidR="1FABBDF6" w:rsidRDefault="5E04AD7D" w:rsidP="5E04AD7D">
      <w:pPr>
        <w:jc w:val="both"/>
        <w:rPr>
          <w:rFonts w:ascii="Times New Roman" w:eastAsia="Times New Roman" w:hAnsi="Times New Roman" w:cs="Times New Roman"/>
          <w:sz w:val="26"/>
          <w:szCs w:val="26"/>
        </w:rPr>
      </w:pPr>
      <w:r w:rsidRPr="5E04AD7D">
        <w:rPr>
          <w:rFonts w:ascii="Times New Roman" w:eastAsia="Times New Roman" w:hAnsi="Times New Roman" w:cs="Times New Roman"/>
          <w:sz w:val="26"/>
          <w:szCs w:val="26"/>
        </w:rPr>
        <w:t xml:space="preserve">A </w:t>
      </w:r>
      <w:r w:rsidRPr="5E04AD7D">
        <w:rPr>
          <w:rFonts w:ascii="Times New Roman" w:eastAsia="Times New Roman" w:hAnsi="Times New Roman" w:cs="Times New Roman"/>
          <w:b/>
          <w:bCs/>
          <w:sz w:val="26"/>
          <w:szCs w:val="26"/>
        </w:rPr>
        <w:t>közüzemi szolgáltatások támogatása</w:t>
      </w:r>
      <w:r w:rsidRPr="5E04AD7D">
        <w:rPr>
          <w:rFonts w:ascii="Times New Roman" w:eastAsia="Times New Roman" w:hAnsi="Times New Roman" w:cs="Times New Roman"/>
          <w:sz w:val="26"/>
          <w:szCs w:val="26"/>
        </w:rPr>
        <w:t xml:space="preserve"> mérlegsor tartalmazza a lakossági energia rezsivédelmi szolgáltatás, a rezsivédelmi készletezési szolgáltatás és a távhőszolgáltatók kompenzációjával kapcsolatos kiadásokat, a Víziközmű-fejlesztési és Ellentételezési Alap kiadásait is, illetve ezen a mérlegsoron jelennek meg a januári rezsitöbblet átvállalásának </w:t>
      </w:r>
      <w:r w:rsidRPr="5E04AD7D">
        <w:rPr>
          <w:rFonts w:ascii="Times New Roman" w:eastAsia="Times New Roman" w:hAnsi="Times New Roman" w:cs="Times New Roman"/>
          <w:sz w:val="26"/>
          <w:szCs w:val="26"/>
        </w:rPr>
        <w:lastRenderedPageBreak/>
        <w:t>kiadásai is. A közüzemi szolgáltatások támogatására fordított kiadások 2026. március végéig 411,5 milliárd forintot tettek ki. A mérlegsor jelenlegi teljesítése 44,8 milliárd forinttal alacsonyabb, mint a 2025. év azonos időszakában a közüzemi szolgáltatások teljesítésére fordított 456,3 milliárd forint, amely a kifizetések eltérő ütemezéséből fakadt.</w:t>
      </w:r>
    </w:p>
    <w:p w14:paraId="79E44A54" w14:textId="08E538AF" w:rsidR="0F03D9E1" w:rsidRDefault="5E04AD7D" w:rsidP="5E04AD7D">
      <w:pPr>
        <w:jc w:val="both"/>
        <w:rPr>
          <w:rFonts w:ascii="Times New Roman" w:eastAsia="Times New Roman" w:hAnsi="Times New Roman" w:cs="Times New Roman"/>
          <w:sz w:val="26"/>
          <w:szCs w:val="26"/>
        </w:rPr>
      </w:pPr>
      <w:r w:rsidRPr="5E04AD7D">
        <w:rPr>
          <w:rFonts w:ascii="Times New Roman" w:eastAsia="Times New Roman" w:hAnsi="Times New Roman" w:cs="Times New Roman"/>
          <w:b/>
          <w:bCs/>
          <w:sz w:val="26"/>
          <w:szCs w:val="26"/>
          <w:lang w:eastAsia="hu-HU"/>
        </w:rPr>
        <w:t xml:space="preserve">Lakástámogatásokra </w:t>
      </w:r>
      <w:r w:rsidRPr="5E04AD7D">
        <w:rPr>
          <w:rFonts w:ascii="Times New Roman" w:eastAsia="Times New Roman" w:hAnsi="Times New Roman" w:cs="Times New Roman"/>
          <w:sz w:val="26"/>
          <w:szCs w:val="26"/>
        </w:rPr>
        <w:t>fordított kiadások összege március végéig 148,2 milliárd forint volt, mely az előző év azonos időszakához viszonyítva 111,8 milliárd forinttal teljesült magasabban az otthontámogatásokhoz kapcsolódó kifizetések miatt.</w:t>
      </w:r>
    </w:p>
    <w:p w14:paraId="671B8652" w14:textId="0AECDBF2" w:rsidR="1D3ABBAA" w:rsidRDefault="5E04AD7D" w:rsidP="1D3ABBAA">
      <w:pPr>
        <w:jc w:val="both"/>
      </w:pPr>
      <w:r w:rsidRPr="5E04AD7D">
        <w:rPr>
          <w:rFonts w:ascii="Times New Roman" w:eastAsia="Times New Roman" w:hAnsi="Times New Roman" w:cs="Times New Roman"/>
          <w:sz w:val="26"/>
          <w:szCs w:val="26"/>
        </w:rPr>
        <w:t xml:space="preserve">A </w:t>
      </w:r>
      <w:r w:rsidRPr="5E04AD7D">
        <w:rPr>
          <w:rFonts w:ascii="Times New Roman" w:eastAsia="Times New Roman" w:hAnsi="Times New Roman" w:cs="Times New Roman"/>
          <w:b/>
          <w:bCs/>
          <w:sz w:val="26"/>
          <w:szCs w:val="26"/>
        </w:rPr>
        <w:t>Nemzeti Család- és Szociálpolitikai Alap</w:t>
      </w:r>
      <w:r w:rsidRPr="5E04AD7D">
        <w:rPr>
          <w:rFonts w:ascii="Times New Roman" w:eastAsia="Times New Roman" w:hAnsi="Times New Roman" w:cs="Times New Roman"/>
          <w:sz w:val="26"/>
          <w:szCs w:val="26"/>
        </w:rPr>
        <w:t xml:space="preserve"> a családi támogatásokat, a korhatár alatti ellátásokat, a jövedelempótló és jövedelemkiegészítő szociális támogatásokat, valamint a különféle jogcímen adott térítéseket tartalmazza. A főbb támogatásokat a következő táblázat részletezi:</w:t>
      </w:r>
    </w:p>
    <w:p w14:paraId="46398944" w14:textId="2D482933" w:rsidR="00621840" w:rsidRDefault="5E04AD7D" w:rsidP="5E04AD7D">
      <w:pPr>
        <w:spacing w:after="240"/>
        <w:jc w:val="center"/>
        <w:rPr>
          <w:rFonts w:ascii="Times New Roman" w:hAnsi="Times New Roman" w:cs="Times New Roman"/>
          <w:b/>
          <w:bCs/>
          <w:color w:val="000000" w:themeColor="text1"/>
        </w:rPr>
      </w:pPr>
      <w:r w:rsidRPr="5E04AD7D">
        <w:rPr>
          <w:rFonts w:ascii="Times New Roman" w:hAnsi="Times New Roman" w:cs="Times New Roman"/>
          <w:b/>
          <w:bCs/>
          <w:color w:val="000000" w:themeColor="text1"/>
        </w:rPr>
        <w:t>A Nemzeti Család- és Szociálpolitikai Alap kiadásainak alakulása (milliárd forint)</w:t>
      </w:r>
    </w:p>
    <w:tbl>
      <w:tblPr>
        <w:tblW w:w="9238" w:type="dxa"/>
        <w:tblInd w:w="-5" w:type="dxa"/>
        <w:tblCellMar>
          <w:left w:w="70" w:type="dxa"/>
          <w:right w:w="70" w:type="dxa"/>
        </w:tblCellMar>
        <w:tblLook w:val="04A0" w:firstRow="1" w:lastRow="0" w:firstColumn="1" w:lastColumn="0" w:noHBand="0" w:noVBand="1"/>
      </w:tblPr>
      <w:tblGrid>
        <w:gridCol w:w="5720"/>
        <w:gridCol w:w="944"/>
        <w:gridCol w:w="991"/>
        <w:gridCol w:w="850"/>
        <w:gridCol w:w="733"/>
      </w:tblGrid>
      <w:tr w:rsidR="002E70D5" w:rsidRPr="002E70D5" w14:paraId="39BECF1A" w14:textId="77777777" w:rsidTr="28F9800E">
        <w:trPr>
          <w:trHeight w:val="280"/>
        </w:trPr>
        <w:tc>
          <w:tcPr>
            <w:tcW w:w="5720"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1CB091D6" w14:textId="77777777" w:rsidR="002E70D5" w:rsidRPr="002E70D5" w:rsidRDefault="5E04AD7D" w:rsidP="5E04AD7D">
            <w:pPr>
              <w:spacing w:after="0"/>
              <w:jc w:val="center"/>
              <w:rPr>
                <w:rFonts w:ascii="Times New Roman" w:hAnsi="Times New Roman" w:cs="Times New Roman"/>
                <w:b/>
                <w:bCs/>
                <w:color w:val="000000" w:themeColor="text1"/>
              </w:rPr>
            </w:pPr>
            <w:r w:rsidRPr="5E04AD7D">
              <w:rPr>
                <w:rFonts w:ascii="Times New Roman" w:hAnsi="Times New Roman" w:cs="Times New Roman"/>
                <w:b/>
                <w:bCs/>
                <w:color w:val="000000" w:themeColor="text1"/>
              </w:rPr>
              <w:t>Megnevezés</w:t>
            </w:r>
          </w:p>
        </w:tc>
        <w:tc>
          <w:tcPr>
            <w:tcW w:w="944"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6018B19" w14:textId="69784843" w:rsidR="002E70D5" w:rsidRPr="00BF0B23" w:rsidRDefault="28F9800E" w:rsidP="1D3ABBAA">
            <w:pPr>
              <w:spacing w:after="0"/>
              <w:jc w:val="center"/>
            </w:pPr>
            <w:r w:rsidRPr="28F9800E">
              <w:rPr>
                <w:rFonts w:ascii="Times New Roman" w:eastAsia="Times New Roman" w:hAnsi="Times New Roman" w:cs="Times New Roman"/>
                <w:b/>
                <w:bCs/>
              </w:rPr>
              <w:t xml:space="preserve">2025. </w:t>
            </w:r>
          </w:p>
          <w:p w14:paraId="3CD792E3" w14:textId="62864A66" w:rsidR="002E70D5" w:rsidRPr="00BF0B23" w:rsidRDefault="5E04AD7D" w:rsidP="5E04AD7D">
            <w:pPr>
              <w:spacing w:after="0"/>
              <w:jc w:val="center"/>
              <w:rPr>
                <w:rFonts w:ascii="Times New Roman" w:hAnsi="Times New Roman" w:cs="Times New Roman"/>
                <w:b/>
                <w:bCs/>
                <w:color w:val="000000" w:themeColor="text1"/>
              </w:rPr>
            </w:pPr>
            <w:r w:rsidRPr="5E04AD7D">
              <w:rPr>
                <w:rFonts w:ascii="Times New Roman" w:eastAsia="Times New Roman" w:hAnsi="Times New Roman" w:cs="Times New Roman"/>
                <w:b/>
                <w:bCs/>
              </w:rPr>
              <w:t>I-III. hó</w:t>
            </w:r>
          </w:p>
        </w:tc>
        <w:tc>
          <w:tcPr>
            <w:tcW w:w="991"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52AE7A1" w14:textId="478486E5" w:rsidR="002E70D5" w:rsidRPr="00BF0B23" w:rsidRDefault="5E04AD7D" w:rsidP="5E04AD7D">
            <w:pPr>
              <w:spacing w:after="0"/>
              <w:jc w:val="center"/>
              <w:rPr>
                <w:rFonts w:ascii="Times New Roman" w:hAnsi="Times New Roman" w:cs="Times New Roman"/>
                <w:b/>
                <w:bCs/>
                <w:color w:val="000000" w:themeColor="text1"/>
              </w:rPr>
            </w:pPr>
            <w:r w:rsidRPr="5E04AD7D">
              <w:rPr>
                <w:rFonts w:ascii="Times New Roman" w:eastAsia="Times New Roman" w:hAnsi="Times New Roman" w:cs="Times New Roman"/>
                <w:b/>
                <w:bCs/>
              </w:rPr>
              <w:t>2026.</w:t>
            </w:r>
            <w:r w:rsidR="136379A9">
              <w:br/>
            </w:r>
            <w:r w:rsidRPr="5E04AD7D">
              <w:rPr>
                <w:rFonts w:ascii="Times New Roman" w:eastAsia="Times New Roman" w:hAnsi="Times New Roman" w:cs="Times New Roman"/>
                <w:b/>
                <w:bCs/>
              </w:rPr>
              <w:t>I-III. hó</w:t>
            </w:r>
          </w:p>
        </w:tc>
        <w:tc>
          <w:tcPr>
            <w:tcW w:w="1583" w:type="dxa"/>
            <w:gridSpan w:val="2"/>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4A04EB2C" w14:textId="77777777" w:rsidR="002E70D5" w:rsidRPr="00BF0B23" w:rsidRDefault="5E04AD7D" w:rsidP="5E04AD7D">
            <w:pPr>
              <w:spacing w:after="0"/>
              <w:jc w:val="center"/>
              <w:rPr>
                <w:rFonts w:ascii="Times New Roman" w:hAnsi="Times New Roman" w:cs="Times New Roman"/>
                <w:b/>
                <w:bCs/>
                <w:color w:val="000000" w:themeColor="text1"/>
              </w:rPr>
            </w:pPr>
            <w:r w:rsidRPr="5E04AD7D">
              <w:rPr>
                <w:rFonts w:ascii="Times New Roman" w:hAnsi="Times New Roman" w:cs="Times New Roman"/>
                <w:b/>
                <w:bCs/>
                <w:color w:val="000000" w:themeColor="text1"/>
              </w:rPr>
              <w:t>Eltérés</w:t>
            </w:r>
          </w:p>
        </w:tc>
      </w:tr>
      <w:tr w:rsidR="002E70D5" w:rsidRPr="002E70D5" w14:paraId="6BE2994C" w14:textId="77777777" w:rsidTr="28F9800E">
        <w:trPr>
          <w:trHeight w:val="473"/>
        </w:trPr>
        <w:tc>
          <w:tcPr>
            <w:tcW w:w="5720" w:type="dxa"/>
            <w:vMerge/>
            <w:tcBorders>
              <w:top w:val="single" w:sz="4" w:space="0" w:color="auto"/>
              <w:left w:val="single" w:sz="4" w:space="0" w:color="auto"/>
              <w:bottom w:val="single" w:sz="4" w:space="0" w:color="000000"/>
              <w:right w:val="single" w:sz="4" w:space="0" w:color="auto"/>
            </w:tcBorders>
            <w:vAlign w:val="center"/>
            <w:hideMark/>
          </w:tcPr>
          <w:p w14:paraId="681BE34C" w14:textId="77777777" w:rsidR="002E70D5" w:rsidRPr="002E70D5" w:rsidRDefault="002E70D5" w:rsidP="00554C64">
            <w:pPr>
              <w:spacing w:after="0"/>
              <w:rPr>
                <w:rFonts w:ascii="Times New Roman" w:hAnsi="Times New Roman" w:cs="Times New Roman"/>
                <w:b/>
                <w:bCs/>
                <w:color w:val="000000"/>
              </w:rPr>
            </w:pPr>
          </w:p>
        </w:tc>
        <w:tc>
          <w:tcPr>
            <w:tcW w:w="944" w:type="dxa"/>
            <w:vMerge/>
            <w:tcBorders>
              <w:top w:val="single" w:sz="4" w:space="0" w:color="auto"/>
              <w:left w:val="single" w:sz="4" w:space="0" w:color="auto"/>
              <w:bottom w:val="single" w:sz="4" w:space="0" w:color="000000"/>
              <w:right w:val="single" w:sz="4" w:space="0" w:color="auto"/>
            </w:tcBorders>
            <w:vAlign w:val="center"/>
            <w:hideMark/>
          </w:tcPr>
          <w:p w14:paraId="10EBC60F" w14:textId="77777777" w:rsidR="002E70D5" w:rsidRPr="00BF0B23" w:rsidRDefault="002E70D5" w:rsidP="00554C64">
            <w:pPr>
              <w:spacing w:after="0"/>
              <w:rPr>
                <w:rFonts w:ascii="Times New Roman" w:hAnsi="Times New Roman" w:cs="Times New Roman"/>
                <w:b/>
                <w:bCs/>
                <w:color w:val="000000"/>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4019F30F" w14:textId="77777777" w:rsidR="002E70D5" w:rsidRPr="00BF0B23" w:rsidRDefault="002E70D5" w:rsidP="00554C64">
            <w:pPr>
              <w:spacing w:after="0"/>
              <w:rPr>
                <w:rFonts w:ascii="Times New Roman" w:hAnsi="Times New Roman" w:cs="Times New Roman"/>
                <w:b/>
                <w:bCs/>
                <w:color w:val="000000"/>
              </w:rPr>
            </w:pPr>
          </w:p>
        </w:tc>
        <w:tc>
          <w:tcPr>
            <w:tcW w:w="850"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3E8E5679" w14:textId="77777777" w:rsidR="002E70D5" w:rsidRPr="00BF0B23" w:rsidRDefault="5E04AD7D" w:rsidP="5E04AD7D">
            <w:pPr>
              <w:spacing w:after="0"/>
              <w:jc w:val="center"/>
              <w:rPr>
                <w:rFonts w:ascii="Times New Roman" w:hAnsi="Times New Roman" w:cs="Times New Roman"/>
                <w:b/>
                <w:bCs/>
                <w:color w:val="000000" w:themeColor="text1"/>
              </w:rPr>
            </w:pPr>
            <w:r w:rsidRPr="5E04AD7D">
              <w:rPr>
                <w:rFonts w:ascii="Times New Roman" w:hAnsi="Times New Roman" w:cs="Times New Roman"/>
                <w:b/>
                <w:bCs/>
                <w:color w:val="000000" w:themeColor="text1"/>
              </w:rPr>
              <w:t>Mrd Ft</w:t>
            </w:r>
          </w:p>
        </w:tc>
        <w:tc>
          <w:tcPr>
            <w:tcW w:w="733"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7598397E" w14:textId="77777777" w:rsidR="002E70D5" w:rsidRPr="00BF0B23" w:rsidRDefault="5E04AD7D" w:rsidP="5E04AD7D">
            <w:pPr>
              <w:spacing w:after="0"/>
              <w:jc w:val="center"/>
              <w:rPr>
                <w:rFonts w:ascii="Times New Roman" w:hAnsi="Times New Roman" w:cs="Times New Roman"/>
                <w:b/>
                <w:bCs/>
                <w:color w:val="000000" w:themeColor="text1"/>
              </w:rPr>
            </w:pPr>
            <w:r w:rsidRPr="5E04AD7D">
              <w:rPr>
                <w:rFonts w:ascii="Times New Roman" w:hAnsi="Times New Roman" w:cs="Times New Roman"/>
                <w:b/>
                <w:bCs/>
                <w:color w:val="000000" w:themeColor="text1"/>
              </w:rPr>
              <w:t>%</w:t>
            </w:r>
          </w:p>
        </w:tc>
      </w:tr>
      <w:tr w:rsidR="00374988" w:rsidRPr="002E70D5" w14:paraId="79BDD8E7" w14:textId="77777777" w:rsidTr="28F9800E">
        <w:trPr>
          <w:trHeight w:val="218"/>
        </w:trPr>
        <w:tc>
          <w:tcPr>
            <w:tcW w:w="5720" w:type="dxa"/>
            <w:tcBorders>
              <w:top w:val="nil"/>
              <w:left w:val="single" w:sz="4" w:space="0" w:color="auto"/>
              <w:bottom w:val="single" w:sz="4" w:space="0" w:color="auto"/>
              <w:right w:val="single" w:sz="4" w:space="0" w:color="auto"/>
            </w:tcBorders>
            <w:noWrap/>
            <w:vAlign w:val="bottom"/>
            <w:hideMark/>
          </w:tcPr>
          <w:p w14:paraId="6F1FE2A1" w14:textId="77777777" w:rsidR="00374988" w:rsidRPr="002E70D5" w:rsidRDefault="5E04AD7D" w:rsidP="5E04AD7D">
            <w:pPr>
              <w:spacing w:after="0"/>
              <w:rPr>
                <w:rFonts w:ascii="Times New Roman" w:hAnsi="Times New Roman" w:cs="Times New Roman"/>
                <w:b/>
                <w:bCs/>
                <w:color w:val="000000" w:themeColor="text1"/>
                <w:sz w:val="20"/>
                <w:szCs w:val="20"/>
              </w:rPr>
            </w:pPr>
            <w:r w:rsidRPr="5E04AD7D">
              <w:rPr>
                <w:rFonts w:ascii="Times New Roman" w:hAnsi="Times New Roman" w:cs="Times New Roman"/>
                <w:b/>
                <w:bCs/>
                <w:color w:val="000000" w:themeColor="text1"/>
                <w:sz w:val="20"/>
                <w:szCs w:val="20"/>
              </w:rPr>
              <w:t>Családi támogatások</w:t>
            </w:r>
          </w:p>
        </w:tc>
        <w:tc>
          <w:tcPr>
            <w:tcW w:w="944" w:type="dxa"/>
            <w:tcBorders>
              <w:top w:val="single" w:sz="4" w:space="0" w:color="auto"/>
              <w:left w:val="single" w:sz="4" w:space="0" w:color="auto"/>
              <w:bottom w:val="single" w:sz="4" w:space="0" w:color="auto"/>
              <w:right w:val="single" w:sz="4" w:space="0" w:color="auto"/>
            </w:tcBorders>
            <w:noWrap/>
            <w:vAlign w:val="bottom"/>
            <w:hideMark/>
          </w:tcPr>
          <w:p w14:paraId="35463B97" w14:textId="302FFB9C" w:rsidR="00374988" w:rsidRPr="00374988" w:rsidRDefault="28F9800E" w:rsidP="28F9800E">
            <w:pPr>
              <w:spacing w:after="0"/>
              <w:jc w:val="right"/>
              <w:rPr>
                <w:rFonts w:ascii="Times New Roman" w:hAnsi="Times New Roman" w:cs="Times New Roman"/>
                <w:b/>
                <w:bCs/>
                <w:sz w:val="20"/>
                <w:szCs w:val="20"/>
              </w:rPr>
            </w:pPr>
            <w:r w:rsidRPr="28F9800E">
              <w:rPr>
                <w:rFonts w:ascii="Times New Roman" w:hAnsi="Times New Roman" w:cs="Times New Roman"/>
                <w:b/>
                <w:bCs/>
                <w:sz w:val="20"/>
                <w:szCs w:val="20"/>
              </w:rPr>
              <w:t>102,9</w:t>
            </w:r>
          </w:p>
        </w:tc>
        <w:tc>
          <w:tcPr>
            <w:tcW w:w="991" w:type="dxa"/>
            <w:tcBorders>
              <w:top w:val="single" w:sz="4" w:space="0" w:color="auto"/>
              <w:left w:val="nil"/>
              <w:bottom w:val="single" w:sz="4" w:space="0" w:color="auto"/>
              <w:right w:val="single" w:sz="4" w:space="0" w:color="auto"/>
            </w:tcBorders>
            <w:noWrap/>
            <w:vAlign w:val="bottom"/>
            <w:hideMark/>
          </w:tcPr>
          <w:p w14:paraId="6268E87E" w14:textId="15148A0B" w:rsidR="00374988" w:rsidRPr="00374988" w:rsidRDefault="28F9800E" w:rsidP="28F9800E">
            <w:pPr>
              <w:spacing w:after="0"/>
              <w:jc w:val="right"/>
              <w:rPr>
                <w:rFonts w:ascii="Times New Roman" w:hAnsi="Times New Roman" w:cs="Times New Roman"/>
                <w:b/>
                <w:bCs/>
                <w:sz w:val="20"/>
                <w:szCs w:val="20"/>
              </w:rPr>
            </w:pPr>
            <w:r w:rsidRPr="28F9800E">
              <w:rPr>
                <w:rFonts w:ascii="Times New Roman" w:hAnsi="Times New Roman" w:cs="Times New Roman"/>
                <w:b/>
                <w:bCs/>
                <w:sz w:val="20"/>
                <w:szCs w:val="20"/>
              </w:rPr>
              <w:t>101,7</w:t>
            </w:r>
          </w:p>
        </w:tc>
        <w:tc>
          <w:tcPr>
            <w:tcW w:w="850" w:type="dxa"/>
            <w:tcBorders>
              <w:top w:val="single" w:sz="4" w:space="0" w:color="auto"/>
              <w:left w:val="nil"/>
              <w:bottom w:val="single" w:sz="4" w:space="0" w:color="auto"/>
              <w:right w:val="single" w:sz="4" w:space="0" w:color="auto"/>
            </w:tcBorders>
            <w:noWrap/>
            <w:vAlign w:val="bottom"/>
            <w:hideMark/>
          </w:tcPr>
          <w:p w14:paraId="6DAC2567" w14:textId="09F87EED" w:rsidR="00374988" w:rsidRPr="00374988" w:rsidRDefault="28F9800E" w:rsidP="28F9800E">
            <w:pPr>
              <w:spacing w:after="0"/>
              <w:jc w:val="right"/>
              <w:rPr>
                <w:rFonts w:ascii="Times New Roman" w:hAnsi="Times New Roman" w:cs="Times New Roman"/>
                <w:b/>
                <w:bCs/>
                <w:sz w:val="20"/>
                <w:szCs w:val="20"/>
              </w:rPr>
            </w:pPr>
            <w:r w:rsidRPr="28F9800E">
              <w:rPr>
                <w:rFonts w:ascii="Times New Roman" w:hAnsi="Times New Roman" w:cs="Times New Roman"/>
                <w:b/>
                <w:bCs/>
                <w:sz w:val="20"/>
                <w:szCs w:val="20"/>
              </w:rPr>
              <w:t>-1,2</w:t>
            </w:r>
          </w:p>
        </w:tc>
        <w:tc>
          <w:tcPr>
            <w:tcW w:w="733" w:type="dxa"/>
            <w:tcBorders>
              <w:top w:val="single" w:sz="4" w:space="0" w:color="auto"/>
              <w:left w:val="nil"/>
              <w:bottom w:val="single" w:sz="4" w:space="0" w:color="auto"/>
              <w:right w:val="single" w:sz="4" w:space="0" w:color="auto"/>
            </w:tcBorders>
            <w:noWrap/>
            <w:vAlign w:val="bottom"/>
            <w:hideMark/>
          </w:tcPr>
          <w:p w14:paraId="0023D563" w14:textId="40B84E71" w:rsidR="00374988" w:rsidRPr="00374988" w:rsidRDefault="28F9800E" w:rsidP="28F9800E">
            <w:pPr>
              <w:spacing w:after="0"/>
              <w:jc w:val="right"/>
              <w:rPr>
                <w:rFonts w:ascii="Times New Roman" w:hAnsi="Times New Roman" w:cs="Times New Roman"/>
                <w:b/>
                <w:bCs/>
                <w:sz w:val="20"/>
                <w:szCs w:val="20"/>
              </w:rPr>
            </w:pPr>
            <w:r w:rsidRPr="28F9800E">
              <w:rPr>
                <w:rFonts w:ascii="Times New Roman" w:hAnsi="Times New Roman" w:cs="Times New Roman"/>
                <w:b/>
                <w:bCs/>
                <w:sz w:val="20"/>
                <w:szCs w:val="20"/>
              </w:rPr>
              <w:t>98,8</w:t>
            </w:r>
          </w:p>
        </w:tc>
      </w:tr>
      <w:tr w:rsidR="00374988" w:rsidRPr="002E70D5" w14:paraId="5AF1064F" w14:textId="77777777" w:rsidTr="28F9800E">
        <w:trPr>
          <w:trHeight w:val="218"/>
        </w:trPr>
        <w:tc>
          <w:tcPr>
            <w:tcW w:w="5720" w:type="dxa"/>
            <w:tcBorders>
              <w:top w:val="nil"/>
              <w:left w:val="single" w:sz="4" w:space="0" w:color="auto"/>
              <w:bottom w:val="single" w:sz="4" w:space="0" w:color="auto"/>
              <w:right w:val="single" w:sz="4" w:space="0" w:color="auto"/>
            </w:tcBorders>
            <w:noWrap/>
            <w:vAlign w:val="bottom"/>
            <w:hideMark/>
          </w:tcPr>
          <w:p w14:paraId="033720FE" w14:textId="77777777" w:rsidR="00374988" w:rsidRPr="002E70D5" w:rsidRDefault="5E04AD7D" w:rsidP="5E04AD7D">
            <w:pPr>
              <w:spacing w:after="0"/>
              <w:ind w:firstLineChars="100" w:firstLine="200"/>
              <w:rPr>
                <w:rFonts w:ascii="Times New Roman" w:hAnsi="Times New Roman" w:cs="Times New Roman"/>
                <w:i/>
                <w:iCs/>
                <w:color w:val="000000" w:themeColor="text1"/>
                <w:sz w:val="20"/>
                <w:szCs w:val="20"/>
              </w:rPr>
            </w:pPr>
            <w:r w:rsidRPr="5E04AD7D">
              <w:rPr>
                <w:rFonts w:ascii="Times New Roman" w:hAnsi="Times New Roman" w:cs="Times New Roman"/>
                <w:i/>
                <w:iCs/>
                <w:color w:val="000000" w:themeColor="text1"/>
                <w:sz w:val="20"/>
                <w:szCs w:val="20"/>
              </w:rPr>
              <w:t>Ebből:</w:t>
            </w:r>
          </w:p>
        </w:tc>
        <w:tc>
          <w:tcPr>
            <w:tcW w:w="944" w:type="dxa"/>
            <w:tcBorders>
              <w:top w:val="nil"/>
              <w:left w:val="single" w:sz="4" w:space="0" w:color="auto"/>
              <w:bottom w:val="single" w:sz="4" w:space="0" w:color="auto"/>
              <w:right w:val="single" w:sz="4" w:space="0" w:color="auto"/>
            </w:tcBorders>
            <w:noWrap/>
            <w:vAlign w:val="bottom"/>
            <w:hideMark/>
          </w:tcPr>
          <w:p w14:paraId="74F95091" w14:textId="4590963A" w:rsidR="00374988" w:rsidRPr="00374988" w:rsidRDefault="28F9800E" w:rsidP="28F9800E">
            <w:pPr>
              <w:spacing w:after="0"/>
              <w:jc w:val="right"/>
              <w:rPr>
                <w:rFonts w:ascii="Times New Roman" w:hAnsi="Times New Roman" w:cs="Times New Roman"/>
                <w:sz w:val="20"/>
                <w:szCs w:val="20"/>
              </w:rPr>
            </w:pPr>
            <w:r w:rsidRPr="28F9800E">
              <w:rPr>
                <w:rFonts w:ascii="Times New Roman" w:hAnsi="Times New Roman" w:cs="Times New Roman"/>
                <w:sz w:val="20"/>
                <w:szCs w:val="20"/>
              </w:rPr>
              <w:t> </w:t>
            </w:r>
          </w:p>
        </w:tc>
        <w:tc>
          <w:tcPr>
            <w:tcW w:w="991" w:type="dxa"/>
            <w:tcBorders>
              <w:top w:val="nil"/>
              <w:left w:val="nil"/>
              <w:bottom w:val="single" w:sz="4" w:space="0" w:color="auto"/>
              <w:right w:val="single" w:sz="4" w:space="0" w:color="auto"/>
            </w:tcBorders>
            <w:noWrap/>
            <w:vAlign w:val="bottom"/>
            <w:hideMark/>
          </w:tcPr>
          <w:p w14:paraId="1B94AF89" w14:textId="6913A339" w:rsidR="00374988" w:rsidRPr="00374988" w:rsidRDefault="28F9800E" w:rsidP="28F9800E">
            <w:pPr>
              <w:spacing w:after="0"/>
              <w:jc w:val="right"/>
              <w:rPr>
                <w:rFonts w:ascii="Times New Roman" w:hAnsi="Times New Roman" w:cs="Times New Roman"/>
                <w:sz w:val="20"/>
                <w:szCs w:val="20"/>
              </w:rPr>
            </w:pPr>
            <w:r w:rsidRPr="28F9800E">
              <w:rPr>
                <w:rFonts w:ascii="Times New Roman" w:hAnsi="Times New Roman" w:cs="Times New Roman"/>
                <w:sz w:val="20"/>
                <w:szCs w:val="20"/>
              </w:rPr>
              <w:t> </w:t>
            </w:r>
          </w:p>
        </w:tc>
        <w:tc>
          <w:tcPr>
            <w:tcW w:w="850" w:type="dxa"/>
            <w:tcBorders>
              <w:top w:val="nil"/>
              <w:left w:val="nil"/>
              <w:bottom w:val="single" w:sz="4" w:space="0" w:color="auto"/>
              <w:right w:val="single" w:sz="4" w:space="0" w:color="auto"/>
            </w:tcBorders>
            <w:noWrap/>
            <w:vAlign w:val="bottom"/>
            <w:hideMark/>
          </w:tcPr>
          <w:p w14:paraId="321ED1B1" w14:textId="3F4F8FB1" w:rsidR="00374988" w:rsidRPr="00374988" w:rsidRDefault="28F9800E" w:rsidP="28F9800E">
            <w:pPr>
              <w:spacing w:after="0"/>
              <w:jc w:val="right"/>
              <w:rPr>
                <w:rFonts w:ascii="Times New Roman" w:hAnsi="Times New Roman" w:cs="Times New Roman"/>
                <w:sz w:val="20"/>
                <w:szCs w:val="20"/>
              </w:rPr>
            </w:pPr>
            <w:r w:rsidRPr="28F9800E">
              <w:rPr>
                <w:rFonts w:ascii="Times New Roman" w:hAnsi="Times New Roman" w:cs="Times New Roman"/>
                <w:sz w:val="20"/>
                <w:szCs w:val="20"/>
              </w:rPr>
              <w:t> </w:t>
            </w:r>
          </w:p>
        </w:tc>
        <w:tc>
          <w:tcPr>
            <w:tcW w:w="733" w:type="dxa"/>
            <w:tcBorders>
              <w:top w:val="nil"/>
              <w:left w:val="nil"/>
              <w:bottom w:val="single" w:sz="4" w:space="0" w:color="auto"/>
              <w:right w:val="single" w:sz="4" w:space="0" w:color="auto"/>
            </w:tcBorders>
            <w:noWrap/>
            <w:vAlign w:val="bottom"/>
            <w:hideMark/>
          </w:tcPr>
          <w:p w14:paraId="635F529C" w14:textId="7134DA12" w:rsidR="00374988" w:rsidRPr="00374988" w:rsidRDefault="28F9800E" w:rsidP="28F9800E">
            <w:pPr>
              <w:spacing w:after="0"/>
              <w:jc w:val="right"/>
              <w:rPr>
                <w:rFonts w:ascii="Times New Roman" w:hAnsi="Times New Roman" w:cs="Times New Roman"/>
                <w:sz w:val="20"/>
                <w:szCs w:val="20"/>
              </w:rPr>
            </w:pPr>
            <w:r w:rsidRPr="28F9800E">
              <w:rPr>
                <w:rFonts w:ascii="Times New Roman" w:hAnsi="Times New Roman" w:cs="Times New Roman"/>
                <w:sz w:val="20"/>
                <w:szCs w:val="20"/>
              </w:rPr>
              <w:t> </w:t>
            </w:r>
          </w:p>
        </w:tc>
      </w:tr>
      <w:tr w:rsidR="00374988" w:rsidRPr="002E70D5" w14:paraId="189AA6D7" w14:textId="77777777" w:rsidTr="28F9800E">
        <w:trPr>
          <w:trHeight w:val="218"/>
        </w:trPr>
        <w:tc>
          <w:tcPr>
            <w:tcW w:w="5720" w:type="dxa"/>
            <w:tcBorders>
              <w:top w:val="nil"/>
              <w:left w:val="single" w:sz="4" w:space="0" w:color="auto"/>
              <w:bottom w:val="single" w:sz="4" w:space="0" w:color="auto"/>
              <w:right w:val="single" w:sz="4" w:space="0" w:color="auto"/>
            </w:tcBorders>
            <w:noWrap/>
            <w:vAlign w:val="bottom"/>
            <w:hideMark/>
          </w:tcPr>
          <w:p w14:paraId="6B8BE428" w14:textId="77777777" w:rsidR="00374988" w:rsidRPr="002E70D5" w:rsidRDefault="5E04AD7D" w:rsidP="5E04AD7D">
            <w:pPr>
              <w:spacing w:after="0"/>
              <w:ind w:firstLineChars="400" w:firstLine="800"/>
              <w:rPr>
                <w:rFonts w:ascii="Times New Roman" w:hAnsi="Times New Roman" w:cs="Times New Roman"/>
                <w:i/>
                <w:iCs/>
                <w:color w:val="000000" w:themeColor="text1"/>
                <w:sz w:val="20"/>
                <w:szCs w:val="20"/>
              </w:rPr>
            </w:pPr>
            <w:r w:rsidRPr="5E04AD7D">
              <w:rPr>
                <w:rFonts w:ascii="Times New Roman" w:hAnsi="Times New Roman" w:cs="Times New Roman"/>
                <w:i/>
                <w:iCs/>
                <w:color w:val="000000" w:themeColor="text1"/>
                <w:sz w:val="20"/>
                <w:szCs w:val="20"/>
              </w:rPr>
              <w:t>családi pótlék</w:t>
            </w:r>
          </w:p>
        </w:tc>
        <w:tc>
          <w:tcPr>
            <w:tcW w:w="944" w:type="dxa"/>
            <w:tcBorders>
              <w:top w:val="nil"/>
              <w:left w:val="single" w:sz="4" w:space="0" w:color="auto"/>
              <w:bottom w:val="single" w:sz="4" w:space="0" w:color="auto"/>
              <w:right w:val="single" w:sz="4" w:space="0" w:color="auto"/>
            </w:tcBorders>
            <w:noWrap/>
            <w:vAlign w:val="bottom"/>
            <w:hideMark/>
          </w:tcPr>
          <w:p w14:paraId="70BCBC1A" w14:textId="20B2B12D" w:rsidR="00374988" w:rsidRPr="00374988" w:rsidRDefault="28F9800E" w:rsidP="28F9800E">
            <w:pPr>
              <w:spacing w:after="0"/>
              <w:jc w:val="right"/>
              <w:rPr>
                <w:rFonts w:ascii="Times New Roman" w:hAnsi="Times New Roman" w:cs="Times New Roman"/>
                <w:sz w:val="20"/>
                <w:szCs w:val="20"/>
              </w:rPr>
            </w:pPr>
            <w:r w:rsidRPr="28F9800E">
              <w:rPr>
                <w:rFonts w:ascii="Times New Roman" w:hAnsi="Times New Roman" w:cs="Times New Roman"/>
                <w:sz w:val="20"/>
                <w:szCs w:val="20"/>
              </w:rPr>
              <w:t>75,5</w:t>
            </w:r>
          </w:p>
        </w:tc>
        <w:tc>
          <w:tcPr>
            <w:tcW w:w="991" w:type="dxa"/>
            <w:tcBorders>
              <w:top w:val="nil"/>
              <w:left w:val="nil"/>
              <w:bottom w:val="single" w:sz="4" w:space="0" w:color="auto"/>
              <w:right w:val="single" w:sz="4" w:space="0" w:color="auto"/>
            </w:tcBorders>
            <w:noWrap/>
            <w:vAlign w:val="bottom"/>
            <w:hideMark/>
          </w:tcPr>
          <w:p w14:paraId="13892F1A" w14:textId="32DE64E0" w:rsidR="00374988" w:rsidRPr="00374988" w:rsidRDefault="28F9800E" w:rsidP="28F9800E">
            <w:pPr>
              <w:spacing w:after="0"/>
              <w:jc w:val="right"/>
              <w:rPr>
                <w:rFonts w:ascii="Times New Roman" w:hAnsi="Times New Roman" w:cs="Times New Roman"/>
                <w:sz w:val="20"/>
                <w:szCs w:val="20"/>
              </w:rPr>
            </w:pPr>
            <w:r w:rsidRPr="28F9800E">
              <w:rPr>
                <w:rFonts w:ascii="Times New Roman" w:hAnsi="Times New Roman" w:cs="Times New Roman"/>
                <w:sz w:val="20"/>
                <w:szCs w:val="20"/>
              </w:rPr>
              <w:t>74,3</w:t>
            </w:r>
          </w:p>
        </w:tc>
        <w:tc>
          <w:tcPr>
            <w:tcW w:w="850" w:type="dxa"/>
            <w:tcBorders>
              <w:top w:val="nil"/>
              <w:left w:val="nil"/>
              <w:bottom w:val="single" w:sz="4" w:space="0" w:color="auto"/>
              <w:right w:val="single" w:sz="4" w:space="0" w:color="auto"/>
            </w:tcBorders>
            <w:noWrap/>
            <w:vAlign w:val="bottom"/>
            <w:hideMark/>
          </w:tcPr>
          <w:p w14:paraId="10E0C374" w14:textId="47C2F4B2" w:rsidR="00374988" w:rsidRPr="00374988" w:rsidRDefault="28F9800E" w:rsidP="28F9800E">
            <w:pPr>
              <w:spacing w:after="0"/>
              <w:jc w:val="right"/>
              <w:rPr>
                <w:rFonts w:ascii="Times New Roman" w:hAnsi="Times New Roman" w:cs="Times New Roman"/>
                <w:sz w:val="20"/>
                <w:szCs w:val="20"/>
              </w:rPr>
            </w:pPr>
            <w:r w:rsidRPr="28F9800E">
              <w:rPr>
                <w:rFonts w:ascii="Times New Roman" w:hAnsi="Times New Roman" w:cs="Times New Roman"/>
                <w:sz w:val="20"/>
                <w:szCs w:val="20"/>
              </w:rPr>
              <w:t>-1,2</w:t>
            </w:r>
          </w:p>
        </w:tc>
        <w:tc>
          <w:tcPr>
            <w:tcW w:w="733" w:type="dxa"/>
            <w:tcBorders>
              <w:top w:val="nil"/>
              <w:left w:val="nil"/>
              <w:bottom w:val="single" w:sz="4" w:space="0" w:color="auto"/>
              <w:right w:val="single" w:sz="4" w:space="0" w:color="auto"/>
            </w:tcBorders>
            <w:noWrap/>
            <w:vAlign w:val="bottom"/>
            <w:hideMark/>
          </w:tcPr>
          <w:p w14:paraId="19B6E5CD" w14:textId="1F31EB80" w:rsidR="00374988" w:rsidRPr="00374988" w:rsidRDefault="28F9800E" w:rsidP="28F9800E">
            <w:pPr>
              <w:spacing w:after="0"/>
              <w:jc w:val="right"/>
              <w:rPr>
                <w:rFonts w:ascii="Times New Roman" w:hAnsi="Times New Roman" w:cs="Times New Roman"/>
                <w:sz w:val="20"/>
                <w:szCs w:val="20"/>
              </w:rPr>
            </w:pPr>
            <w:r w:rsidRPr="28F9800E">
              <w:rPr>
                <w:rFonts w:ascii="Times New Roman" w:hAnsi="Times New Roman" w:cs="Times New Roman"/>
                <w:sz w:val="20"/>
                <w:szCs w:val="20"/>
              </w:rPr>
              <w:t>98,4</w:t>
            </w:r>
          </w:p>
        </w:tc>
      </w:tr>
      <w:tr w:rsidR="00374988" w:rsidRPr="002E70D5" w14:paraId="5E22A8DD" w14:textId="77777777" w:rsidTr="28F9800E">
        <w:trPr>
          <w:trHeight w:val="218"/>
        </w:trPr>
        <w:tc>
          <w:tcPr>
            <w:tcW w:w="5720" w:type="dxa"/>
            <w:tcBorders>
              <w:top w:val="nil"/>
              <w:left w:val="single" w:sz="4" w:space="0" w:color="auto"/>
              <w:bottom w:val="single" w:sz="4" w:space="0" w:color="auto"/>
              <w:right w:val="single" w:sz="4" w:space="0" w:color="auto"/>
            </w:tcBorders>
            <w:noWrap/>
            <w:vAlign w:val="bottom"/>
            <w:hideMark/>
          </w:tcPr>
          <w:p w14:paraId="7FFF56E0" w14:textId="77777777" w:rsidR="00374988" w:rsidRPr="002E70D5" w:rsidRDefault="5E04AD7D" w:rsidP="5E04AD7D">
            <w:pPr>
              <w:spacing w:after="0"/>
              <w:ind w:firstLineChars="400" w:firstLine="800"/>
              <w:rPr>
                <w:rFonts w:ascii="Times New Roman" w:hAnsi="Times New Roman" w:cs="Times New Roman"/>
                <w:i/>
                <w:iCs/>
                <w:color w:val="000000" w:themeColor="text1"/>
                <w:sz w:val="20"/>
                <w:szCs w:val="20"/>
              </w:rPr>
            </w:pPr>
            <w:r w:rsidRPr="5E04AD7D">
              <w:rPr>
                <w:rFonts w:ascii="Times New Roman" w:hAnsi="Times New Roman" w:cs="Times New Roman"/>
                <w:i/>
                <w:iCs/>
                <w:color w:val="000000" w:themeColor="text1"/>
                <w:sz w:val="20"/>
                <w:szCs w:val="20"/>
              </w:rPr>
              <w:t>anyasági támogatás</w:t>
            </w:r>
          </w:p>
        </w:tc>
        <w:tc>
          <w:tcPr>
            <w:tcW w:w="944" w:type="dxa"/>
            <w:tcBorders>
              <w:top w:val="nil"/>
              <w:left w:val="single" w:sz="4" w:space="0" w:color="auto"/>
              <w:bottom w:val="single" w:sz="4" w:space="0" w:color="auto"/>
              <w:right w:val="single" w:sz="4" w:space="0" w:color="auto"/>
            </w:tcBorders>
            <w:noWrap/>
            <w:vAlign w:val="bottom"/>
            <w:hideMark/>
          </w:tcPr>
          <w:p w14:paraId="01B4C83D" w14:textId="27D03F1E" w:rsidR="00374988" w:rsidRPr="00374988" w:rsidRDefault="28F9800E" w:rsidP="28F9800E">
            <w:pPr>
              <w:spacing w:after="0"/>
              <w:jc w:val="right"/>
              <w:rPr>
                <w:rFonts w:ascii="Times New Roman" w:hAnsi="Times New Roman" w:cs="Times New Roman"/>
                <w:sz w:val="20"/>
                <w:szCs w:val="20"/>
              </w:rPr>
            </w:pPr>
            <w:r w:rsidRPr="28F9800E">
              <w:rPr>
                <w:rFonts w:ascii="Times New Roman" w:hAnsi="Times New Roman" w:cs="Times New Roman"/>
                <w:sz w:val="20"/>
                <w:szCs w:val="20"/>
              </w:rPr>
              <w:t>1,3</w:t>
            </w:r>
          </w:p>
        </w:tc>
        <w:tc>
          <w:tcPr>
            <w:tcW w:w="991" w:type="dxa"/>
            <w:tcBorders>
              <w:top w:val="nil"/>
              <w:left w:val="nil"/>
              <w:bottom w:val="single" w:sz="4" w:space="0" w:color="auto"/>
              <w:right w:val="single" w:sz="4" w:space="0" w:color="auto"/>
            </w:tcBorders>
            <w:noWrap/>
            <w:vAlign w:val="bottom"/>
            <w:hideMark/>
          </w:tcPr>
          <w:p w14:paraId="0F727F31" w14:textId="2617AB69" w:rsidR="00374988" w:rsidRPr="00374988" w:rsidRDefault="28F9800E" w:rsidP="28F9800E">
            <w:pPr>
              <w:spacing w:after="0"/>
              <w:jc w:val="right"/>
              <w:rPr>
                <w:rFonts w:ascii="Times New Roman" w:hAnsi="Times New Roman" w:cs="Times New Roman"/>
                <w:sz w:val="20"/>
                <w:szCs w:val="20"/>
              </w:rPr>
            </w:pPr>
            <w:r w:rsidRPr="28F9800E">
              <w:rPr>
                <w:rFonts w:ascii="Times New Roman" w:hAnsi="Times New Roman" w:cs="Times New Roman"/>
                <w:sz w:val="20"/>
                <w:szCs w:val="20"/>
              </w:rPr>
              <w:t>1,3</w:t>
            </w:r>
          </w:p>
        </w:tc>
        <w:tc>
          <w:tcPr>
            <w:tcW w:w="850" w:type="dxa"/>
            <w:tcBorders>
              <w:top w:val="nil"/>
              <w:left w:val="nil"/>
              <w:bottom w:val="single" w:sz="4" w:space="0" w:color="auto"/>
              <w:right w:val="single" w:sz="4" w:space="0" w:color="auto"/>
            </w:tcBorders>
            <w:noWrap/>
            <w:vAlign w:val="bottom"/>
            <w:hideMark/>
          </w:tcPr>
          <w:p w14:paraId="368622AA" w14:textId="555CCF54" w:rsidR="00374988" w:rsidRPr="00374988" w:rsidRDefault="28F9800E" w:rsidP="28F9800E">
            <w:pPr>
              <w:spacing w:after="0"/>
              <w:jc w:val="right"/>
              <w:rPr>
                <w:rFonts w:ascii="Times New Roman" w:hAnsi="Times New Roman" w:cs="Times New Roman"/>
                <w:sz w:val="20"/>
                <w:szCs w:val="20"/>
              </w:rPr>
            </w:pPr>
            <w:r w:rsidRPr="28F9800E">
              <w:rPr>
                <w:rFonts w:ascii="Times New Roman" w:hAnsi="Times New Roman" w:cs="Times New Roman"/>
                <w:sz w:val="20"/>
                <w:szCs w:val="20"/>
              </w:rPr>
              <w:t>0,0</w:t>
            </w:r>
          </w:p>
        </w:tc>
        <w:tc>
          <w:tcPr>
            <w:tcW w:w="733" w:type="dxa"/>
            <w:tcBorders>
              <w:top w:val="nil"/>
              <w:left w:val="nil"/>
              <w:bottom w:val="single" w:sz="4" w:space="0" w:color="auto"/>
              <w:right w:val="single" w:sz="4" w:space="0" w:color="auto"/>
            </w:tcBorders>
            <w:noWrap/>
            <w:vAlign w:val="bottom"/>
            <w:hideMark/>
          </w:tcPr>
          <w:p w14:paraId="52ECB683" w14:textId="137C6A20" w:rsidR="00374988" w:rsidRPr="00374988" w:rsidRDefault="28F9800E" w:rsidP="28F9800E">
            <w:pPr>
              <w:spacing w:after="0"/>
              <w:jc w:val="right"/>
              <w:rPr>
                <w:rFonts w:ascii="Times New Roman" w:hAnsi="Times New Roman" w:cs="Times New Roman"/>
                <w:sz w:val="20"/>
                <w:szCs w:val="20"/>
              </w:rPr>
            </w:pPr>
            <w:r w:rsidRPr="28F9800E">
              <w:rPr>
                <w:rFonts w:ascii="Times New Roman" w:hAnsi="Times New Roman" w:cs="Times New Roman"/>
                <w:sz w:val="20"/>
                <w:szCs w:val="20"/>
              </w:rPr>
              <w:t>100,0</w:t>
            </w:r>
          </w:p>
        </w:tc>
      </w:tr>
      <w:tr w:rsidR="00374988" w:rsidRPr="002E70D5" w14:paraId="660813D3" w14:textId="77777777" w:rsidTr="28F9800E">
        <w:trPr>
          <w:trHeight w:val="218"/>
        </w:trPr>
        <w:tc>
          <w:tcPr>
            <w:tcW w:w="5720" w:type="dxa"/>
            <w:tcBorders>
              <w:top w:val="nil"/>
              <w:left w:val="single" w:sz="4" w:space="0" w:color="auto"/>
              <w:bottom w:val="single" w:sz="4" w:space="0" w:color="auto"/>
              <w:right w:val="single" w:sz="4" w:space="0" w:color="auto"/>
            </w:tcBorders>
            <w:vAlign w:val="center"/>
            <w:hideMark/>
          </w:tcPr>
          <w:p w14:paraId="72B507FD" w14:textId="77777777" w:rsidR="00374988" w:rsidRPr="002E70D5" w:rsidRDefault="5E04AD7D" w:rsidP="5E04AD7D">
            <w:pPr>
              <w:spacing w:after="0"/>
              <w:ind w:firstLineChars="400" w:firstLine="800"/>
              <w:rPr>
                <w:rFonts w:ascii="Times New Roman" w:hAnsi="Times New Roman" w:cs="Times New Roman"/>
                <w:i/>
                <w:iCs/>
                <w:color w:val="000000" w:themeColor="text1"/>
                <w:sz w:val="20"/>
                <w:szCs w:val="20"/>
              </w:rPr>
            </w:pPr>
            <w:r w:rsidRPr="5E04AD7D">
              <w:rPr>
                <w:rFonts w:ascii="Times New Roman" w:hAnsi="Times New Roman" w:cs="Times New Roman"/>
                <w:i/>
                <w:iCs/>
                <w:color w:val="000000" w:themeColor="text1"/>
                <w:sz w:val="20"/>
                <w:szCs w:val="20"/>
              </w:rPr>
              <w:t>gyermekgondozást segítő ellátás</w:t>
            </w:r>
          </w:p>
        </w:tc>
        <w:tc>
          <w:tcPr>
            <w:tcW w:w="944" w:type="dxa"/>
            <w:tcBorders>
              <w:top w:val="nil"/>
              <w:left w:val="single" w:sz="4" w:space="0" w:color="auto"/>
              <w:bottom w:val="single" w:sz="4" w:space="0" w:color="auto"/>
              <w:right w:val="single" w:sz="4" w:space="0" w:color="auto"/>
            </w:tcBorders>
            <w:noWrap/>
            <w:vAlign w:val="bottom"/>
            <w:hideMark/>
          </w:tcPr>
          <w:p w14:paraId="26006FB8" w14:textId="4637A951" w:rsidR="00374988" w:rsidRPr="00374988" w:rsidRDefault="28F9800E" w:rsidP="28F9800E">
            <w:pPr>
              <w:spacing w:after="0"/>
              <w:jc w:val="right"/>
              <w:rPr>
                <w:rFonts w:ascii="Times New Roman" w:hAnsi="Times New Roman" w:cs="Times New Roman"/>
                <w:sz w:val="20"/>
                <w:szCs w:val="20"/>
              </w:rPr>
            </w:pPr>
            <w:r w:rsidRPr="28F9800E">
              <w:rPr>
                <w:rFonts w:ascii="Times New Roman" w:hAnsi="Times New Roman" w:cs="Times New Roman"/>
                <w:sz w:val="20"/>
                <w:szCs w:val="20"/>
              </w:rPr>
              <w:t>13,2</w:t>
            </w:r>
          </w:p>
        </w:tc>
        <w:tc>
          <w:tcPr>
            <w:tcW w:w="991" w:type="dxa"/>
            <w:tcBorders>
              <w:top w:val="nil"/>
              <w:left w:val="nil"/>
              <w:bottom w:val="single" w:sz="4" w:space="0" w:color="auto"/>
              <w:right w:val="single" w:sz="4" w:space="0" w:color="auto"/>
            </w:tcBorders>
            <w:noWrap/>
            <w:vAlign w:val="bottom"/>
            <w:hideMark/>
          </w:tcPr>
          <w:p w14:paraId="79CAB497" w14:textId="4162E051" w:rsidR="00374988" w:rsidRPr="00374988" w:rsidRDefault="28F9800E" w:rsidP="28F9800E">
            <w:pPr>
              <w:spacing w:after="0"/>
              <w:jc w:val="right"/>
              <w:rPr>
                <w:rFonts w:ascii="Times New Roman" w:hAnsi="Times New Roman" w:cs="Times New Roman"/>
                <w:sz w:val="20"/>
                <w:szCs w:val="20"/>
              </w:rPr>
            </w:pPr>
            <w:r w:rsidRPr="28F9800E">
              <w:rPr>
                <w:rFonts w:ascii="Times New Roman" w:hAnsi="Times New Roman" w:cs="Times New Roman"/>
                <w:sz w:val="20"/>
                <w:szCs w:val="20"/>
              </w:rPr>
              <w:t>12,8</w:t>
            </w:r>
          </w:p>
        </w:tc>
        <w:tc>
          <w:tcPr>
            <w:tcW w:w="850" w:type="dxa"/>
            <w:tcBorders>
              <w:top w:val="nil"/>
              <w:left w:val="nil"/>
              <w:bottom w:val="single" w:sz="4" w:space="0" w:color="auto"/>
              <w:right w:val="single" w:sz="4" w:space="0" w:color="auto"/>
            </w:tcBorders>
            <w:noWrap/>
            <w:vAlign w:val="bottom"/>
            <w:hideMark/>
          </w:tcPr>
          <w:p w14:paraId="707F0162" w14:textId="2494715B" w:rsidR="00374988" w:rsidRPr="00374988" w:rsidRDefault="28F9800E" w:rsidP="28F9800E">
            <w:pPr>
              <w:spacing w:after="0"/>
              <w:jc w:val="right"/>
              <w:rPr>
                <w:rFonts w:ascii="Times New Roman" w:hAnsi="Times New Roman" w:cs="Times New Roman"/>
                <w:sz w:val="20"/>
                <w:szCs w:val="20"/>
              </w:rPr>
            </w:pPr>
            <w:r w:rsidRPr="28F9800E">
              <w:rPr>
                <w:rFonts w:ascii="Times New Roman" w:hAnsi="Times New Roman" w:cs="Times New Roman"/>
                <w:sz w:val="20"/>
                <w:szCs w:val="20"/>
              </w:rPr>
              <w:t>-0,4</w:t>
            </w:r>
          </w:p>
        </w:tc>
        <w:tc>
          <w:tcPr>
            <w:tcW w:w="733" w:type="dxa"/>
            <w:tcBorders>
              <w:top w:val="nil"/>
              <w:left w:val="nil"/>
              <w:bottom w:val="single" w:sz="4" w:space="0" w:color="auto"/>
              <w:right w:val="single" w:sz="4" w:space="0" w:color="auto"/>
            </w:tcBorders>
            <w:noWrap/>
            <w:vAlign w:val="bottom"/>
            <w:hideMark/>
          </w:tcPr>
          <w:p w14:paraId="5365089B" w14:textId="4170193F" w:rsidR="00374988" w:rsidRPr="00374988" w:rsidRDefault="28F9800E" w:rsidP="28F9800E">
            <w:pPr>
              <w:spacing w:after="0"/>
              <w:jc w:val="right"/>
              <w:rPr>
                <w:rFonts w:ascii="Times New Roman" w:hAnsi="Times New Roman" w:cs="Times New Roman"/>
                <w:sz w:val="20"/>
                <w:szCs w:val="20"/>
              </w:rPr>
            </w:pPr>
            <w:r w:rsidRPr="28F9800E">
              <w:rPr>
                <w:rFonts w:ascii="Times New Roman" w:hAnsi="Times New Roman" w:cs="Times New Roman"/>
                <w:sz w:val="20"/>
                <w:szCs w:val="20"/>
              </w:rPr>
              <w:t>97,0</w:t>
            </w:r>
          </w:p>
        </w:tc>
      </w:tr>
      <w:tr w:rsidR="00374988" w:rsidRPr="002E70D5" w14:paraId="54D4B8EA" w14:textId="77777777" w:rsidTr="28F9800E">
        <w:trPr>
          <w:trHeight w:val="218"/>
        </w:trPr>
        <w:tc>
          <w:tcPr>
            <w:tcW w:w="5720" w:type="dxa"/>
            <w:tcBorders>
              <w:top w:val="nil"/>
              <w:left w:val="single" w:sz="4" w:space="0" w:color="auto"/>
              <w:bottom w:val="single" w:sz="4" w:space="0" w:color="auto"/>
              <w:right w:val="single" w:sz="4" w:space="0" w:color="auto"/>
            </w:tcBorders>
            <w:vAlign w:val="center"/>
            <w:hideMark/>
          </w:tcPr>
          <w:p w14:paraId="5EED669C" w14:textId="77777777" w:rsidR="00374988" w:rsidRPr="002E70D5" w:rsidRDefault="5E04AD7D" w:rsidP="5E04AD7D">
            <w:pPr>
              <w:spacing w:after="0"/>
              <w:ind w:firstLineChars="400" w:firstLine="800"/>
              <w:rPr>
                <w:rFonts w:ascii="Times New Roman" w:hAnsi="Times New Roman" w:cs="Times New Roman"/>
                <w:i/>
                <w:iCs/>
                <w:color w:val="000000" w:themeColor="text1"/>
                <w:sz w:val="20"/>
                <w:szCs w:val="20"/>
              </w:rPr>
            </w:pPr>
            <w:r w:rsidRPr="5E04AD7D">
              <w:rPr>
                <w:rFonts w:ascii="Times New Roman" w:hAnsi="Times New Roman" w:cs="Times New Roman"/>
                <w:i/>
                <w:iCs/>
                <w:color w:val="000000" w:themeColor="text1"/>
                <w:sz w:val="20"/>
                <w:szCs w:val="20"/>
              </w:rPr>
              <w:t>gyermeknevelési támogatás</w:t>
            </w:r>
          </w:p>
        </w:tc>
        <w:tc>
          <w:tcPr>
            <w:tcW w:w="944" w:type="dxa"/>
            <w:tcBorders>
              <w:top w:val="nil"/>
              <w:left w:val="single" w:sz="4" w:space="0" w:color="auto"/>
              <w:bottom w:val="single" w:sz="4" w:space="0" w:color="auto"/>
              <w:right w:val="single" w:sz="4" w:space="0" w:color="auto"/>
            </w:tcBorders>
            <w:noWrap/>
            <w:vAlign w:val="bottom"/>
            <w:hideMark/>
          </w:tcPr>
          <w:p w14:paraId="54864A29" w14:textId="5FD4DD1F" w:rsidR="00374988" w:rsidRPr="00374988" w:rsidRDefault="28F9800E" w:rsidP="28F9800E">
            <w:pPr>
              <w:spacing w:after="0"/>
              <w:jc w:val="right"/>
              <w:rPr>
                <w:rFonts w:ascii="Times New Roman" w:hAnsi="Times New Roman" w:cs="Times New Roman"/>
                <w:sz w:val="20"/>
                <w:szCs w:val="20"/>
              </w:rPr>
            </w:pPr>
            <w:r w:rsidRPr="28F9800E">
              <w:rPr>
                <w:rFonts w:ascii="Times New Roman" w:hAnsi="Times New Roman" w:cs="Times New Roman"/>
                <w:sz w:val="20"/>
                <w:szCs w:val="20"/>
              </w:rPr>
              <w:t>2,3</w:t>
            </w:r>
          </w:p>
        </w:tc>
        <w:tc>
          <w:tcPr>
            <w:tcW w:w="991" w:type="dxa"/>
            <w:tcBorders>
              <w:top w:val="nil"/>
              <w:left w:val="nil"/>
              <w:bottom w:val="single" w:sz="4" w:space="0" w:color="auto"/>
              <w:right w:val="single" w:sz="4" w:space="0" w:color="auto"/>
            </w:tcBorders>
            <w:noWrap/>
            <w:vAlign w:val="bottom"/>
            <w:hideMark/>
          </w:tcPr>
          <w:p w14:paraId="3ED7D86B" w14:textId="22A5EBCF" w:rsidR="00374988" w:rsidRPr="00374988" w:rsidRDefault="28F9800E" w:rsidP="28F9800E">
            <w:pPr>
              <w:spacing w:after="0"/>
              <w:jc w:val="right"/>
              <w:rPr>
                <w:rFonts w:ascii="Times New Roman" w:hAnsi="Times New Roman" w:cs="Times New Roman"/>
                <w:sz w:val="20"/>
                <w:szCs w:val="20"/>
              </w:rPr>
            </w:pPr>
            <w:r w:rsidRPr="28F9800E">
              <w:rPr>
                <w:rFonts w:ascii="Times New Roman" w:hAnsi="Times New Roman" w:cs="Times New Roman"/>
                <w:sz w:val="20"/>
                <w:szCs w:val="20"/>
              </w:rPr>
              <w:t>2,1</w:t>
            </w:r>
          </w:p>
        </w:tc>
        <w:tc>
          <w:tcPr>
            <w:tcW w:w="850" w:type="dxa"/>
            <w:tcBorders>
              <w:top w:val="nil"/>
              <w:left w:val="nil"/>
              <w:bottom w:val="single" w:sz="4" w:space="0" w:color="auto"/>
              <w:right w:val="single" w:sz="4" w:space="0" w:color="auto"/>
            </w:tcBorders>
            <w:noWrap/>
            <w:vAlign w:val="bottom"/>
            <w:hideMark/>
          </w:tcPr>
          <w:p w14:paraId="79964C52" w14:textId="5106E235" w:rsidR="00374988" w:rsidRPr="00374988" w:rsidRDefault="28F9800E" w:rsidP="28F9800E">
            <w:pPr>
              <w:spacing w:after="0"/>
              <w:jc w:val="right"/>
              <w:rPr>
                <w:rFonts w:ascii="Times New Roman" w:hAnsi="Times New Roman" w:cs="Times New Roman"/>
                <w:sz w:val="20"/>
                <w:szCs w:val="20"/>
              </w:rPr>
            </w:pPr>
            <w:r w:rsidRPr="28F9800E">
              <w:rPr>
                <w:rFonts w:ascii="Times New Roman" w:hAnsi="Times New Roman" w:cs="Times New Roman"/>
                <w:sz w:val="20"/>
                <w:szCs w:val="20"/>
              </w:rPr>
              <w:t>-0,2</w:t>
            </w:r>
          </w:p>
        </w:tc>
        <w:tc>
          <w:tcPr>
            <w:tcW w:w="733" w:type="dxa"/>
            <w:tcBorders>
              <w:top w:val="nil"/>
              <w:left w:val="nil"/>
              <w:bottom w:val="single" w:sz="4" w:space="0" w:color="auto"/>
              <w:right w:val="single" w:sz="4" w:space="0" w:color="auto"/>
            </w:tcBorders>
            <w:noWrap/>
            <w:vAlign w:val="bottom"/>
            <w:hideMark/>
          </w:tcPr>
          <w:p w14:paraId="15FAE29F" w14:textId="7025C77B" w:rsidR="00374988" w:rsidRPr="00374988" w:rsidRDefault="28F9800E" w:rsidP="28F9800E">
            <w:pPr>
              <w:spacing w:after="0"/>
              <w:jc w:val="right"/>
              <w:rPr>
                <w:rFonts w:ascii="Times New Roman" w:hAnsi="Times New Roman" w:cs="Times New Roman"/>
                <w:sz w:val="20"/>
                <w:szCs w:val="20"/>
              </w:rPr>
            </w:pPr>
            <w:r w:rsidRPr="28F9800E">
              <w:rPr>
                <w:rFonts w:ascii="Times New Roman" w:hAnsi="Times New Roman" w:cs="Times New Roman"/>
                <w:sz w:val="20"/>
                <w:szCs w:val="20"/>
              </w:rPr>
              <w:t>91,3</w:t>
            </w:r>
          </w:p>
        </w:tc>
      </w:tr>
      <w:tr w:rsidR="00374988" w:rsidRPr="002E70D5" w14:paraId="0932D838" w14:textId="77777777" w:rsidTr="28F9800E">
        <w:trPr>
          <w:trHeight w:val="218"/>
        </w:trPr>
        <w:tc>
          <w:tcPr>
            <w:tcW w:w="5720" w:type="dxa"/>
            <w:tcBorders>
              <w:top w:val="nil"/>
              <w:left w:val="single" w:sz="4" w:space="0" w:color="auto"/>
              <w:bottom w:val="single" w:sz="4" w:space="0" w:color="auto"/>
              <w:right w:val="single" w:sz="4" w:space="0" w:color="auto"/>
            </w:tcBorders>
            <w:vAlign w:val="center"/>
            <w:hideMark/>
          </w:tcPr>
          <w:p w14:paraId="7FC6C9F6" w14:textId="77777777" w:rsidR="00374988" w:rsidRPr="002E70D5" w:rsidRDefault="5E04AD7D" w:rsidP="5E04AD7D">
            <w:pPr>
              <w:spacing w:after="0"/>
              <w:ind w:firstLineChars="400" w:firstLine="800"/>
              <w:rPr>
                <w:rFonts w:ascii="Times New Roman" w:hAnsi="Times New Roman" w:cs="Times New Roman"/>
                <w:i/>
                <w:iCs/>
                <w:color w:val="000000" w:themeColor="text1"/>
                <w:sz w:val="20"/>
                <w:szCs w:val="20"/>
              </w:rPr>
            </w:pPr>
            <w:r w:rsidRPr="5E04AD7D">
              <w:rPr>
                <w:rFonts w:ascii="Times New Roman" w:hAnsi="Times New Roman" w:cs="Times New Roman"/>
                <w:i/>
                <w:iCs/>
                <w:color w:val="000000" w:themeColor="text1"/>
                <w:sz w:val="20"/>
                <w:szCs w:val="20"/>
              </w:rPr>
              <w:t>gyermekek születésével kapcsolatos szabadság megtérítése</w:t>
            </w:r>
          </w:p>
        </w:tc>
        <w:tc>
          <w:tcPr>
            <w:tcW w:w="944" w:type="dxa"/>
            <w:tcBorders>
              <w:top w:val="nil"/>
              <w:left w:val="single" w:sz="4" w:space="0" w:color="auto"/>
              <w:bottom w:val="single" w:sz="4" w:space="0" w:color="auto"/>
              <w:right w:val="single" w:sz="4" w:space="0" w:color="auto"/>
            </w:tcBorders>
            <w:noWrap/>
            <w:vAlign w:val="bottom"/>
            <w:hideMark/>
          </w:tcPr>
          <w:p w14:paraId="083EE439" w14:textId="323381E6" w:rsidR="00374988" w:rsidRPr="00374988" w:rsidRDefault="28F9800E" w:rsidP="28F9800E">
            <w:pPr>
              <w:spacing w:after="0"/>
              <w:jc w:val="right"/>
              <w:rPr>
                <w:rFonts w:ascii="Times New Roman" w:hAnsi="Times New Roman" w:cs="Times New Roman"/>
                <w:sz w:val="20"/>
                <w:szCs w:val="20"/>
              </w:rPr>
            </w:pPr>
            <w:r w:rsidRPr="28F9800E">
              <w:rPr>
                <w:rFonts w:ascii="Times New Roman" w:hAnsi="Times New Roman" w:cs="Times New Roman"/>
                <w:sz w:val="20"/>
                <w:szCs w:val="20"/>
              </w:rPr>
              <w:t>1,3</w:t>
            </w:r>
          </w:p>
        </w:tc>
        <w:tc>
          <w:tcPr>
            <w:tcW w:w="991" w:type="dxa"/>
            <w:tcBorders>
              <w:top w:val="nil"/>
              <w:left w:val="nil"/>
              <w:bottom w:val="single" w:sz="4" w:space="0" w:color="auto"/>
              <w:right w:val="single" w:sz="4" w:space="0" w:color="auto"/>
            </w:tcBorders>
            <w:noWrap/>
            <w:vAlign w:val="bottom"/>
            <w:hideMark/>
          </w:tcPr>
          <w:p w14:paraId="6FC609F0" w14:textId="59FA01F9" w:rsidR="00374988" w:rsidRPr="00374988" w:rsidRDefault="28F9800E" w:rsidP="28F9800E">
            <w:pPr>
              <w:spacing w:after="0"/>
              <w:jc w:val="right"/>
              <w:rPr>
                <w:rFonts w:ascii="Times New Roman" w:hAnsi="Times New Roman" w:cs="Times New Roman"/>
                <w:sz w:val="20"/>
                <w:szCs w:val="20"/>
              </w:rPr>
            </w:pPr>
            <w:r w:rsidRPr="28F9800E">
              <w:rPr>
                <w:rFonts w:ascii="Times New Roman" w:hAnsi="Times New Roman" w:cs="Times New Roman"/>
                <w:sz w:val="20"/>
                <w:szCs w:val="20"/>
              </w:rPr>
              <w:t>1,3</w:t>
            </w:r>
          </w:p>
        </w:tc>
        <w:tc>
          <w:tcPr>
            <w:tcW w:w="850" w:type="dxa"/>
            <w:tcBorders>
              <w:top w:val="nil"/>
              <w:left w:val="nil"/>
              <w:bottom w:val="single" w:sz="4" w:space="0" w:color="auto"/>
              <w:right w:val="single" w:sz="4" w:space="0" w:color="auto"/>
            </w:tcBorders>
            <w:noWrap/>
            <w:vAlign w:val="bottom"/>
            <w:hideMark/>
          </w:tcPr>
          <w:p w14:paraId="1B7834F9" w14:textId="404CA096" w:rsidR="00374988" w:rsidRPr="00374988" w:rsidRDefault="28F9800E" w:rsidP="28F9800E">
            <w:pPr>
              <w:spacing w:after="0"/>
              <w:jc w:val="right"/>
              <w:rPr>
                <w:rFonts w:ascii="Times New Roman" w:hAnsi="Times New Roman" w:cs="Times New Roman"/>
                <w:sz w:val="20"/>
                <w:szCs w:val="20"/>
              </w:rPr>
            </w:pPr>
            <w:r w:rsidRPr="28F9800E">
              <w:rPr>
                <w:rFonts w:ascii="Times New Roman" w:hAnsi="Times New Roman" w:cs="Times New Roman"/>
                <w:sz w:val="20"/>
                <w:szCs w:val="20"/>
              </w:rPr>
              <w:t>0,0</w:t>
            </w:r>
          </w:p>
        </w:tc>
        <w:tc>
          <w:tcPr>
            <w:tcW w:w="733" w:type="dxa"/>
            <w:tcBorders>
              <w:top w:val="nil"/>
              <w:left w:val="nil"/>
              <w:bottom w:val="single" w:sz="4" w:space="0" w:color="auto"/>
              <w:right w:val="single" w:sz="4" w:space="0" w:color="auto"/>
            </w:tcBorders>
            <w:noWrap/>
            <w:vAlign w:val="bottom"/>
            <w:hideMark/>
          </w:tcPr>
          <w:p w14:paraId="6D9506CD" w14:textId="1B19D974" w:rsidR="00374988" w:rsidRPr="00374988" w:rsidRDefault="28F9800E" w:rsidP="28F9800E">
            <w:pPr>
              <w:spacing w:after="0"/>
              <w:jc w:val="right"/>
              <w:rPr>
                <w:rFonts w:ascii="Times New Roman" w:hAnsi="Times New Roman" w:cs="Times New Roman"/>
                <w:sz w:val="20"/>
                <w:szCs w:val="20"/>
              </w:rPr>
            </w:pPr>
            <w:r w:rsidRPr="28F9800E">
              <w:rPr>
                <w:rFonts w:ascii="Times New Roman" w:hAnsi="Times New Roman" w:cs="Times New Roman"/>
                <w:sz w:val="20"/>
                <w:szCs w:val="20"/>
              </w:rPr>
              <w:t>100,0</w:t>
            </w:r>
          </w:p>
        </w:tc>
      </w:tr>
      <w:tr w:rsidR="00374988" w:rsidRPr="002E70D5" w14:paraId="5C1FD170" w14:textId="77777777" w:rsidTr="28F9800E">
        <w:trPr>
          <w:trHeight w:val="218"/>
        </w:trPr>
        <w:tc>
          <w:tcPr>
            <w:tcW w:w="5720" w:type="dxa"/>
            <w:tcBorders>
              <w:top w:val="nil"/>
              <w:left w:val="single" w:sz="4" w:space="0" w:color="auto"/>
              <w:bottom w:val="single" w:sz="4" w:space="0" w:color="auto"/>
              <w:right w:val="single" w:sz="4" w:space="0" w:color="auto"/>
            </w:tcBorders>
            <w:vAlign w:val="center"/>
            <w:hideMark/>
          </w:tcPr>
          <w:p w14:paraId="7E9D85A0" w14:textId="77777777" w:rsidR="00374988" w:rsidRPr="002E70D5" w:rsidRDefault="5E04AD7D" w:rsidP="5E04AD7D">
            <w:pPr>
              <w:spacing w:after="0"/>
              <w:ind w:firstLineChars="400" w:firstLine="800"/>
              <w:rPr>
                <w:rFonts w:ascii="Times New Roman" w:hAnsi="Times New Roman" w:cs="Times New Roman"/>
                <w:i/>
                <w:iCs/>
                <w:color w:val="000000" w:themeColor="text1"/>
                <w:sz w:val="20"/>
                <w:szCs w:val="20"/>
              </w:rPr>
            </w:pPr>
            <w:r w:rsidRPr="5E04AD7D">
              <w:rPr>
                <w:rFonts w:ascii="Times New Roman" w:hAnsi="Times New Roman" w:cs="Times New Roman"/>
                <w:i/>
                <w:iCs/>
                <w:color w:val="000000" w:themeColor="text1"/>
                <w:sz w:val="20"/>
                <w:szCs w:val="20"/>
              </w:rPr>
              <w:t>életkezdési támogatás</w:t>
            </w:r>
          </w:p>
        </w:tc>
        <w:tc>
          <w:tcPr>
            <w:tcW w:w="944" w:type="dxa"/>
            <w:tcBorders>
              <w:top w:val="nil"/>
              <w:left w:val="single" w:sz="4" w:space="0" w:color="auto"/>
              <w:bottom w:val="single" w:sz="4" w:space="0" w:color="auto"/>
              <w:right w:val="single" w:sz="4" w:space="0" w:color="auto"/>
            </w:tcBorders>
            <w:noWrap/>
            <w:vAlign w:val="bottom"/>
            <w:hideMark/>
          </w:tcPr>
          <w:p w14:paraId="7C1C4E8C" w14:textId="4AF5615A" w:rsidR="00374988" w:rsidRPr="00374988" w:rsidRDefault="28F9800E" w:rsidP="28F9800E">
            <w:pPr>
              <w:spacing w:after="0"/>
              <w:jc w:val="right"/>
              <w:rPr>
                <w:rFonts w:ascii="Times New Roman" w:hAnsi="Times New Roman" w:cs="Times New Roman"/>
                <w:sz w:val="20"/>
                <w:szCs w:val="20"/>
              </w:rPr>
            </w:pPr>
            <w:r w:rsidRPr="28F9800E">
              <w:rPr>
                <w:rFonts w:ascii="Times New Roman" w:hAnsi="Times New Roman" w:cs="Times New Roman"/>
                <w:sz w:val="20"/>
                <w:szCs w:val="20"/>
              </w:rPr>
              <w:t>8,7</w:t>
            </w:r>
          </w:p>
        </w:tc>
        <w:tc>
          <w:tcPr>
            <w:tcW w:w="991" w:type="dxa"/>
            <w:tcBorders>
              <w:top w:val="nil"/>
              <w:left w:val="nil"/>
              <w:bottom w:val="single" w:sz="4" w:space="0" w:color="auto"/>
              <w:right w:val="single" w:sz="4" w:space="0" w:color="auto"/>
            </w:tcBorders>
            <w:noWrap/>
            <w:vAlign w:val="bottom"/>
            <w:hideMark/>
          </w:tcPr>
          <w:p w14:paraId="64FE41C6" w14:textId="39CE7FD7" w:rsidR="00374988" w:rsidRPr="00374988" w:rsidRDefault="28F9800E" w:rsidP="28F9800E">
            <w:pPr>
              <w:spacing w:after="0"/>
              <w:jc w:val="right"/>
              <w:rPr>
                <w:rFonts w:ascii="Times New Roman" w:hAnsi="Times New Roman" w:cs="Times New Roman"/>
                <w:sz w:val="20"/>
                <w:szCs w:val="20"/>
              </w:rPr>
            </w:pPr>
            <w:r w:rsidRPr="28F9800E">
              <w:rPr>
                <w:rFonts w:ascii="Times New Roman" w:hAnsi="Times New Roman" w:cs="Times New Roman"/>
                <w:sz w:val="20"/>
                <w:szCs w:val="20"/>
              </w:rPr>
              <w:t>9,2</w:t>
            </w:r>
          </w:p>
        </w:tc>
        <w:tc>
          <w:tcPr>
            <w:tcW w:w="850" w:type="dxa"/>
            <w:tcBorders>
              <w:top w:val="nil"/>
              <w:left w:val="nil"/>
              <w:bottom w:val="single" w:sz="4" w:space="0" w:color="auto"/>
              <w:right w:val="single" w:sz="4" w:space="0" w:color="auto"/>
            </w:tcBorders>
            <w:noWrap/>
            <w:vAlign w:val="bottom"/>
            <w:hideMark/>
          </w:tcPr>
          <w:p w14:paraId="092E3EF2" w14:textId="431E1034" w:rsidR="00374988" w:rsidRPr="00374988" w:rsidRDefault="28F9800E" w:rsidP="28F9800E">
            <w:pPr>
              <w:spacing w:after="0"/>
              <w:jc w:val="right"/>
              <w:rPr>
                <w:rFonts w:ascii="Times New Roman" w:hAnsi="Times New Roman" w:cs="Times New Roman"/>
                <w:sz w:val="20"/>
                <w:szCs w:val="20"/>
              </w:rPr>
            </w:pPr>
            <w:r w:rsidRPr="28F9800E">
              <w:rPr>
                <w:rFonts w:ascii="Times New Roman" w:hAnsi="Times New Roman" w:cs="Times New Roman"/>
                <w:sz w:val="20"/>
                <w:szCs w:val="20"/>
              </w:rPr>
              <w:t>0,5</w:t>
            </w:r>
          </w:p>
        </w:tc>
        <w:tc>
          <w:tcPr>
            <w:tcW w:w="733" w:type="dxa"/>
            <w:tcBorders>
              <w:top w:val="nil"/>
              <w:left w:val="nil"/>
              <w:bottom w:val="single" w:sz="4" w:space="0" w:color="auto"/>
              <w:right w:val="single" w:sz="4" w:space="0" w:color="auto"/>
            </w:tcBorders>
            <w:noWrap/>
            <w:vAlign w:val="bottom"/>
            <w:hideMark/>
          </w:tcPr>
          <w:p w14:paraId="4E31809C" w14:textId="4AC089F6" w:rsidR="00374988" w:rsidRPr="00374988" w:rsidRDefault="28F9800E" w:rsidP="28F9800E">
            <w:pPr>
              <w:spacing w:after="0"/>
              <w:jc w:val="right"/>
              <w:rPr>
                <w:rFonts w:ascii="Times New Roman" w:hAnsi="Times New Roman" w:cs="Times New Roman"/>
                <w:sz w:val="20"/>
                <w:szCs w:val="20"/>
              </w:rPr>
            </w:pPr>
            <w:r w:rsidRPr="28F9800E">
              <w:rPr>
                <w:rFonts w:ascii="Times New Roman" w:hAnsi="Times New Roman" w:cs="Times New Roman"/>
                <w:sz w:val="20"/>
                <w:szCs w:val="20"/>
              </w:rPr>
              <w:t>105,7</w:t>
            </w:r>
          </w:p>
        </w:tc>
      </w:tr>
      <w:tr w:rsidR="00374988" w:rsidRPr="002E70D5" w14:paraId="5B535E4D" w14:textId="77777777" w:rsidTr="28F9800E">
        <w:trPr>
          <w:trHeight w:val="218"/>
        </w:trPr>
        <w:tc>
          <w:tcPr>
            <w:tcW w:w="5720" w:type="dxa"/>
            <w:tcBorders>
              <w:top w:val="nil"/>
              <w:left w:val="single" w:sz="4" w:space="0" w:color="auto"/>
              <w:bottom w:val="single" w:sz="4" w:space="0" w:color="auto"/>
              <w:right w:val="single" w:sz="4" w:space="0" w:color="auto"/>
            </w:tcBorders>
            <w:noWrap/>
            <w:vAlign w:val="bottom"/>
            <w:hideMark/>
          </w:tcPr>
          <w:p w14:paraId="4BB29DB0" w14:textId="77777777" w:rsidR="00374988" w:rsidRPr="002E70D5" w:rsidRDefault="5E04AD7D" w:rsidP="5E04AD7D">
            <w:pPr>
              <w:spacing w:after="0"/>
              <w:rPr>
                <w:rFonts w:ascii="Times New Roman" w:hAnsi="Times New Roman" w:cs="Times New Roman"/>
                <w:b/>
                <w:bCs/>
                <w:color w:val="000000" w:themeColor="text1"/>
                <w:sz w:val="20"/>
                <w:szCs w:val="20"/>
              </w:rPr>
            </w:pPr>
            <w:r w:rsidRPr="5E04AD7D">
              <w:rPr>
                <w:rFonts w:ascii="Times New Roman" w:hAnsi="Times New Roman" w:cs="Times New Roman"/>
                <w:b/>
                <w:bCs/>
                <w:color w:val="000000" w:themeColor="text1"/>
                <w:sz w:val="20"/>
                <w:szCs w:val="20"/>
              </w:rPr>
              <w:t>Korhatár alatti ellátások</w:t>
            </w:r>
          </w:p>
        </w:tc>
        <w:tc>
          <w:tcPr>
            <w:tcW w:w="944" w:type="dxa"/>
            <w:tcBorders>
              <w:top w:val="nil"/>
              <w:left w:val="single" w:sz="4" w:space="0" w:color="auto"/>
              <w:bottom w:val="single" w:sz="4" w:space="0" w:color="auto"/>
              <w:right w:val="single" w:sz="4" w:space="0" w:color="auto"/>
            </w:tcBorders>
            <w:noWrap/>
            <w:vAlign w:val="bottom"/>
            <w:hideMark/>
          </w:tcPr>
          <w:p w14:paraId="1E584746" w14:textId="1E52DF53" w:rsidR="00374988" w:rsidRPr="00374988" w:rsidRDefault="28F9800E" w:rsidP="28F9800E">
            <w:pPr>
              <w:spacing w:after="0"/>
              <w:jc w:val="right"/>
              <w:rPr>
                <w:rFonts w:ascii="Times New Roman" w:hAnsi="Times New Roman" w:cs="Times New Roman"/>
                <w:b/>
                <w:bCs/>
                <w:sz w:val="20"/>
                <w:szCs w:val="20"/>
              </w:rPr>
            </w:pPr>
            <w:r w:rsidRPr="28F9800E">
              <w:rPr>
                <w:rFonts w:ascii="Times New Roman" w:hAnsi="Times New Roman" w:cs="Times New Roman"/>
                <w:b/>
                <w:bCs/>
                <w:sz w:val="20"/>
                <w:szCs w:val="20"/>
              </w:rPr>
              <w:t>37,8</w:t>
            </w:r>
          </w:p>
        </w:tc>
        <w:tc>
          <w:tcPr>
            <w:tcW w:w="991" w:type="dxa"/>
            <w:tcBorders>
              <w:top w:val="nil"/>
              <w:left w:val="nil"/>
              <w:bottom w:val="single" w:sz="4" w:space="0" w:color="auto"/>
              <w:right w:val="single" w:sz="4" w:space="0" w:color="auto"/>
            </w:tcBorders>
            <w:noWrap/>
            <w:vAlign w:val="bottom"/>
            <w:hideMark/>
          </w:tcPr>
          <w:p w14:paraId="3BB31635" w14:textId="231E0178" w:rsidR="00374988" w:rsidRPr="00374988" w:rsidRDefault="28F9800E" w:rsidP="28F9800E">
            <w:pPr>
              <w:spacing w:after="0"/>
              <w:jc w:val="right"/>
              <w:rPr>
                <w:rFonts w:ascii="Times New Roman" w:hAnsi="Times New Roman" w:cs="Times New Roman"/>
                <w:b/>
                <w:bCs/>
                <w:sz w:val="20"/>
                <w:szCs w:val="20"/>
              </w:rPr>
            </w:pPr>
            <w:r w:rsidRPr="28F9800E">
              <w:rPr>
                <w:rFonts w:ascii="Times New Roman" w:hAnsi="Times New Roman" w:cs="Times New Roman"/>
                <w:b/>
                <w:bCs/>
                <w:sz w:val="20"/>
                <w:szCs w:val="20"/>
              </w:rPr>
              <w:t>39,5</w:t>
            </w:r>
          </w:p>
        </w:tc>
        <w:tc>
          <w:tcPr>
            <w:tcW w:w="850" w:type="dxa"/>
            <w:tcBorders>
              <w:top w:val="nil"/>
              <w:left w:val="nil"/>
              <w:bottom w:val="single" w:sz="4" w:space="0" w:color="auto"/>
              <w:right w:val="single" w:sz="4" w:space="0" w:color="auto"/>
            </w:tcBorders>
            <w:noWrap/>
            <w:vAlign w:val="bottom"/>
            <w:hideMark/>
          </w:tcPr>
          <w:p w14:paraId="6067B78F" w14:textId="4A396A9C" w:rsidR="00374988" w:rsidRPr="00374988" w:rsidRDefault="28F9800E" w:rsidP="28F9800E">
            <w:pPr>
              <w:spacing w:after="0"/>
              <w:jc w:val="right"/>
              <w:rPr>
                <w:rFonts w:ascii="Times New Roman" w:hAnsi="Times New Roman" w:cs="Times New Roman"/>
                <w:b/>
                <w:bCs/>
                <w:sz w:val="20"/>
                <w:szCs w:val="20"/>
              </w:rPr>
            </w:pPr>
            <w:r w:rsidRPr="28F9800E">
              <w:rPr>
                <w:rFonts w:ascii="Times New Roman" w:hAnsi="Times New Roman" w:cs="Times New Roman"/>
                <w:b/>
                <w:bCs/>
                <w:sz w:val="20"/>
                <w:szCs w:val="20"/>
              </w:rPr>
              <w:t>1,7</w:t>
            </w:r>
          </w:p>
        </w:tc>
        <w:tc>
          <w:tcPr>
            <w:tcW w:w="733" w:type="dxa"/>
            <w:tcBorders>
              <w:top w:val="nil"/>
              <w:left w:val="nil"/>
              <w:bottom w:val="single" w:sz="4" w:space="0" w:color="auto"/>
              <w:right w:val="single" w:sz="4" w:space="0" w:color="auto"/>
            </w:tcBorders>
            <w:noWrap/>
            <w:vAlign w:val="bottom"/>
            <w:hideMark/>
          </w:tcPr>
          <w:p w14:paraId="05F9CDA8" w14:textId="244E2A9B" w:rsidR="00374988" w:rsidRPr="00374988" w:rsidRDefault="28F9800E" w:rsidP="28F9800E">
            <w:pPr>
              <w:spacing w:after="0"/>
              <w:jc w:val="right"/>
              <w:rPr>
                <w:rFonts w:ascii="Times New Roman" w:hAnsi="Times New Roman" w:cs="Times New Roman"/>
                <w:b/>
                <w:bCs/>
                <w:sz w:val="20"/>
                <w:szCs w:val="20"/>
              </w:rPr>
            </w:pPr>
            <w:r w:rsidRPr="28F9800E">
              <w:rPr>
                <w:rFonts w:ascii="Times New Roman" w:hAnsi="Times New Roman" w:cs="Times New Roman"/>
                <w:b/>
                <w:bCs/>
                <w:sz w:val="20"/>
                <w:szCs w:val="20"/>
              </w:rPr>
              <w:t>104,5</w:t>
            </w:r>
          </w:p>
        </w:tc>
      </w:tr>
      <w:tr w:rsidR="00374988" w:rsidRPr="002E70D5" w14:paraId="2D6D4FB3" w14:textId="77777777" w:rsidTr="28F9800E">
        <w:trPr>
          <w:trHeight w:val="218"/>
        </w:trPr>
        <w:tc>
          <w:tcPr>
            <w:tcW w:w="5720" w:type="dxa"/>
            <w:tcBorders>
              <w:top w:val="nil"/>
              <w:left w:val="single" w:sz="4" w:space="0" w:color="auto"/>
              <w:bottom w:val="single" w:sz="4" w:space="0" w:color="auto"/>
              <w:right w:val="single" w:sz="4" w:space="0" w:color="auto"/>
            </w:tcBorders>
            <w:noWrap/>
            <w:vAlign w:val="bottom"/>
            <w:hideMark/>
          </w:tcPr>
          <w:p w14:paraId="285599A0" w14:textId="77777777" w:rsidR="00374988" w:rsidRPr="002E70D5" w:rsidRDefault="5E04AD7D" w:rsidP="5E04AD7D">
            <w:pPr>
              <w:spacing w:after="0"/>
              <w:rPr>
                <w:rFonts w:ascii="Times New Roman" w:hAnsi="Times New Roman" w:cs="Times New Roman"/>
                <w:b/>
                <w:bCs/>
                <w:color w:val="000000" w:themeColor="text1"/>
                <w:sz w:val="20"/>
                <w:szCs w:val="20"/>
              </w:rPr>
            </w:pPr>
            <w:r w:rsidRPr="5E04AD7D">
              <w:rPr>
                <w:rFonts w:ascii="Times New Roman" w:hAnsi="Times New Roman" w:cs="Times New Roman"/>
                <w:b/>
                <w:bCs/>
                <w:color w:val="000000" w:themeColor="text1"/>
                <w:sz w:val="20"/>
                <w:szCs w:val="20"/>
              </w:rPr>
              <w:t>Jövedelempótló és jövedelemkiegészítő szociális támogatások</w:t>
            </w:r>
          </w:p>
        </w:tc>
        <w:tc>
          <w:tcPr>
            <w:tcW w:w="944" w:type="dxa"/>
            <w:tcBorders>
              <w:top w:val="nil"/>
              <w:left w:val="single" w:sz="4" w:space="0" w:color="auto"/>
              <w:bottom w:val="single" w:sz="4" w:space="0" w:color="auto"/>
              <w:right w:val="single" w:sz="4" w:space="0" w:color="auto"/>
            </w:tcBorders>
            <w:noWrap/>
            <w:vAlign w:val="bottom"/>
            <w:hideMark/>
          </w:tcPr>
          <w:p w14:paraId="76F346F2" w14:textId="46C529F7" w:rsidR="00374988" w:rsidRPr="00374988" w:rsidRDefault="28F9800E" w:rsidP="28F9800E">
            <w:pPr>
              <w:spacing w:after="0"/>
              <w:jc w:val="right"/>
              <w:rPr>
                <w:rFonts w:ascii="Times New Roman" w:hAnsi="Times New Roman" w:cs="Times New Roman"/>
                <w:b/>
                <w:bCs/>
                <w:sz w:val="20"/>
                <w:szCs w:val="20"/>
              </w:rPr>
            </w:pPr>
            <w:r w:rsidRPr="28F9800E">
              <w:rPr>
                <w:rFonts w:ascii="Times New Roman" w:hAnsi="Times New Roman" w:cs="Times New Roman"/>
                <w:b/>
                <w:bCs/>
                <w:sz w:val="20"/>
                <w:szCs w:val="20"/>
              </w:rPr>
              <w:t>54,3</w:t>
            </w:r>
          </w:p>
        </w:tc>
        <w:tc>
          <w:tcPr>
            <w:tcW w:w="991" w:type="dxa"/>
            <w:tcBorders>
              <w:top w:val="nil"/>
              <w:left w:val="nil"/>
              <w:bottom w:val="single" w:sz="4" w:space="0" w:color="auto"/>
              <w:right w:val="single" w:sz="4" w:space="0" w:color="auto"/>
            </w:tcBorders>
            <w:noWrap/>
            <w:vAlign w:val="bottom"/>
            <w:hideMark/>
          </w:tcPr>
          <w:p w14:paraId="6DF5981D" w14:textId="3E3B46B6" w:rsidR="00374988" w:rsidRPr="00374988" w:rsidRDefault="28F9800E" w:rsidP="28F9800E">
            <w:pPr>
              <w:spacing w:after="0"/>
              <w:jc w:val="right"/>
              <w:rPr>
                <w:rFonts w:ascii="Times New Roman" w:hAnsi="Times New Roman" w:cs="Times New Roman"/>
                <w:b/>
                <w:bCs/>
                <w:sz w:val="20"/>
                <w:szCs w:val="20"/>
              </w:rPr>
            </w:pPr>
            <w:r w:rsidRPr="28F9800E">
              <w:rPr>
                <w:rFonts w:ascii="Times New Roman" w:hAnsi="Times New Roman" w:cs="Times New Roman"/>
                <w:b/>
                <w:bCs/>
                <w:sz w:val="20"/>
                <w:szCs w:val="20"/>
              </w:rPr>
              <w:t>67,1</w:t>
            </w:r>
          </w:p>
        </w:tc>
        <w:tc>
          <w:tcPr>
            <w:tcW w:w="850" w:type="dxa"/>
            <w:tcBorders>
              <w:top w:val="nil"/>
              <w:left w:val="nil"/>
              <w:bottom w:val="single" w:sz="4" w:space="0" w:color="auto"/>
              <w:right w:val="single" w:sz="4" w:space="0" w:color="auto"/>
            </w:tcBorders>
            <w:noWrap/>
            <w:vAlign w:val="bottom"/>
            <w:hideMark/>
          </w:tcPr>
          <w:p w14:paraId="01D98773" w14:textId="5074CD25" w:rsidR="00374988" w:rsidRPr="00374988" w:rsidRDefault="28F9800E" w:rsidP="28F9800E">
            <w:pPr>
              <w:spacing w:after="0"/>
              <w:jc w:val="right"/>
              <w:rPr>
                <w:rFonts w:ascii="Times New Roman" w:hAnsi="Times New Roman" w:cs="Times New Roman"/>
                <w:b/>
                <w:bCs/>
                <w:sz w:val="20"/>
                <w:szCs w:val="20"/>
              </w:rPr>
            </w:pPr>
            <w:r w:rsidRPr="28F9800E">
              <w:rPr>
                <w:rFonts w:ascii="Times New Roman" w:hAnsi="Times New Roman" w:cs="Times New Roman"/>
                <w:b/>
                <w:bCs/>
                <w:sz w:val="20"/>
                <w:szCs w:val="20"/>
              </w:rPr>
              <w:t>12,8</w:t>
            </w:r>
          </w:p>
        </w:tc>
        <w:tc>
          <w:tcPr>
            <w:tcW w:w="733" w:type="dxa"/>
            <w:tcBorders>
              <w:top w:val="nil"/>
              <w:left w:val="nil"/>
              <w:bottom w:val="single" w:sz="4" w:space="0" w:color="auto"/>
              <w:right w:val="single" w:sz="4" w:space="0" w:color="auto"/>
            </w:tcBorders>
            <w:noWrap/>
            <w:vAlign w:val="bottom"/>
            <w:hideMark/>
          </w:tcPr>
          <w:p w14:paraId="112E0472" w14:textId="0AC2145A" w:rsidR="00374988" w:rsidRPr="00374988" w:rsidRDefault="28F9800E" w:rsidP="28F9800E">
            <w:pPr>
              <w:spacing w:after="0"/>
              <w:jc w:val="right"/>
              <w:rPr>
                <w:rFonts w:ascii="Times New Roman" w:hAnsi="Times New Roman" w:cs="Times New Roman"/>
                <w:b/>
                <w:bCs/>
                <w:sz w:val="20"/>
                <w:szCs w:val="20"/>
              </w:rPr>
            </w:pPr>
            <w:r w:rsidRPr="28F9800E">
              <w:rPr>
                <w:rFonts w:ascii="Times New Roman" w:hAnsi="Times New Roman" w:cs="Times New Roman"/>
                <w:b/>
                <w:bCs/>
                <w:sz w:val="20"/>
                <w:szCs w:val="20"/>
              </w:rPr>
              <w:t>123,6</w:t>
            </w:r>
          </w:p>
        </w:tc>
      </w:tr>
      <w:tr w:rsidR="00374988" w:rsidRPr="002E70D5" w14:paraId="2F68BD6E" w14:textId="77777777" w:rsidTr="28F9800E">
        <w:trPr>
          <w:trHeight w:val="218"/>
        </w:trPr>
        <w:tc>
          <w:tcPr>
            <w:tcW w:w="5720" w:type="dxa"/>
            <w:tcBorders>
              <w:top w:val="nil"/>
              <w:left w:val="single" w:sz="4" w:space="0" w:color="auto"/>
              <w:bottom w:val="single" w:sz="4" w:space="0" w:color="auto"/>
              <w:right w:val="single" w:sz="4" w:space="0" w:color="auto"/>
            </w:tcBorders>
            <w:noWrap/>
            <w:vAlign w:val="bottom"/>
            <w:hideMark/>
          </w:tcPr>
          <w:p w14:paraId="55975F0B" w14:textId="77777777" w:rsidR="00374988" w:rsidRPr="002E70D5" w:rsidRDefault="5E04AD7D" w:rsidP="5E04AD7D">
            <w:pPr>
              <w:spacing w:after="0"/>
              <w:ind w:firstLineChars="100" w:firstLine="200"/>
              <w:rPr>
                <w:rFonts w:ascii="Times New Roman" w:hAnsi="Times New Roman" w:cs="Times New Roman"/>
                <w:i/>
                <w:iCs/>
                <w:color w:val="000000" w:themeColor="text1"/>
                <w:sz w:val="20"/>
                <w:szCs w:val="20"/>
              </w:rPr>
            </w:pPr>
            <w:r w:rsidRPr="5E04AD7D">
              <w:rPr>
                <w:rFonts w:ascii="Times New Roman" w:hAnsi="Times New Roman" w:cs="Times New Roman"/>
                <w:i/>
                <w:iCs/>
                <w:color w:val="000000" w:themeColor="text1"/>
                <w:sz w:val="20"/>
                <w:szCs w:val="20"/>
              </w:rPr>
              <w:t>Ebből:</w:t>
            </w:r>
          </w:p>
        </w:tc>
        <w:tc>
          <w:tcPr>
            <w:tcW w:w="944" w:type="dxa"/>
            <w:tcBorders>
              <w:top w:val="nil"/>
              <w:left w:val="single" w:sz="4" w:space="0" w:color="auto"/>
              <w:bottom w:val="single" w:sz="4" w:space="0" w:color="auto"/>
              <w:right w:val="single" w:sz="4" w:space="0" w:color="auto"/>
            </w:tcBorders>
            <w:noWrap/>
            <w:vAlign w:val="bottom"/>
            <w:hideMark/>
          </w:tcPr>
          <w:p w14:paraId="2B25FABF" w14:textId="45B38A6A" w:rsidR="00374988" w:rsidRPr="00374988" w:rsidRDefault="00374988" w:rsidP="1D3ABBAA">
            <w:pPr>
              <w:spacing w:after="0"/>
              <w:jc w:val="right"/>
              <w:rPr>
                <w:rFonts w:ascii="Times New Roman" w:hAnsi="Times New Roman" w:cs="Times New Roman"/>
                <w:sz w:val="20"/>
                <w:szCs w:val="20"/>
              </w:rPr>
            </w:pPr>
          </w:p>
        </w:tc>
        <w:tc>
          <w:tcPr>
            <w:tcW w:w="991" w:type="dxa"/>
            <w:tcBorders>
              <w:top w:val="nil"/>
              <w:left w:val="nil"/>
              <w:bottom w:val="single" w:sz="4" w:space="0" w:color="auto"/>
              <w:right w:val="single" w:sz="4" w:space="0" w:color="auto"/>
            </w:tcBorders>
            <w:noWrap/>
            <w:vAlign w:val="bottom"/>
            <w:hideMark/>
          </w:tcPr>
          <w:p w14:paraId="6B112B61" w14:textId="62020126" w:rsidR="00374988" w:rsidRPr="00374988" w:rsidRDefault="00374988" w:rsidP="1D3ABBAA">
            <w:pPr>
              <w:spacing w:after="0"/>
              <w:jc w:val="right"/>
              <w:rPr>
                <w:rFonts w:ascii="Times New Roman" w:hAnsi="Times New Roman" w:cs="Times New Roman"/>
                <w:sz w:val="20"/>
                <w:szCs w:val="20"/>
              </w:rPr>
            </w:pPr>
          </w:p>
        </w:tc>
        <w:tc>
          <w:tcPr>
            <w:tcW w:w="850" w:type="dxa"/>
            <w:tcBorders>
              <w:top w:val="nil"/>
              <w:left w:val="nil"/>
              <w:bottom w:val="single" w:sz="4" w:space="0" w:color="auto"/>
              <w:right w:val="single" w:sz="4" w:space="0" w:color="auto"/>
            </w:tcBorders>
            <w:noWrap/>
            <w:vAlign w:val="bottom"/>
            <w:hideMark/>
          </w:tcPr>
          <w:p w14:paraId="0CBA18B6" w14:textId="239631E2" w:rsidR="00374988" w:rsidRPr="00374988" w:rsidRDefault="00374988" w:rsidP="1D3ABBAA">
            <w:pPr>
              <w:spacing w:after="0"/>
              <w:jc w:val="right"/>
              <w:rPr>
                <w:rFonts w:ascii="Times New Roman" w:hAnsi="Times New Roman" w:cs="Times New Roman"/>
                <w:sz w:val="20"/>
                <w:szCs w:val="20"/>
              </w:rPr>
            </w:pPr>
          </w:p>
        </w:tc>
        <w:tc>
          <w:tcPr>
            <w:tcW w:w="733" w:type="dxa"/>
            <w:tcBorders>
              <w:top w:val="nil"/>
              <w:left w:val="nil"/>
              <w:bottom w:val="single" w:sz="4" w:space="0" w:color="auto"/>
              <w:right w:val="single" w:sz="4" w:space="0" w:color="auto"/>
            </w:tcBorders>
            <w:noWrap/>
            <w:vAlign w:val="bottom"/>
            <w:hideMark/>
          </w:tcPr>
          <w:p w14:paraId="5A52A3F4" w14:textId="6097B7FA" w:rsidR="00374988" w:rsidRPr="00374988" w:rsidRDefault="28F9800E" w:rsidP="28F9800E">
            <w:pPr>
              <w:spacing w:after="0"/>
              <w:jc w:val="right"/>
              <w:rPr>
                <w:rFonts w:ascii="Times New Roman" w:hAnsi="Times New Roman" w:cs="Times New Roman"/>
                <w:b/>
                <w:bCs/>
                <w:sz w:val="20"/>
                <w:szCs w:val="20"/>
              </w:rPr>
            </w:pPr>
            <w:r w:rsidRPr="28F9800E">
              <w:rPr>
                <w:rFonts w:ascii="Times New Roman" w:hAnsi="Times New Roman" w:cs="Times New Roman"/>
                <w:b/>
                <w:bCs/>
                <w:sz w:val="20"/>
                <w:szCs w:val="20"/>
              </w:rPr>
              <w:t> </w:t>
            </w:r>
          </w:p>
        </w:tc>
      </w:tr>
      <w:tr w:rsidR="00374988" w:rsidRPr="002E70D5" w14:paraId="0E61B6E0" w14:textId="77777777" w:rsidTr="28F9800E">
        <w:trPr>
          <w:trHeight w:val="218"/>
        </w:trPr>
        <w:tc>
          <w:tcPr>
            <w:tcW w:w="5720" w:type="dxa"/>
            <w:tcBorders>
              <w:top w:val="nil"/>
              <w:left w:val="single" w:sz="4" w:space="0" w:color="auto"/>
              <w:bottom w:val="single" w:sz="4" w:space="0" w:color="auto"/>
              <w:right w:val="single" w:sz="4" w:space="0" w:color="auto"/>
            </w:tcBorders>
            <w:noWrap/>
            <w:vAlign w:val="center"/>
            <w:hideMark/>
          </w:tcPr>
          <w:p w14:paraId="6037ED1E" w14:textId="77777777" w:rsidR="00374988" w:rsidRPr="002E70D5" w:rsidRDefault="5E04AD7D" w:rsidP="5E04AD7D">
            <w:pPr>
              <w:spacing w:after="0"/>
              <w:ind w:firstLineChars="400" w:firstLine="800"/>
              <w:rPr>
                <w:rFonts w:ascii="Times New Roman" w:hAnsi="Times New Roman" w:cs="Times New Roman"/>
                <w:i/>
                <w:iCs/>
                <w:color w:val="000000" w:themeColor="text1"/>
                <w:sz w:val="20"/>
                <w:szCs w:val="20"/>
              </w:rPr>
            </w:pPr>
            <w:r w:rsidRPr="5E04AD7D">
              <w:rPr>
                <w:rFonts w:ascii="Times New Roman" w:hAnsi="Times New Roman" w:cs="Times New Roman"/>
                <w:i/>
                <w:iCs/>
                <w:color w:val="000000" w:themeColor="text1"/>
                <w:sz w:val="20"/>
                <w:szCs w:val="20"/>
              </w:rPr>
              <w:t>Jövedelempótló és jövedelemkiegészítő ellátások</w:t>
            </w:r>
          </w:p>
        </w:tc>
        <w:tc>
          <w:tcPr>
            <w:tcW w:w="944" w:type="dxa"/>
            <w:tcBorders>
              <w:top w:val="nil"/>
              <w:left w:val="single" w:sz="4" w:space="0" w:color="auto"/>
              <w:bottom w:val="single" w:sz="4" w:space="0" w:color="auto"/>
              <w:right w:val="single" w:sz="4" w:space="0" w:color="auto"/>
            </w:tcBorders>
            <w:noWrap/>
            <w:vAlign w:val="bottom"/>
            <w:hideMark/>
          </w:tcPr>
          <w:p w14:paraId="5C906EAA" w14:textId="34FA5E97" w:rsidR="00374988" w:rsidRPr="00374988" w:rsidRDefault="28F9800E" w:rsidP="28F9800E">
            <w:pPr>
              <w:spacing w:after="0"/>
              <w:jc w:val="right"/>
              <w:rPr>
                <w:rFonts w:ascii="Times New Roman" w:hAnsi="Times New Roman" w:cs="Times New Roman"/>
                <w:sz w:val="20"/>
                <w:szCs w:val="20"/>
              </w:rPr>
            </w:pPr>
            <w:r w:rsidRPr="28F9800E">
              <w:rPr>
                <w:rFonts w:ascii="Times New Roman" w:hAnsi="Times New Roman" w:cs="Times New Roman"/>
                <w:sz w:val="20"/>
                <w:szCs w:val="20"/>
              </w:rPr>
              <w:t>22,9</w:t>
            </w:r>
          </w:p>
        </w:tc>
        <w:tc>
          <w:tcPr>
            <w:tcW w:w="991" w:type="dxa"/>
            <w:tcBorders>
              <w:top w:val="nil"/>
              <w:left w:val="nil"/>
              <w:bottom w:val="single" w:sz="4" w:space="0" w:color="auto"/>
              <w:right w:val="single" w:sz="4" w:space="0" w:color="auto"/>
            </w:tcBorders>
            <w:noWrap/>
            <w:vAlign w:val="bottom"/>
            <w:hideMark/>
          </w:tcPr>
          <w:p w14:paraId="2BF256A3" w14:textId="1EAFAE63" w:rsidR="00374988" w:rsidRPr="00374988" w:rsidRDefault="28F9800E" w:rsidP="28F9800E">
            <w:pPr>
              <w:spacing w:after="0"/>
              <w:jc w:val="right"/>
              <w:rPr>
                <w:rFonts w:ascii="Times New Roman" w:hAnsi="Times New Roman" w:cs="Times New Roman"/>
                <w:sz w:val="20"/>
                <w:szCs w:val="20"/>
              </w:rPr>
            </w:pPr>
            <w:r w:rsidRPr="28F9800E">
              <w:rPr>
                <w:rFonts w:ascii="Times New Roman" w:hAnsi="Times New Roman" w:cs="Times New Roman"/>
                <w:sz w:val="20"/>
                <w:szCs w:val="20"/>
              </w:rPr>
              <w:t>25,0</w:t>
            </w:r>
          </w:p>
        </w:tc>
        <w:tc>
          <w:tcPr>
            <w:tcW w:w="850" w:type="dxa"/>
            <w:tcBorders>
              <w:top w:val="nil"/>
              <w:left w:val="nil"/>
              <w:bottom w:val="single" w:sz="4" w:space="0" w:color="auto"/>
              <w:right w:val="single" w:sz="4" w:space="0" w:color="auto"/>
            </w:tcBorders>
            <w:noWrap/>
            <w:vAlign w:val="bottom"/>
            <w:hideMark/>
          </w:tcPr>
          <w:p w14:paraId="0AF26DC1" w14:textId="4D2AC39D" w:rsidR="00374988" w:rsidRPr="00374988" w:rsidRDefault="28F9800E" w:rsidP="28F9800E">
            <w:pPr>
              <w:spacing w:after="0"/>
              <w:jc w:val="right"/>
              <w:rPr>
                <w:rFonts w:ascii="Times New Roman" w:hAnsi="Times New Roman" w:cs="Times New Roman"/>
                <w:sz w:val="20"/>
                <w:szCs w:val="20"/>
              </w:rPr>
            </w:pPr>
            <w:r w:rsidRPr="28F9800E">
              <w:rPr>
                <w:rFonts w:ascii="Times New Roman" w:hAnsi="Times New Roman" w:cs="Times New Roman"/>
                <w:sz w:val="20"/>
                <w:szCs w:val="20"/>
              </w:rPr>
              <w:t>2,1</w:t>
            </w:r>
          </w:p>
        </w:tc>
        <w:tc>
          <w:tcPr>
            <w:tcW w:w="733" w:type="dxa"/>
            <w:tcBorders>
              <w:top w:val="nil"/>
              <w:left w:val="nil"/>
              <w:bottom w:val="single" w:sz="4" w:space="0" w:color="auto"/>
              <w:right w:val="single" w:sz="4" w:space="0" w:color="auto"/>
            </w:tcBorders>
            <w:noWrap/>
            <w:vAlign w:val="bottom"/>
            <w:hideMark/>
          </w:tcPr>
          <w:p w14:paraId="116943FB" w14:textId="12E06898" w:rsidR="00374988" w:rsidRPr="00374988" w:rsidRDefault="28F9800E" w:rsidP="28F9800E">
            <w:pPr>
              <w:spacing w:after="0"/>
              <w:jc w:val="right"/>
              <w:rPr>
                <w:rFonts w:ascii="Times New Roman" w:hAnsi="Times New Roman" w:cs="Times New Roman"/>
                <w:sz w:val="20"/>
                <w:szCs w:val="20"/>
              </w:rPr>
            </w:pPr>
            <w:r w:rsidRPr="28F9800E">
              <w:rPr>
                <w:rFonts w:ascii="Times New Roman" w:hAnsi="Times New Roman" w:cs="Times New Roman"/>
                <w:sz w:val="20"/>
                <w:szCs w:val="20"/>
              </w:rPr>
              <w:t>109,2</w:t>
            </w:r>
          </w:p>
        </w:tc>
      </w:tr>
      <w:tr w:rsidR="00374988" w:rsidRPr="002E70D5" w14:paraId="4BD7171B" w14:textId="77777777" w:rsidTr="28F9800E">
        <w:trPr>
          <w:trHeight w:val="218"/>
        </w:trPr>
        <w:tc>
          <w:tcPr>
            <w:tcW w:w="5720" w:type="dxa"/>
            <w:tcBorders>
              <w:top w:val="nil"/>
              <w:left w:val="single" w:sz="4" w:space="0" w:color="auto"/>
              <w:bottom w:val="single" w:sz="4" w:space="0" w:color="auto"/>
              <w:right w:val="single" w:sz="4" w:space="0" w:color="auto"/>
            </w:tcBorders>
            <w:noWrap/>
            <w:vAlign w:val="center"/>
            <w:hideMark/>
          </w:tcPr>
          <w:p w14:paraId="55B155D0" w14:textId="77777777" w:rsidR="00374988" w:rsidRPr="002E70D5" w:rsidRDefault="5E04AD7D" w:rsidP="5E04AD7D">
            <w:pPr>
              <w:spacing w:after="0"/>
              <w:ind w:firstLineChars="400" w:firstLine="800"/>
              <w:rPr>
                <w:rFonts w:ascii="Times New Roman" w:hAnsi="Times New Roman" w:cs="Times New Roman"/>
                <w:i/>
                <w:iCs/>
                <w:color w:val="000000" w:themeColor="text1"/>
                <w:sz w:val="20"/>
                <w:szCs w:val="20"/>
              </w:rPr>
            </w:pPr>
            <w:r w:rsidRPr="5E04AD7D">
              <w:rPr>
                <w:rFonts w:ascii="Times New Roman" w:hAnsi="Times New Roman" w:cs="Times New Roman"/>
                <w:i/>
                <w:iCs/>
                <w:color w:val="000000" w:themeColor="text1"/>
                <w:sz w:val="20"/>
                <w:szCs w:val="20"/>
              </w:rPr>
              <w:t>Járási szociális feladatok ellátása</w:t>
            </w:r>
          </w:p>
        </w:tc>
        <w:tc>
          <w:tcPr>
            <w:tcW w:w="944" w:type="dxa"/>
            <w:tcBorders>
              <w:top w:val="nil"/>
              <w:left w:val="single" w:sz="4" w:space="0" w:color="auto"/>
              <w:bottom w:val="single" w:sz="4" w:space="0" w:color="auto"/>
              <w:right w:val="single" w:sz="4" w:space="0" w:color="auto"/>
            </w:tcBorders>
            <w:noWrap/>
            <w:vAlign w:val="bottom"/>
            <w:hideMark/>
          </w:tcPr>
          <w:p w14:paraId="0F35ED60" w14:textId="2AAE7FFA" w:rsidR="00374988" w:rsidRPr="00374988" w:rsidRDefault="28F9800E" w:rsidP="28F9800E">
            <w:pPr>
              <w:spacing w:after="0"/>
              <w:jc w:val="right"/>
              <w:rPr>
                <w:rFonts w:ascii="Times New Roman" w:hAnsi="Times New Roman" w:cs="Times New Roman"/>
                <w:sz w:val="20"/>
                <w:szCs w:val="20"/>
              </w:rPr>
            </w:pPr>
            <w:r w:rsidRPr="28F9800E">
              <w:rPr>
                <w:rFonts w:ascii="Times New Roman" w:hAnsi="Times New Roman" w:cs="Times New Roman"/>
                <w:sz w:val="20"/>
                <w:szCs w:val="20"/>
              </w:rPr>
              <w:t>3</w:t>
            </w:r>
            <w:r w:rsidR="00FA52E5">
              <w:rPr>
                <w:rFonts w:ascii="Times New Roman" w:hAnsi="Times New Roman" w:cs="Times New Roman"/>
                <w:sz w:val="20"/>
                <w:szCs w:val="20"/>
              </w:rPr>
              <w:t>1</w:t>
            </w:r>
            <w:r w:rsidRPr="28F9800E">
              <w:rPr>
                <w:rFonts w:ascii="Times New Roman" w:hAnsi="Times New Roman" w:cs="Times New Roman"/>
                <w:sz w:val="20"/>
                <w:szCs w:val="20"/>
              </w:rPr>
              <w:t>,4</w:t>
            </w:r>
          </w:p>
        </w:tc>
        <w:tc>
          <w:tcPr>
            <w:tcW w:w="991" w:type="dxa"/>
            <w:tcBorders>
              <w:top w:val="nil"/>
              <w:left w:val="nil"/>
              <w:bottom w:val="single" w:sz="4" w:space="0" w:color="auto"/>
              <w:right w:val="single" w:sz="4" w:space="0" w:color="auto"/>
            </w:tcBorders>
            <w:noWrap/>
            <w:vAlign w:val="bottom"/>
            <w:hideMark/>
          </w:tcPr>
          <w:p w14:paraId="22E02311" w14:textId="195D69D9" w:rsidR="00374988" w:rsidRPr="00374988" w:rsidRDefault="28F9800E" w:rsidP="28F9800E">
            <w:pPr>
              <w:spacing w:after="0"/>
              <w:jc w:val="right"/>
              <w:rPr>
                <w:rFonts w:ascii="Times New Roman" w:hAnsi="Times New Roman" w:cs="Times New Roman"/>
                <w:sz w:val="20"/>
                <w:szCs w:val="20"/>
              </w:rPr>
            </w:pPr>
            <w:r w:rsidRPr="28F9800E">
              <w:rPr>
                <w:rFonts w:ascii="Times New Roman" w:hAnsi="Times New Roman" w:cs="Times New Roman"/>
                <w:sz w:val="20"/>
                <w:szCs w:val="20"/>
              </w:rPr>
              <w:t>42,0</w:t>
            </w:r>
          </w:p>
        </w:tc>
        <w:tc>
          <w:tcPr>
            <w:tcW w:w="850" w:type="dxa"/>
            <w:tcBorders>
              <w:top w:val="nil"/>
              <w:left w:val="nil"/>
              <w:bottom w:val="single" w:sz="4" w:space="0" w:color="auto"/>
              <w:right w:val="single" w:sz="4" w:space="0" w:color="auto"/>
            </w:tcBorders>
            <w:noWrap/>
            <w:vAlign w:val="bottom"/>
            <w:hideMark/>
          </w:tcPr>
          <w:p w14:paraId="0BADF695" w14:textId="6B25B958" w:rsidR="00374988" w:rsidRPr="00374988" w:rsidRDefault="28F9800E" w:rsidP="28F9800E">
            <w:pPr>
              <w:spacing w:after="0"/>
              <w:jc w:val="right"/>
              <w:rPr>
                <w:rFonts w:ascii="Times New Roman" w:hAnsi="Times New Roman" w:cs="Times New Roman"/>
                <w:sz w:val="20"/>
                <w:szCs w:val="20"/>
              </w:rPr>
            </w:pPr>
            <w:r w:rsidRPr="28F9800E">
              <w:rPr>
                <w:rFonts w:ascii="Times New Roman" w:hAnsi="Times New Roman" w:cs="Times New Roman"/>
                <w:sz w:val="20"/>
                <w:szCs w:val="20"/>
              </w:rPr>
              <w:t>10,6</w:t>
            </w:r>
          </w:p>
        </w:tc>
        <w:tc>
          <w:tcPr>
            <w:tcW w:w="733" w:type="dxa"/>
            <w:tcBorders>
              <w:top w:val="nil"/>
              <w:left w:val="nil"/>
              <w:bottom w:val="single" w:sz="4" w:space="0" w:color="auto"/>
              <w:right w:val="single" w:sz="4" w:space="0" w:color="auto"/>
            </w:tcBorders>
            <w:noWrap/>
            <w:vAlign w:val="bottom"/>
            <w:hideMark/>
          </w:tcPr>
          <w:p w14:paraId="2BD95678" w14:textId="3DC7FE79" w:rsidR="00374988" w:rsidRPr="00374988" w:rsidRDefault="28F9800E" w:rsidP="28F9800E">
            <w:pPr>
              <w:spacing w:after="0"/>
              <w:jc w:val="right"/>
              <w:rPr>
                <w:rFonts w:ascii="Times New Roman" w:hAnsi="Times New Roman" w:cs="Times New Roman"/>
                <w:sz w:val="20"/>
                <w:szCs w:val="20"/>
              </w:rPr>
            </w:pPr>
            <w:r w:rsidRPr="28F9800E">
              <w:rPr>
                <w:rFonts w:ascii="Times New Roman" w:hAnsi="Times New Roman" w:cs="Times New Roman"/>
                <w:sz w:val="20"/>
                <w:szCs w:val="20"/>
              </w:rPr>
              <w:t>133,8</w:t>
            </w:r>
          </w:p>
        </w:tc>
      </w:tr>
      <w:tr w:rsidR="00374988" w:rsidRPr="002E70D5" w14:paraId="5D884F8B" w14:textId="77777777" w:rsidTr="28F9800E">
        <w:trPr>
          <w:trHeight w:val="218"/>
        </w:trPr>
        <w:tc>
          <w:tcPr>
            <w:tcW w:w="5720" w:type="dxa"/>
            <w:tcBorders>
              <w:top w:val="nil"/>
              <w:left w:val="single" w:sz="4" w:space="0" w:color="auto"/>
              <w:bottom w:val="single" w:sz="4" w:space="0" w:color="auto"/>
              <w:right w:val="single" w:sz="4" w:space="0" w:color="auto"/>
            </w:tcBorders>
            <w:noWrap/>
            <w:vAlign w:val="bottom"/>
            <w:hideMark/>
          </w:tcPr>
          <w:p w14:paraId="159E34A9" w14:textId="77777777" w:rsidR="00374988" w:rsidRPr="002E70D5" w:rsidRDefault="5E04AD7D" w:rsidP="5E04AD7D">
            <w:pPr>
              <w:spacing w:after="0"/>
              <w:rPr>
                <w:rFonts w:ascii="Times New Roman" w:hAnsi="Times New Roman" w:cs="Times New Roman"/>
                <w:b/>
                <w:bCs/>
                <w:color w:val="000000" w:themeColor="text1"/>
                <w:sz w:val="20"/>
                <w:szCs w:val="20"/>
              </w:rPr>
            </w:pPr>
            <w:r w:rsidRPr="5E04AD7D">
              <w:rPr>
                <w:rFonts w:ascii="Times New Roman" w:hAnsi="Times New Roman" w:cs="Times New Roman"/>
                <w:b/>
                <w:bCs/>
                <w:color w:val="000000" w:themeColor="text1"/>
                <w:sz w:val="20"/>
                <w:szCs w:val="20"/>
              </w:rPr>
              <w:t>Különféle jogcímen adott térítések</w:t>
            </w:r>
          </w:p>
        </w:tc>
        <w:tc>
          <w:tcPr>
            <w:tcW w:w="944" w:type="dxa"/>
            <w:tcBorders>
              <w:top w:val="nil"/>
              <w:left w:val="single" w:sz="4" w:space="0" w:color="auto"/>
              <w:bottom w:val="single" w:sz="4" w:space="0" w:color="auto"/>
              <w:right w:val="single" w:sz="4" w:space="0" w:color="auto"/>
            </w:tcBorders>
            <w:noWrap/>
            <w:vAlign w:val="bottom"/>
            <w:hideMark/>
          </w:tcPr>
          <w:p w14:paraId="715706AA" w14:textId="7D3E9F7A" w:rsidR="00374988" w:rsidRPr="00374988" w:rsidRDefault="28F9800E" w:rsidP="28F9800E">
            <w:pPr>
              <w:spacing w:after="0"/>
              <w:jc w:val="right"/>
              <w:rPr>
                <w:rFonts w:ascii="Times New Roman" w:hAnsi="Times New Roman" w:cs="Times New Roman"/>
                <w:b/>
                <w:bCs/>
                <w:sz w:val="20"/>
                <w:szCs w:val="20"/>
              </w:rPr>
            </w:pPr>
            <w:r w:rsidRPr="28F9800E">
              <w:rPr>
                <w:rFonts w:ascii="Times New Roman" w:hAnsi="Times New Roman" w:cs="Times New Roman"/>
                <w:b/>
                <w:bCs/>
                <w:sz w:val="20"/>
                <w:szCs w:val="20"/>
              </w:rPr>
              <w:t>6,0</w:t>
            </w:r>
          </w:p>
        </w:tc>
        <w:tc>
          <w:tcPr>
            <w:tcW w:w="991" w:type="dxa"/>
            <w:tcBorders>
              <w:top w:val="nil"/>
              <w:left w:val="nil"/>
              <w:bottom w:val="single" w:sz="4" w:space="0" w:color="auto"/>
              <w:right w:val="single" w:sz="4" w:space="0" w:color="auto"/>
            </w:tcBorders>
            <w:noWrap/>
            <w:vAlign w:val="bottom"/>
            <w:hideMark/>
          </w:tcPr>
          <w:p w14:paraId="32A7AEB4" w14:textId="4CAA3CC2" w:rsidR="00374988" w:rsidRPr="00374988" w:rsidRDefault="28F9800E" w:rsidP="28F9800E">
            <w:pPr>
              <w:spacing w:after="0"/>
              <w:jc w:val="right"/>
              <w:rPr>
                <w:rFonts w:ascii="Times New Roman" w:hAnsi="Times New Roman" w:cs="Times New Roman"/>
                <w:b/>
                <w:bCs/>
                <w:sz w:val="20"/>
                <w:szCs w:val="20"/>
              </w:rPr>
            </w:pPr>
            <w:r w:rsidRPr="28F9800E">
              <w:rPr>
                <w:rFonts w:ascii="Times New Roman" w:hAnsi="Times New Roman" w:cs="Times New Roman"/>
                <w:b/>
                <w:bCs/>
                <w:sz w:val="20"/>
                <w:szCs w:val="20"/>
              </w:rPr>
              <w:t>6,0</w:t>
            </w:r>
          </w:p>
        </w:tc>
        <w:tc>
          <w:tcPr>
            <w:tcW w:w="850" w:type="dxa"/>
            <w:tcBorders>
              <w:top w:val="nil"/>
              <w:left w:val="nil"/>
              <w:bottom w:val="single" w:sz="4" w:space="0" w:color="auto"/>
              <w:right w:val="single" w:sz="4" w:space="0" w:color="auto"/>
            </w:tcBorders>
            <w:noWrap/>
            <w:vAlign w:val="bottom"/>
            <w:hideMark/>
          </w:tcPr>
          <w:p w14:paraId="65E60E79" w14:textId="6EFA099E" w:rsidR="00374988" w:rsidRPr="00374988" w:rsidRDefault="28F9800E" w:rsidP="28F9800E">
            <w:pPr>
              <w:spacing w:after="0"/>
              <w:jc w:val="right"/>
              <w:rPr>
                <w:rFonts w:ascii="Times New Roman" w:hAnsi="Times New Roman" w:cs="Times New Roman"/>
                <w:b/>
                <w:bCs/>
                <w:sz w:val="20"/>
                <w:szCs w:val="20"/>
              </w:rPr>
            </w:pPr>
            <w:r w:rsidRPr="28F9800E">
              <w:rPr>
                <w:rFonts w:ascii="Times New Roman" w:hAnsi="Times New Roman" w:cs="Times New Roman"/>
                <w:b/>
                <w:bCs/>
                <w:sz w:val="20"/>
                <w:szCs w:val="20"/>
              </w:rPr>
              <w:t>0,0</w:t>
            </w:r>
          </w:p>
        </w:tc>
        <w:tc>
          <w:tcPr>
            <w:tcW w:w="733" w:type="dxa"/>
            <w:tcBorders>
              <w:top w:val="nil"/>
              <w:left w:val="nil"/>
              <w:bottom w:val="single" w:sz="4" w:space="0" w:color="auto"/>
              <w:right w:val="single" w:sz="4" w:space="0" w:color="auto"/>
            </w:tcBorders>
            <w:noWrap/>
            <w:vAlign w:val="bottom"/>
            <w:hideMark/>
          </w:tcPr>
          <w:p w14:paraId="45C6250D" w14:textId="283C7AB1" w:rsidR="00374988" w:rsidRPr="00374988" w:rsidRDefault="28F9800E" w:rsidP="28F9800E">
            <w:pPr>
              <w:spacing w:after="0"/>
              <w:jc w:val="right"/>
              <w:rPr>
                <w:rFonts w:ascii="Times New Roman" w:hAnsi="Times New Roman" w:cs="Times New Roman"/>
                <w:b/>
                <w:bCs/>
                <w:sz w:val="20"/>
                <w:szCs w:val="20"/>
              </w:rPr>
            </w:pPr>
            <w:r w:rsidRPr="28F9800E">
              <w:rPr>
                <w:rFonts w:ascii="Times New Roman" w:hAnsi="Times New Roman" w:cs="Times New Roman"/>
                <w:b/>
                <w:bCs/>
                <w:sz w:val="20"/>
                <w:szCs w:val="20"/>
              </w:rPr>
              <w:t>100,0</w:t>
            </w:r>
          </w:p>
        </w:tc>
      </w:tr>
      <w:tr w:rsidR="00374988" w:rsidRPr="002E70D5" w14:paraId="1F6A3088" w14:textId="77777777" w:rsidTr="28F9800E">
        <w:trPr>
          <w:trHeight w:val="218"/>
        </w:trPr>
        <w:tc>
          <w:tcPr>
            <w:tcW w:w="5720" w:type="dxa"/>
            <w:tcBorders>
              <w:top w:val="nil"/>
              <w:left w:val="single" w:sz="4" w:space="0" w:color="auto"/>
              <w:bottom w:val="single" w:sz="4" w:space="0" w:color="auto"/>
              <w:right w:val="single" w:sz="4" w:space="0" w:color="auto"/>
            </w:tcBorders>
            <w:noWrap/>
            <w:vAlign w:val="bottom"/>
            <w:hideMark/>
          </w:tcPr>
          <w:p w14:paraId="51606FF2" w14:textId="77777777" w:rsidR="00374988" w:rsidRPr="002E70D5" w:rsidRDefault="5E04AD7D" w:rsidP="5E04AD7D">
            <w:pPr>
              <w:spacing w:after="0"/>
              <w:ind w:firstLineChars="100" w:firstLine="200"/>
              <w:rPr>
                <w:rFonts w:ascii="Times New Roman" w:hAnsi="Times New Roman" w:cs="Times New Roman"/>
                <w:i/>
                <w:iCs/>
                <w:color w:val="000000" w:themeColor="text1"/>
                <w:sz w:val="20"/>
                <w:szCs w:val="20"/>
              </w:rPr>
            </w:pPr>
            <w:r w:rsidRPr="5E04AD7D">
              <w:rPr>
                <w:rFonts w:ascii="Times New Roman" w:hAnsi="Times New Roman" w:cs="Times New Roman"/>
                <w:i/>
                <w:iCs/>
                <w:color w:val="000000" w:themeColor="text1"/>
                <w:sz w:val="20"/>
                <w:szCs w:val="20"/>
              </w:rPr>
              <w:t xml:space="preserve">Ebből: </w:t>
            </w:r>
          </w:p>
        </w:tc>
        <w:tc>
          <w:tcPr>
            <w:tcW w:w="944" w:type="dxa"/>
            <w:tcBorders>
              <w:top w:val="nil"/>
              <w:left w:val="single" w:sz="4" w:space="0" w:color="auto"/>
              <w:bottom w:val="single" w:sz="4" w:space="0" w:color="auto"/>
              <w:right w:val="single" w:sz="4" w:space="0" w:color="auto"/>
            </w:tcBorders>
            <w:noWrap/>
            <w:vAlign w:val="bottom"/>
            <w:hideMark/>
          </w:tcPr>
          <w:p w14:paraId="7BB378B1" w14:textId="32B1285D" w:rsidR="00374988" w:rsidRPr="00374988" w:rsidRDefault="00374988" w:rsidP="1D3ABBAA">
            <w:pPr>
              <w:spacing w:after="0"/>
              <w:jc w:val="right"/>
              <w:rPr>
                <w:rFonts w:ascii="Times New Roman" w:hAnsi="Times New Roman" w:cs="Times New Roman"/>
                <w:sz w:val="20"/>
                <w:szCs w:val="20"/>
              </w:rPr>
            </w:pPr>
          </w:p>
        </w:tc>
        <w:tc>
          <w:tcPr>
            <w:tcW w:w="991" w:type="dxa"/>
            <w:tcBorders>
              <w:top w:val="nil"/>
              <w:left w:val="nil"/>
              <w:bottom w:val="single" w:sz="4" w:space="0" w:color="auto"/>
              <w:right w:val="single" w:sz="4" w:space="0" w:color="auto"/>
            </w:tcBorders>
            <w:noWrap/>
            <w:vAlign w:val="bottom"/>
            <w:hideMark/>
          </w:tcPr>
          <w:p w14:paraId="2F2A2014" w14:textId="0DB6691C" w:rsidR="00374988" w:rsidRPr="00374988" w:rsidRDefault="00374988" w:rsidP="1D3ABBAA">
            <w:pPr>
              <w:spacing w:after="0"/>
              <w:jc w:val="right"/>
              <w:rPr>
                <w:rFonts w:ascii="Times New Roman" w:hAnsi="Times New Roman" w:cs="Times New Roman"/>
                <w:sz w:val="20"/>
                <w:szCs w:val="20"/>
              </w:rPr>
            </w:pPr>
          </w:p>
        </w:tc>
        <w:tc>
          <w:tcPr>
            <w:tcW w:w="850" w:type="dxa"/>
            <w:tcBorders>
              <w:top w:val="nil"/>
              <w:left w:val="nil"/>
              <w:bottom w:val="single" w:sz="4" w:space="0" w:color="auto"/>
              <w:right w:val="single" w:sz="4" w:space="0" w:color="auto"/>
            </w:tcBorders>
            <w:noWrap/>
            <w:vAlign w:val="bottom"/>
            <w:hideMark/>
          </w:tcPr>
          <w:p w14:paraId="7E1D69D1" w14:textId="60615FDD" w:rsidR="00374988" w:rsidRPr="00374988" w:rsidRDefault="00374988" w:rsidP="1D3ABBAA">
            <w:pPr>
              <w:spacing w:after="0"/>
              <w:jc w:val="right"/>
              <w:rPr>
                <w:rFonts w:ascii="Times New Roman" w:hAnsi="Times New Roman" w:cs="Times New Roman"/>
                <w:sz w:val="20"/>
                <w:szCs w:val="20"/>
              </w:rPr>
            </w:pPr>
          </w:p>
        </w:tc>
        <w:tc>
          <w:tcPr>
            <w:tcW w:w="733" w:type="dxa"/>
            <w:tcBorders>
              <w:top w:val="nil"/>
              <w:left w:val="nil"/>
              <w:bottom w:val="single" w:sz="4" w:space="0" w:color="auto"/>
              <w:right w:val="single" w:sz="4" w:space="0" w:color="auto"/>
            </w:tcBorders>
            <w:noWrap/>
            <w:vAlign w:val="bottom"/>
            <w:hideMark/>
          </w:tcPr>
          <w:p w14:paraId="49716CDD" w14:textId="6A02F8FE" w:rsidR="00374988" w:rsidRPr="00374988" w:rsidRDefault="28F9800E" w:rsidP="28F9800E">
            <w:pPr>
              <w:spacing w:after="0"/>
              <w:jc w:val="right"/>
              <w:rPr>
                <w:rFonts w:ascii="Times New Roman" w:hAnsi="Times New Roman" w:cs="Times New Roman"/>
                <w:sz w:val="20"/>
                <w:szCs w:val="20"/>
              </w:rPr>
            </w:pPr>
            <w:r w:rsidRPr="28F9800E">
              <w:rPr>
                <w:rFonts w:ascii="Times New Roman" w:hAnsi="Times New Roman" w:cs="Times New Roman"/>
                <w:sz w:val="20"/>
                <w:szCs w:val="20"/>
              </w:rPr>
              <w:t> </w:t>
            </w:r>
          </w:p>
        </w:tc>
      </w:tr>
      <w:tr w:rsidR="00374988" w:rsidRPr="002E70D5" w14:paraId="084817F6" w14:textId="77777777" w:rsidTr="28F9800E">
        <w:trPr>
          <w:trHeight w:val="218"/>
        </w:trPr>
        <w:tc>
          <w:tcPr>
            <w:tcW w:w="5720" w:type="dxa"/>
            <w:tcBorders>
              <w:top w:val="nil"/>
              <w:left w:val="single" w:sz="4" w:space="0" w:color="auto"/>
              <w:bottom w:val="single" w:sz="4" w:space="0" w:color="auto"/>
              <w:right w:val="single" w:sz="4" w:space="0" w:color="auto"/>
            </w:tcBorders>
            <w:noWrap/>
            <w:vAlign w:val="bottom"/>
            <w:hideMark/>
          </w:tcPr>
          <w:p w14:paraId="47D48781" w14:textId="77777777" w:rsidR="00374988" w:rsidRPr="002E70D5" w:rsidRDefault="5E04AD7D" w:rsidP="5E04AD7D">
            <w:pPr>
              <w:spacing w:after="0"/>
              <w:ind w:firstLineChars="400" w:firstLine="800"/>
              <w:rPr>
                <w:rFonts w:ascii="Times New Roman" w:hAnsi="Times New Roman" w:cs="Times New Roman"/>
                <w:i/>
                <w:iCs/>
                <w:color w:val="000000" w:themeColor="text1"/>
                <w:sz w:val="20"/>
                <w:szCs w:val="20"/>
              </w:rPr>
            </w:pPr>
            <w:r w:rsidRPr="5E04AD7D">
              <w:rPr>
                <w:rFonts w:ascii="Times New Roman" w:hAnsi="Times New Roman" w:cs="Times New Roman"/>
                <w:i/>
                <w:iCs/>
                <w:color w:val="000000" w:themeColor="text1"/>
                <w:sz w:val="20"/>
                <w:szCs w:val="20"/>
              </w:rPr>
              <w:t>közgyógyellátás</w:t>
            </w:r>
          </w:p>
        </w:tc>
        <w:tc>
          <w:tcPr>
            <w:tcW w:w="944" w:type="dxa"/>
            <w:tcBorders>
              <w:top w:val="nil"/>
              <w:left w:val="single" w:sz="4" w:space="0" w:color="auto"/>
              <w:bottom w:val="single" w:sz="4" w:space="0" w:color="auto"/>
              <w:right w:val="single" w:sz="4" w:space="0" w:color="auto"/>
            </w:tcBorders>
            <w:noWrap/>
            <w:vAlign w:val="bottom"/>
            <w:hideMark/>
          </w:tcPr>
          <w:p w14:paraId="3F5F3F3F" w14:textId="4A707875" w:rsidR="00374988" w:rsidRPr="00374988" w:rsidRDefault="28F9800E" w:rsidP="28F9800E">
            <w:pPr>
              <w:spacing w:after="0"/>
              <w:jc w:val="right"/>
              <w:rPr>
                <w:rFonts w:ascii="Times New Roman" w:hAnsi="Times New Roman" w:cs="Times New Roman"/>
                <w:sz w:val="20"/>
                <w:szCs w:val="20"/>
              </w:rPr>
            </w:pPr>
            <w:r w:rsidRPr="28F9800E">
              <w:rPr>
                <w:rFonts w:ascii="Times New Roman" w:hAnsi="Times New Roman" w:cs="Times New Roman"/>
                <w:sz w:val="20"/>
                <w:szCs w:val="20"/>
              </w:rPr>
              <w:t>4,0</w:t>
            </w:r>
          </w:p>
        </w:tc>
        <w:tc>
          <w:tcPr>
            <w:tcW w:w="991" w:type="dxa"/>
            <w:tcBorders>
              <w:top w:val="nil"/>
              <w:left w:val="nil"/>
              <w:bottom w:val="single" w:sz="4" w:space="0" w:color="auto"/>
              <w:right w:val="single" w:sz="4" w:space="0" w:color="auto"/>
            </w:tcBorders>
            <w:noWrap/>
            <w:vAlign w:val="bottom"/>
            <w:hideMark/>
          </w:tcPr>
          <w:p w14:paraId="440A367E" w14:textId="5F4384B3" w:rsidR="00374988" w:rsidRPr="00374988" w:rsidRDefault="28F9800E" w:rsidP="28F9800E">
            <w:pPr>
              <w:spacing w:after="0"/>
              <w:jc w:val="right"/>
              <w:rPr>
                <w:rFonts w:ascii="Times New Roman" w:hAnsi="Times New Roman" w:cs="Times New Roman"/>
                <w:sz w:val="20"/>
                <w:szCs w:val="20"/>
              </w:rPr>
            </w:pPr>
            <w:r w:rsidRPr="28F9800E">
              <w:rPr>
                <w:rFonts w:ascii="Times New Roman" w:hAnsi="Times New Roman" w:cs="Times New Roman"/>
                <w:sz w:val="20"/>
                <w:szCs w:val="20"/>
              </w:rPr>
              <w:t>4,0</w:t>
            </w:r>
          </w:p>
        </w:tc>
        <w:tc>
          <w:tcPr>
            <w:tcW w:w="850" w:type="dxa"/>
            <w:tcBorders>
              <w:top w:val="nil"/>
              <w:left w:val="nil"/>
              <w:bottom w:val="single" w:sz="4" w:space="0" w:color="auto"/>
              <w:right w:val="single" w:sz="4" w:space="0" w:color="auto"/>
            </w:tcBorders>
            <w:noWrap/>
            <w:vAlign w:val="bottom"/>
            <w:hideMark/>
          </w:tcPr>
          <w:p w14:paraId="56D95B1C" w14:textId="0FBE93C7" w:rsidR="00374988" w:rsidRPr="00374988" w:rsidRDefault="28F9800E" w:rsidP="28F9800E">
            <w:pPr>
              <w:spacing w:after="0"/>
              <w:jc w:val="right"/>
              <w:rPr>
                <w:rFonts w:ascii="Times New Roman" w:hAnsi="Times New Roman" w:cs="Times New Roman"/>
                <w:sz w:val="20"/>
                <w:szCs w:val="20"/>
              </w:rPr>
            </w:pPr>
            <w:r w:rsidRPr="28F9800E">
              <w:rPr>
                <w:rFonts w:ascii="Times New Roman" w:hAnsi="Times New Roman" w:cs="Times New Roman"/>
                <w:sz w:val="20"/>
                <w:szCs w:val="20"/>
              </w:rPr>
              <w:t>0,0</w:t>
            </w:r>
          </w:p>
        </w:tc>
        <w:tc>
          <w:tcPr>
            <w:tcW w:w="733" w:type="dxa"/>
            <w:tcBorders>
              <w:top w:val="nil"/>
              <w:left w:val="nil"/>
              <w:bottom w:val="single" w:sz="4" w:space="0" w:color="auto"/>
              <w:right w:val="single" w:sz="4" w:space="0" w:color="auto"/>
            </w:tcBorders>
            <w:noWrap/>
            <w:vAlign w:val="bottom"/>
            <w:hideMark/>
          </w:tcPr>
          <w:p w14:paraId="6B892B1E" w14:textId="558123F8" w:rsidR="00374988" w:rsidRPr="00374988" w:rsidRDefault="28F9800E" w:rsidP="28F9800E">
            <w:pPr>
              <w:spacing w:after="0"/>
              <w:jc w:val="right"/>
              <w:rPr>
                <w:rFonts w:ascii="Times New Roman" w:hAnsi="Times New Roman" w:cs="Times New Roman"/>
                <w:sz w:val="20"/>
                <w:szCs w:val="20"/>
              </w:rPr>
            </w:pPr>
            <w:r w:rsidRPr="28F9800E">
              <w:rPr>
                <w:rFonts w:ascii="Times New Roman" w:hAnsi="Times New Roman" w:cs="Times New Roman"/>
                <w:sz w:val="20"/>
                <w:szCs w:val="20"/>
              </w:rPr>
              <w:t>100,0</w:t>
            </w:r>
          </w:p>
        </w:tc>
      </w:tr>
      <w:tr w:rsidR="00374988" w:rsidRPr="002E70D5" w14:paraId="4A95CF06" w14:textId="77777777" w:rsidTr="28F9800E">
        <w:trPr>
          <w:trHeight w:val="218"/>
        </w:trPr>
        <w:tc>
          <w:tcPr>
            <w:tcW w:w="5720" w:type="dxa"/>
            <w:tcBorders>
              <w:top w:val="nil"/>
              <w:left w:val="single" w:sz="4" w:space="0" w:color="auto"/>
              <w:bottom w:val="single" w:sz="4" w:space="0" w:color="auto"/>
              <w:right w:val="single" w:sz="4" w:space="0" w:color="auto"/>
            </w:tcBorders>
            <w:noWrap/>
            <w:vAlign w:val="bottom"/>
            <w:hideMark/>
          </w:tcPr>
          <w:p w14:paraId="50CBE7CC" w14:textId="77777777" w:rsidR="00374988" w:rsidRPr="002E70D5" w:rsidRDefault="5E04AD7D" w:rsidP="5E04AD7D">
            <w:pPr>
              <w:spacing w:after="0"/>
              <w:rPr>
                <w:rFonts w:ascii="Times New Roman" w:hAnsi="Times New Roman" w:cs="Times New Roman"/>
                <w:b/>
                <w:bCs/>
                <w:color w:val="000000" w:themeColor="text1"/>
                <w:sz w:val="20"/>
                <w:szCs w:val="20"/>
              </w:rPr>
            </w:pPr>
            <w:r w:rsidRPr="5E04AD7D">
              <w:rPr>
                <w:rFonts w:ascii="Times New Roman" w:hAnsi="Times New Roman" w:cs="Times New Roman"/>
                <w:b/>
                <w:bCs/>
                <w:color w:val="000000" w:themeColor="text1"/>
                <w:sz w:val="20"/>
                <w:szCs w:val="20"/>
              </w:rPr>
              <w:t>Összesen</w:t>
            </w:r>
          </w:p>
        </w:tc>
        <w:tc>
          <w:tcPr>
            <w:tcW w:w="944" w:type="dxa"/>
            <w:tcBorders>
              <w:top w:val="nil"/>
              <w:left w:val="single" w:sz="4" w:space="0" w:color="auto"/>
              <w:bottom w:val="single" w:sz="4" w:space="0" w:color="auto"/>
              <w:right w:val="single" w:sz="4" w:space="0" w:color="auto"/>
            </w:tcBorders>
            <w:noWrap/>
            <w:vAlign w:val="bottom"/>
            <w:hideMark/>
          </w:tcPr>
          <w:p w14:paraId="39885620" w14:textId="6930E0BF" w:rsidR="00374988" w:rsidRPr="00374988" w:rsidRDefault="28F9800E" w:rsidP="28F9800E">
            <w:pPr>
              <w:spacing w:after="0"/>
              <w:jc w:val="right"/>
              <w:rPr>
                <w:rFonts w:ascii="Times New Roman" w:hAnsi="Times New Roman" w:cs="Times New Roman"/>
                <w:b/>
                <w:bCs/>
                <w:sz w:val="20"/>
                <w:szCs w:val="20"/>
              </w:rPr>
            </w:pPr>
            <w:r w:rsidRPr="28F9800E">
              <w:rPr>
                <w:rFonts w:ascii="Times New Roman" w:hAnsi="Times New Roman" w:cs="Times New Roman"/>
                <w:b/>
                <w:bCs/>
                <w:sz w:val="20"/>
                <w:szCs w:val="20"/>
              </w:rPr>
              <w:t>200,9</w:t>
            </w:r>
          </w:p>
        </w:tc>
        <w:tc>
          <w:tcPr>
            <w:tcW w:w="991" w:type="dxa"/>
            <w:tcBorders>
              <w:top w:val="nil"/>
              <w:left w:val="nil"/>
              <w:bottom w:val="single" w:sz="4" w:space="0" w:color="auto"/>
              <w:right w:val="single" w:sz="4" w:space="0" w:color="auto"/>
            </w:tcBorders>
            <w:noWrap/>
            <w:vAlign w:val="bottom"/>
            <w:hideMark/>
          </w:tcPr>
          <w:p w14:paraId="3E5CDB5F" w14:textId="136227B4" w:rsidR="00374988" w:rsidRPr="00374988" w:rsidRDefault="28F9800E" w:rsidP="28F9800E">
            <w:pPr>
              <w:spacing w:after="0"/>
              <w:jc w:val="right"/>
              <w:rPr>
                <w:rFonts w:ascii="Times New Roman" w:hAnsi="Times New Roman" w:cs="Times New Roman"/>
                <w:b/>
                <w:bCs/>
                <w:sz w:val="20"/>
                <w:szCs w:val="20"/>
              </w:rPr>
            </w:pPr>
            <w:r w:rsidRPr="28F9800E">
              <w:rPr>
                <w:rFonts w:ascii="Times New Roman" w:hAnsi="Times New Roman" w:cs="Times New Roman"/>
                <w:b/>
                <w:bCs/>
                <w:sz w:val="20"/>
                <w:szCs w:val="20"/>
              </w:rPr>
              <w:t>214,3</w:t>
            </w:r>
          </w:p>
        </w:tc>
        <w:tc>
          <w:tcPr>
            <w:tcW w:w="850" w:type="dxa"/>
            <w:tcBorders>
              <w:top w:val="nil"/>
              <w:left w:val="nil"/>
              <w:bottom w:val="single" w:sz="4" w:space="0" w:color="auto"/>
              <w:right w:val="single" w:sz="4" w:space="0" w:color="auto"/>
            </w:tcBorders>
            <w:noWrap/>
            <w:vAlign w:val="bottom"/>
            <w:hideMark/>
          </w:tcPr>
          <w:p w14:paraId="0B58ABDF" w14:textId="521C6C41" w:rsidR="00374988" w:rsidRPr="00374988" w:rsidRDefault="28F9800E" w:rsidP="28F9800E">
            <w:pPr>
              <w:spacing w:after="0"/>
              <w:jc w:val="right"/>
              <w:rPr>
                <w:rFonts w:ascii="Times New Roman" w:hAnsi="Times New Roman" w:cs="Times New Roman"/>
                <w:b/>
                <w:bCs/>
                <w:sz w:val="20"/>
                <w:szCs w:val="20"/>
              </w:rPr>
            </w:pPr>
            <w:r w:rsidRPr="28F9800E">
              <w:rPr>
                <w:rFonts w:ascii="Times New Roman" w:hAnsi="Times New Roman" w:cs="Times New Roman"/>
                <w:b/>
                <w:bCs/>
                <w:sz w:val="20"/>
                <w:szCs w:val="20"/>
              </w:rPr>
              <w:t>13,4</w:t>
            </w:r>
          </w:p>
        </w:tc>
        <w:tc>
          <w:tcPr>
            <w:tcW w:w="733" w:type="dxa"/>
            <w:tcBorders>
              <w:top w:val="nil"/>
              <w:left w:val="nil"/>
              <w:bottom w:val="single" w:sz="4" w:space="0" w:color="auto"/>
              <w:right w:val="single" w:sz="4" w:space="0" w:color="auto"/>
            </w:tcBorders>
            <w:noWrap/>
            <w:vAlign w:val="bottom"/>
            <w:hideMark/>
          </w:tcPr>
          <w:p w14:paraId="63C6541D" w14:textId="68CDC90E" w:rsidR="00374988" w:rsidRPr="00374988" w:rsidRDefault="28F9800E" w:rsidP="28F9800E">
            <w:pPr>
              <w:spacing w:after="0"/>
              <w:jc w:val="right"/>
              <w:rPr>
                <w:rFonts w:ascii="Times New Roman" w:hAnsi="Times New Roman" w:cs="Times New Roman"/>
                <w:b/>
                <w:bCs/>
                <w:sz w:val="20"/>
                <w:szCs w:val="20"/>
              </w:rPr>
            </w:pPr>
            <w:r w:rsidRPr="28F9800E">
              <w:rPr>
                <w:rFonts w:ascii="Times New Roman" w:hAnsi="Times New Roman" w:cs="Times New Roman"/>
                <w:b/>
                <w:bCs/>
                <w:sz w:val="20"/>
                <w:szCs w:val="20"/>
              </w:rPr>
              <w:t>106,7</w:t>
            </w:r>
          </w:p>
        </w:tc>
      </w:tr>
    </w:tbl>
    <w:p w14:paraId="750459B8" w14:textId="514742A9" w:rsidR="136379A9" w:rsidRDefault="5E04AD7D" w:rsidP="00527154">
      <w:pPr>
        <w:spacing w:before="240"/>
        <w:jc w:val="both"/>
      </w:pPr>
      <w:r w:rsidRPr="5E04AD7D">
        <w:rPr>
          <w:rFonts w:ascii="Times New Roman" w:eastAsia="Times New Roman" w:hAnsi="Times New Roman" w:cs="Times New Roman"/>
          <w:sz w:val="26"/>
          <w:szCs w:val="26"/>
        </w:rPr>
        <w:t xml:space="preserve">A </w:t>
      </w:r>
      <w:r w:rsidRPr="5E04AD7D">
        <w:rPr>
          <w:rFonts w:ascii="Times New Roman" w:eastAsia="Times New Roman" w:hAnsi="Times New Roman" w:cs="Times New Roman"/>
          <w:b/>
          <w:bCs/>
          <w:sz w:val="26"/>
          <w:szCs w:val="26"/>
        </w:rPr>
        <w:t>családi támogatásokra</w:t>
      </w:r>
      <w:r w:rsidRPr="5E04AD7D">
        <w:rPr>
          <w:rFonts w:ascii="Times New Roman" w:eastAsia="Times New Roman" w:hAnsi="Times New Roman" w:cs="Times New Roman"/>
          <w:sz w:val="26"/>
          <w:szCs w:val="26"/>
        </w:rPr>
        <w:t xml:space="preserve"> 2026 első három hónapjában összesen 101,7 milliárd forintot fizettek ki, amely 1,2 milliárd forinttal volt alacsonyabb az előző évi teljesítésnél.</w:t>
      </w:r>
    </w:p>
    <w:p w14:paraId="09AD0BD6" w14:textId="20E7403D" w:rsidR="136379A9" w:rsidRDefault="28F9800E" w:rsidP="136379A9">
      <w:pPr>
        <w:jc w:val="both"/>
      </w:pPr>
      <w:r w:rsidRPr="28F9800E">
        <w:rPr>
          <w:rFonts w:ascii="Times New Roman" w:eastAsia="Times New Roman" w:hAnsi="Times New Roman" w:cs="Times New Roman"/>
          <w:sz w:val="26"/>
          <w:szCs w:val="26"/>
        </w:rPr>
        <w:t xml:space="preserve">A </w:t>
      </w:r>
      <w:r w:rsidRPr="28F9800E">
        <w:rPr>
          <w:rFonts w:ascii="Times New Roman" w:eastAsia="Times New Roman" w:hAnsi="Times New Roman" w:cs="Times New Roman"/>
          <w:b/>
          <w:bCs/>
          <w:sz w:val="26"/>
          <w:szCs w:val="26"/>
        </w:rPr>
        <w:t>korhatár alatti ellátások</w:t>
      </w:r>
      <w:r w:rsidRPr="28F9800E">
        <w:rPr>
          <w:rFonts w:ascii="Times New Roman" w:eastAsia="Times New Roman" w:hAnsi="Times New Roman" w:cs="Times New Roman"/>
          <w:sz w:val="26"/>
          <w:szCs w:val="26"/>
        </w:rPr>
        <w:t xml:space="preserve"> esetében a kiadás 1,7 milliárd forinttal magasabb volt az előző év azonos időszakához képest. A kiadások növekedését elsősorban az okozta, hogy februárban a korhatár előtti ellátásban részesülő személyek is részesültek 13. havi ellátásban és 14. havi ellátás 25%-ában. Ezen túlmenően januárban sor került – az öregségi nyugdíjakhoz hasonlóan – az ellátások 3,6%-os emelésére is.</w:t>
      </w:r>
    </w:p>
    <w:p w14:paraId="4FDC183B" w14:textId="393862B8" w:rsidR="136379A9" w:rsidRDefault="5E04AD7D" w:rsidP="136379A9">
      <w:pPr>
        <w:jc w:val="both"/>
      </w:pPr>
      <w:r w:rsidRPr="5E04AD7D">
        <w:rPr>
          <w:rFonts w:ascii="Times New Roman" w:eastAsia="Times New Roman" w:hAnsi="Times New Roman" w:cs="Times New Roman"/>
          <w:sz w:val="26"/>
          <w:szCs w:val="26"/>
        </w:rPr>
        <w:t xml:space="preserve">2026 március végéig a </w:t>
      </w:r>
      <w:r w:rsidRPr="00E5741E">
        <w:rPr>
          <w:rFonts w:ascii="Times New Roman" w:eastAsia="Times New Roman" w:hAnsi="Times New Roman" w:cs="Times New Roman"/>
          <w:b/>
          <w:bCs/>
          <w:sz w:val="26"/>
          <w:szCs w:val="26"/>
        </w:rPr>
        <w:t>jövedelempótló és jövedelemkiegészítő szociális támogatásokra</w:t>
      </w:r>
      <w:r w:rsidRPr="5E04AD7D">
        <w:rPr>
          <w:rFonts w:ascii="Times New Roman" w:eastAsia="Times New Roman" w:hAnsi="Times New Roman" w:cs="Times New Roman"/>
          <w:sz w:val="26"/>
          <w:szCs w:val="26"/>
        </w:rPr>
        <w:t xml:space="preserve"> biztosított kiadásokon belül a </w:t>
      </w:r>
      <w:r w:rsidRPr="00E5741E">
        <w:rPr>
          <w:rFonts w:ascii="Times New Roman" w:eastAsia="Times New Roman" w:hAnsi="Times New Roman" w:cs="Times New Roman"/>
          <w:sz w:val="26"/>
          <w:szCs w:val="26"/>
        </w:rPr>
        <w:t>járási szociális feladatok ellátására</w:t>
      </w:r>
      <w:r w:rsidRPr="5E04AD7D">
        <w:rPr>
          <w:rFonts w:ascii="Times New Roman" w:eastAsia="Times New Roman" w:hAnsi="Times New Roman" w:cs="Times New Roman"/>
          <w:sz w:val="26"/>
          <w:szCs w:val="26"/>
        </w:rPr>
        <w:t xml:space="preserve"> (gyermekek otthongondozási díja, ápolási díj, időskorúak járadéka, foglalkoztatást helyettesítő támogatás, egészségkárosodási és gyermekfelügyeleti támogatás) 42,0 milliárd forintot </w:t>
      </w:r>
      <w:r w:rsidRPr="5E04AD7D">
        <w:rPr>
          <w:rFonts w:ascii="Times New Roman" w:eastAsia="Times New Roman" w:hAnsi="Times New Roman" w:cs="Times New Roman"/>
          <w:sz w:val="26"/>
          <w:szCs w:val="26"/>
        </w:rPr>
        <w:lastRenderedPageBreak/>
        <w:t>fordítottak, mely 10,6 milliárd forinttal magasabb az előző évi adatnál. A növekedést az</w:t>
      </w:r>
      <w:r w:rsidR="0002125B">
        <w:rPr>
          <w:rFonts w:ascii="Times New Roman" w:eastAsia="Times New Roman" w:hAnsi="Times New Roman" w:cs="Times New Roman"/>
          <w:sz w:val="26"/>
          <w:szCs w:val="26"/>
        </w:rPr>
        <w:t> </w:t>
      </w:r>
      <w:r w:rsidRPr="5E04AD7D">
        <w:rPr>
          <w:rFonts w:ascii="Times New Roman" w:eastAsia="Times New Roman" w:hAnsi="Times New Roman" w:cs="Times New Roman"/>
          <w:sz w:val="26"/>
          <w:szCs w:val="26"/>
        </w:rPr>
        <w:t xml:space="preserve">okozza, hogy 2026. januártól a gyermekek otthongondozási díj összege a minimálbér emelkedése miatt (290 800 forintról 322 800 forintra) emelkedett, az ápolási díj összege pedig 3,6%-kal nőtt. </w:t>
      </w:r>
    </w:p>
    <w:p w14:paraId="469DDFF9" w14:textId="64722887" w:rsidR="136379A9" w:rsidRDefault="28F9800E" w:rsidP="136379A9">
      <w:pPr>
        <w:jc w:val="both"/>
      </w:pPr>
      <w:r w:rsidRPr="28F9800E">
        <w:rPr>
          <w:rFonts w:ascii="Times New Roman" w:eastAsia="Times New Roman" w:hAnsi="Times New Roman" w:cs="Times New Roman"/>
          <w:sz w:val="26"/>
          <w:szCs w:val="26"/>
        </w:rPr>
        <w:t xml:space="preserve">A </w:t>
      </w:r>
      <w:r w:rsidRPr="28F9800E">
        <w:rPr>
          <w:rFonts w:ascii="Times New Roman" w:eastAsia="Times New Roman" w:hAnsi="Times New Roman" w:cs="Times New Roman"/>
          <w:b/>
          <w:bCs/>
          <w:sz w:val="26"/>
          <w:szCs w:val="26"/>
        </w:rPr>
        <w:t>Jövedelempótló és jövedelemkiegészítő ellátások</w:t>
      </w:r>
      <w:r w:rsidRPr="28F9800E">
        <w:rPr>
          <w:rFonts w:ascii="Times New Roman" w:eastAsia="Times New Roman" w:hAnsi="Times New Roman" w:cs="Times New Roman"/>
          <w:sz w:val="26"/>
          <w:szCs w:val="26"/>
        </w:rPr>
        <w:t xml:space="preserve"> előirányzat tartalmazza a</w:t>
      </w:r>
      <w:r w:rsidR="0002125B">
        <w:rPr>
          <w:rFonts w:ascii="Times New Roman" w:eastAsia="Times New Roman" w:hAnsi="Times New Roman" w:cs="Times New Roman"/>
          <w:sz w:val="26"/>
          <w:szCs w:val="26"/>
        </w:rPr>
        <w:t> </w:t>
      </w:r>
      <w:r w:rsidRPr="28F9800E">
        <w:rPr>
          <w:rFonts w:ascii="Times New Roman" w:eastAsia="Times New Roman" w:hAnsi="Times New Roman" w:cs="Times New Roman"/>
          <w:sz w:val="26"/>
          <w:szCs w:val="26"/>
        </w:rPr>
        <w:t>fogyatékossági támogatás, a vakok személyi járadéka, az átmeneti bányászjáradék és számos további, jellemzően kifutó jellegű ellátás (pl. mezőgazdasági járadék, politikai rehabilitációs és más nyugdíj-kiegészítések, házastársi pótlék) forrását. A jövedelempótló és jövedelemkiegészítő ellátásokra 25,0</w:t>
      </w:r>
      <w:r w:rsidR="00B97040">
        <w:rPr>
          <w:rFonts w:ascii="Times New Roman" w:eastAsia="Times New Roman" w:hAnsi="Times New Roman" w:cs="Times New Roman"/>
          <w:sz w:val="26"/>
          <w:szCs w:val="26"/>
        </w:rPr>
        <w:t> </w:t>
      </w:r>
      <w:r w:rsidRPr="28F9800E">
        <w:rPr>
          <w:rFonts w:ascii="Times New Roman" w:eastAsia="Times New Roman" w:hAnsi="Times New Roman" w:cs="Times New Roman"/>
          <w:sz w:val="26"/>
          <w:szCs w:val="26"/>
        </w:rPr>
        <w:t>milliárd forintot fizettek ki, mely az előző évi kifizetésnél 2,1</w:t>
      </w:r>
      <w:r w:rsidR="00B97040">
        <w:rPr>
          <w:rFonts w:ascii="Times New Roman" w:eastAsia="Times New Roman" w:hAnsi="Times New Roman" w:cs="Times New Roman"/>
          <w:sz w:val="26"/>
          <w:szCs w:val="26"/>
        </w:rPr>
        <w:t> </w:t>
      </w:r>
      <w:r w:rsidRPr="28F9800E">
        <w:rPr>
          <w:rFonts w:ascii="Times New Roman" w:eastAsia="Times New Roman" w:hAnsi="Times New Roman" w:cs="Times New Roman"/>
          <w:sz w:val="26"/>
          <w:szCs w:val="26"/>
        </w:rPr>
        <w:t>milliárd forinttal magasabb. A kiadások növekedését egyes ellátások januárban végrehajtott 3,6%-os emelésének, valamint a 2026. februárjában kifizetett 13.</w:t>
      </w:r>
      <w:r w:rsidR="0002125B">
        <w:rPr>
          <w:rFonts w:ascii="Times New Roman" w:eastAsia="Times New Roman" w:hAnsi="Times New Roman" w:cs="Times New Roman"/>
          <w:sz w:val="26"/>
          <w:szCs w:val="26"/>
        </w:rPr>
        <w:t> </w:t>
      </w:r>
      <w:r w:rsidRPr="28F9800E">
        <w:rPr>
          <w:rFonts w:ascii="Times New Roman" w:eastAsia="Times New Roman" w:hAnsi="Times New Roman" w:cs="Times New Roman"/>
          <w:sz w:val="26"/>
          <w:szCs w:val="26"/>
        </w:rPr>
        <w:t xml:space="preserve">havi ellátásnak és 14. havi ellátás 25%-ának hatása okozza. </w:t>
      </w:r>
    </w:p>
    <w:p w14:paraId="381C1DA0" w14:textId="6C162523" w:rsidR="136379A9" w:rsidRDefault="5E04AD7D" w:rsidP="136379A9">
      <w:pPr>
        <w:jc w:val="both"/>
      </w:pPr>
      <w:r w:rsidRPr="5E04AD7D">
        <w:rPr>
          <w:rFonts w:ascii="Times New Roman" w:eastAsia="Times New Roman" w:hAnsi="Times New Roman" w:cs="Times New Roman"/>
          <w:sz w:val="26"/>
          <w:szCs w:val="26"/>
        </w:rPr>
        <w:t xml:space="preserve">A </w:t>
      </w:r>
      <w:r w:rsidRPr="5E04AD7D">
        <w:rPr>
          <w:rFonts w:ascii="Times New Roman" w:eastAsia="Times New Roman" w:hAnsi="Times New Roman" w:cs="Times New Roman"/>
          <w:b/>
          <w:bCs/>
          <w:sz w:val="26"/>
          <w:szCs w:val="26"/>
        </w:rPr>
        <w:t>különféle jogcímen adott térítések</w:t>
      </w:r>
      <w:r w:rsidRPr="5E04AD7D">
        <w:rPr>
          <w:rFonts w:ascii="Times New Roman" w:eastAsia="Times New Roman" w:hAnsi="Times New Roman" w:cs="Times New Roman"/>
          <w:sz w:val="26"/>
          <w:szCs w:val="26"/>
        </w:rPr>
        <w:t xml:space="preserve"> 2026</w:t>
      </w:r>
      <w:r w:rsidR="002B6AEE">
        <w:rPr>
          <w:rFonts w:ascii="Times New Roman" w:eastAsia="Times New Roman" w:hAnsi="Times New Roman" w:cs="Times New Roman"/>
          <w:sz w:val="26"/>
          <w:szCs w:val="26"/>
        </w:rPr>
        <w:t>.</w:t>
      </w:r>
      <w:r w:rsidRPr="5E04AD7D">
        <w:rPr>
          <w:rFonts w:ascii="Times New Roman" w:eastAsia="Times New Roman" w:hAnsi="Times New Roman" w:cs="Times New Roman"/>
          <w:sz w:val="26"/>
          <w:szCs w:val="26"/>
        </w:rPr>
        <w:t xml:space="preserve"> március végéig kifizetett összege az előző év azonos időszakával megegyező. A térítéseken belül a legnagyobb összeget, 4,0 milliárd forintot a közgyógyellátásra fizették ki.</w:t>
      </w:r>
    </w:p>
    <w:p w14:paraId="2BBDBEB3" w14:textId="7517FA61" w:rsidR="0032261D" w:rsidRPr="005C3ECD" w:rsidRDefault="28F9800E" w:rsidP="28F9800E">
      <w:pPr>
        <w:pStyle w:val="NormlWeb"/>
        <w:spacing w:before="0" w:beforeAutospacing="0" w:after="160" w:afterAutospacing="0" w:line="259" w:lineRule="auto"/>
        <w:jc w:val="both"/>
        <w:rPr>
          <w:sz w:val="26"/>
          <w:szCs w:val="26"/>
        </w:rPr>
      </w:pPr>
      <w:r w:rsidRPr="28F9800E">
        <w:rPr>
          <w:sz w:val="26"/>
          <w:szCs w:val="26"/>
        </w:rPr>
        <w:t xml:space="preserve">A </w:t>
      </w:r>
      <w:r w:rsidRPr="28F9800E">
        <w:rPr>
          <w:b/>
          <w:bCs/>
          <w:sz w:val="26"/>
          <w:szCs w:val="26"/>
        </w:rPr>
        <w:t>babaváró támogatásokra</w:t>
      </w:r>
      <w:r w:rsidRPr="28F9800E">
        <w:rPr>
          <w:sz w:val="26"/>
          <w:szCs w:val="26"/>
        </w:rPr>
        <w:t xml:space="preserve"> fordított kiadások összege 2026.</w:t>
      </w:r>
      <w:r w:rsidR="002B6AEE">
        <w:rPr>
          <w:sz w:val="26"/>
          <w:szCs w:val="26"/>
        </w:rPr>
        <w:t> </w:t>
      </w:r>
      <w:r w:rsidRPr="28F9800E">
        <w:rPr>
          <w:sz w:val="26"/>
          <w:szCs w:val="26"/>
        </w:rPr>
        <w:t>március végéig 69,3 milliárd forintot tett ki, amely a törvényi előirányzat 25,1%-ának felel meg, és a 2025. év azonos időszakához viszonyítva 14,6 milliárd forinttal teljesült magasabban.</w:t>
      </w:r>
    </w:p>
    <w:p w14:paraId="7052350E" w14:textId="1FD37B37" w:rsidR="003E05FC" w:rsidRDefault="28F9800E" w:rsidP="28F9800E">
      <w:pPr>
        <w:pStyle w:val="NormlWeb"/>
        <w:spacing w:before="0" w:beforeAutospacing="0" w:after="160" w:afterAutospacing="0" w:line="259" w:lineRule="auto"/>
        <w:jc w:val="both"/>
        <w:rPr>
          <w:sz w:val="26"/>
          <w:szCs w:val="26"/>
        </w:rPr>
      </w:pPr>
      <w:bookmarkStart w:id="4" w:name="_Hlk202786542"/>
      <w:r w:rsidRPr="28F9800E">
        <w:rPr>
          <w:sz w:val="26"/>
          <w:szCs w:val="26"/>
        </w:rPr>
        <w:t xml:space="preserve">A </w:t>
      </w:r>
      <w:r w:rsidRPr="28F9800E">
        <w:rPr>
          <w:b/>
          <w:bCs/>
          <w:sz w:val="26"/>
          <w:szCs w:val="26"/>
        </w:rPr>
        <w:t>helyi önkormányzatok</w:t>
      </w:r>
      <w:r w:rsidRPr="28F9800E">
        <w:rPr>
          <w:sz w:val="26"/>
          <w:szCs w:val="26"/>
        </w:rPr>
        <w:t xml:space="preserve"> 2026. évi feladataihoz a hatályos költségvetési törvény alapján 1419,4 milliárd forint állami támogatás került megállapításra. A március havi tényadat alapján összesen 444,9 milliárd forint kifizetés történt, ami az eredeti előirányzat 31,3%-át teszi ki. Az előző év azonos időszakához viszonyított 77,4 milliárd forint (21,1%-os) növekedés közel 60%-a a hivatali dolgozók és tanárok béremeléséből, valamint a</w:t>
      </w:r>
      <w:r w:rsidR="0002125B">
        <w:rPr>
          <w:sz w:val="26"/>
          <w:szCs w:val="26"/>
        </w:rPr>
        <w:t> </w:t>
      </w:r>
      <w:r w:rsidRPr="28F9800E">
        <w:rPr>
          <w:sz w:val="26"/>
          <w:szCs w:val="26"/>
        </w:rPr>
        <w:t>minimálbér, garantált bérminimum emeléséből fakad, a többi az év közben létrejött egyedi önkormányzati támogatások többletéből adódik. A jelentősebb tételek alakulását a következő táblázat mutatja:</w:t>
      </w:r>
    </w:p>
    <w:p w14:paraId="2723D8B3" w14:textId="34B7D713" w:rsidR="00C24948" w:rsidRPr="00B32682" w:rsidRDefault="5E04AD7D" w:rsidP="5E04AD7D">
      <w:pPr>
        <w:pStyle w:val="NormlWeb"/>
        <w:spacing w:before="0" w:beforeAutospacing="0" w:after="160" w:afterAutospacing="0" w:line="259" w:lineRule="auto"/>
        <w:jc w:val="center"/>
      </w:pPr>
      <w:r w:rsidRPr="5E04AD7D">
        <w:rPr>
          <w:b/>
          <w:bCs/>
        </w:rPr>
        <w:t>A helyi önkormányzatok támogatásának alakulása (milliárd forint)</w:t>
      </w:r>
    </w:p>
    <w:tbl>
      <w:tblPr>
        <w:tblpPr w:leftFromText="141" w:rightFromText="141" w:vertAnchor="text" w:horzAnchor="margin" w:tblpY="20"/>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82"/>
        <w:gridCol w:w="1134"/>
        <w:gridCol w:w="1134"/>
        <w:gridCol w:w="850"/>
        <w:gridCol w:w="771"/>
      </w:tblGrid>
      <w:tr w:rsidR="00081A16" w:rsidRPr="00377D59" w14:paraId="6741B982" w14:textId="77777777" w:rsidTr="28F9800E">
        <w:trPr>
          <w:trHeight w:val="340"/>
        </w:trPr>
        <w:tc>
          <w:tcPr>
            <w:tcW w:w="5382" w:type="dxa"/>
            <w:vMerge w:val="restart"/>
            <w:shd w:val="clear" w:color="auto" w:fill="BDD6EE" w:themeFill="accent1" w:themeFillTint="66"/>
            <w:noWrap/>
            <w:vAlign w:val="center"/>
            <w:hideMark/>
          </w:tcPr>
          <w:p w14:paraId="07514BAA" w14:textId="77777777" w:rsidR="00081A16" w:rsidRPr="00EB7ACF" w:rsidRDefault="5E04AD7D" w:rsidP="5E04AD7D">
            <w:pPr>
              <w:keepNext/>
              <w:keepLines/>
              <w:spacing w:after="0" w:line="240" w:lineRule="auto"/>
              <w:jc w:val="center"/>
              <w:rPr>
                <w:rFonts w:ascii="Times New Roman" w:eastAsia="Times New Roman" w:hAnsi="Times New Roman" w:cs="Times New Roman"/>
                <w:b/>
                <w:bCs/>
                <w:lang w:eastAsia="hu-HU"/>
              </w:rPr>
            </w:pPr>
            <w:r w:rsidRPr="5E04AD7D">
              <w:rPr>
                <w:rFonts w:ascii="Times New Roman" w:eastAsia="Times New Roman" w:hAnsi="Times New Roman" w:cs="Times New Roman"/>
                <w:b/>
                <w:bCs/>
                <w:lang w:eastAsia="hu-HU"/>
              </w:rPr>
              <w:t>Megnevezés</w:t>
            </w:r>
          </w:p>
        </w:tc>
        <w:tc>
          <w:tcPr>
            <w:tcW w:w="1134" w:type="dxa"/>
            <w:vMerge w:val="restart"/>
            <w:shd w:val="clear" w:color="auto" w:fill="BDD6EE" w:themeFill="accent1" w:themeFillTint="66"/>
            <w:vAlign w:val="center"/>
            <w:hideMark/>
          </w:tcPr>
          <w:p w14:paraId="5DC080D6" w14:textId="0AFE4B00" w:rsidR="00081A16" w:rsidRPr="00EB7ACF" w:rsidRDefault="5E04AD7D" w:rsidP="5E04AD7D">
            <w:pPr>
              <w:spacing w:after="0" w:line="240" w:lineRule="auto"/>
              <w:jc w:val="center"/>
              <w:rPr>
                <w:rFonts w:ascii="Times New Roman" w:eastAsia="Times New Roman" w:hAnsi="Times New Roman" w:cs="Times New Roman"/>
                <w:b/>
                <w:bCs/>
                <w:lang w:eastAsia="hu-HU"/>
              </w:rPr>
            </w:pPr>
            <w:r w:rsidRPr="5E04AD7D">
              <w:rPr>
                <w:rFonts w:ascii="Times New Roman" w:eastAsia="Times New Roman" w:hAnsi="Times New Roman" w:cs="Times New Roman"/>
                <w:b/>
                <w:bCs/>
                <w:lang w:eastAsia="hu-HU"/>
              </w:rPr>
              <w:t xml:space="preserve">2025. </w:t>
            </w:r>
            <w:r w:rsidR="1FABBDF6">
              <w:br/>
            </w:r>
            <w:r w:rsidRPr="5E04AD7D">
              <w:rPr>
                <w:rFonts w:ascii="Times New Roman" w:hAnsi="Times New Roman" w:cs="Times New Roman"/>
                <w:b/>
                <w:bCs/>
              </w:rPr>
              <w:t>I-III. hó</w:t>
            </w:r>
          </w:p>
        </w:tc>
        <w:tc>
          <w:tcPr>
            <w:tcW w:w="1134" w:type="dxa"/>
            <w:vMerge w:val="restart"/>
            <w:shd w:val="clear" w:color="auto" w:fill="BDD6EE" w:themeFill="accent1" w:themeFillTint="66"/>
            <w:vAlign w:val="center"/>
            <w:hideMark/>
          </w:tcPr>
          <w:p w14:paraId="626AC8BC" w14:textId="588FEBBB" w:rsidR="00081A16" w:rsidRPr="00EB7ACF" w:rsidRDefault="5E04AD7D" w:rsidP="5E04AD7D">
            <w:pPr>
              <w:spacing w:after="0" w:line="240" w:lineRule="auto"/>
              <w:jc w:val="center"/>
              <w:rPr>
                <w:rFonts w:ascii="Times New Roman" w:eastAsia="Times New Roman" w:hAnsi="Times New Roman" w:cs="Times New Roman"/>
                <w:b/>
                <w:bCs/>
                <w:lang w:eastAsia="hu-HU"/>
              </w:rPr>
            </w:pPr>
            <w:r w:rsidRPr="5E04AD7D">
              <w:rPr>
                <w:rFonts w:ascii="Times New Roman" w:eastAsia="Times New Roman" w:hAnsi="Times New Roman" w:cs="Times New Roman"/>
                <w:b/>
                <w:bCs/>
                <w:lang w:eastAsia="hu-HU"/>
              </w:rPr>
              <w:t xml:space="preserve">2026. </w:t>
            </w:r>
            <w:r w:rsidR="1FABBDF6">
              <w:br/>
            </w:r>
            <w:r w:rsidRPr="5E04AD7D">
              <w:rPr>
                <w:rFonts w:ascii="Times New Roman" w:eastAsia="Times New Roman" w:hAnsi="Times New Roman" w:cs="Times New Roman"/>
                <w:b/>
                <w:bCs/>
                <w:lang w:eastAsia="hu-HU"/>
              </w:rPr>
              <w:t>I-III. hó</w:t>
            </w:r>
          </w:p>
        </w:tc>
        <w:tc>
          <w:tcPr>
            <w:tcW w:w="1621" w:type="dxa"/>
            <w:gridSpan w:val="2"/>
            <w:shd w:val="clear" w:color="auto" w:fill="BDD6EE" w:themeFill="accent1" w:themeFillTint="66"/>
            <w:noWrap/>
            <w:vAlign w:val="center"/>
            <w:hideMark/>
          </w:tcPr>
          <w:p w14:paraId="35A3C823" w14:textId="77777777" w:rsidR="00081A16" w:rsidRPr="00EB7ACF" w:rsidRDefault="5E04AD7D" w:rsidP="5E04AD7D">
            <w:pPr>
              <w:keepNext/>
              <w:keepLines/>
              <w:spacing w:after="0" w:line="240" w:lineRule="auto"/>
              <w:jc w:val="center"/>
              <w:rPr>
                <w:rFonts w:ascii="Times New Roman" w:eastAsia="Times New Roman" w:hAnsi="Times New Roman" w:cs="Times New Roman"/>
                <w:b/>
                <w:bCs/>
                <w:lang w:eastAsia="hu-HU"/>
              </w:rPr>
            </w:pPr>
            <w:r w:rsidRPr="5E04AD7D">
              <w:rPr>
                <w:rFonts w:ascii="Times New Roman" w:eastAsia="Times New Roman" w:hAnsi="Times New Roman" w:cs="Times New Roman"/>
                <w:b/>
                <w:bCs/>
                <w:lang w:eastAsia="hu-HU"/>
              </w:rPr>
              <w:t>Eltérés</w:t>
            </w:r>
          </w:p>
        </w:tc>
      </w:tr>
      <w:tr w:rsidR="00C24948" w:rsidRPr="00377D59" w14:paraId="2DD9A798" w14:textId="77777777" w:rsidTr="28F9800E">
        <w:trPr>
          <w:trHeight w:val="340"/>
        </w:trPr>
        <w:tc>
          <w:tcPr>
            <w:tcW w:w="5382" w:type="dxa"/>
            <w:vMerge/>
            <w:shd w:val="clear" w:color="auto" w:fill="BDD6EE" w:themeFill="accent1" w:themeFillTint="66"/>
            <w:vAlign w:val="center"/>
            <w:hideMark/>
          </w:tcPr>
          <w:p w14:paraId="5F76A56A" w14:textId="77777777" w:rsidR="00C24948" w:rsidRPr="00EB7ACF" w:rsidRDefault="00C24948" w:rsidP="00C24948">
            <w:pPr>
              <w:keepNext/>
              <w:keepLines/>
              <w:spacing w:after="0" w:line="240" w:lineRule="auto"/>
              <w:rPr>
                <w:rFonts w:ascii="Times New Roman" w:eastAsia="Times New Roman" w:hAnsi="Times New Roman" w:cs="Times New Roman"/>
                <w:b/>
                <w:bCs/>
                <w:lang w:eastAsia="hu-HU"/>
              </w:rPr>
            </w:pPr>
          </w:p>
        </w:tc>
        <w:tc>
          <w:tcPr>
            <w:tcW w:w="1134" w:type="dxa"/>
            <w:vMerge/>
            <w:tcBorders>
              <w:bottom w:val="single" w:sz="4" w:space="0" w:color="auto"/>
            </w:tcBorders>
            <w:shd w:val="clear" w:color="auto" w:fill="BDD6EE" w:themeFill="accent1" w:themeFillTint="66"/>
            <w:vAlign w:val="center"/>
            <w:hideMark/>
          </w:tcPr>
          <w:p w14:paraId="65B4B0A4" w14:textId="77777777" w:rsidR="00C24948" w:rsidRPr="00EB7ACF" w:rsidRDefault="00C24948" w:rsidP="00C24948">
            <w:pPr>
              <w:keepNext/>
              <w:keepLines/>
              <w:spacing w:after="0" w:line="240" w:lineRule="auto"/>
              <w:jc w:val="center"/>
              <w:rPr>
                <w:rFonts w:ascii="Times New Roman" w:eastAsia="Times New Roman" w:hAnsi="Times New Roman" w:cs="Times New Roman"/>
                <w:b/>
                <w:bCs/>
                <w:lang w:eastAsia="hu-HU"/>
              </w:rPr>
            </w:pPr>
          </w:p>
        </w:tc>
        <w:tc>
          <w:tcPr>
            <w:tcW w:w="1134" w:type="dxa"/>
            <w:vMerge/>
            <w:tcBorders>
              <w:bottom w:val="single" w:sz="4" w:space="0" w:color="auto"/>
            </w:tcBorders>
            <w:shd w:val="clear" w:color="auto" w:fill="BDD6EE" w:themeFill="accent1" w:themeFillTint="66"/>
            <w:vAlign w:val="center"/>
            <w:hideMark/>
          </w:tcPr>
          <w:p w14:paraId="5FE97B50" w14:textId="77777777" w:rsidR="00C24948" w:rsidRPr="00EB7ACF" w:rsidRDefault="00C24948" w:rsidP="00C24948">
            <w:pPr>
              <w:keepNext/>
              <w:keepLines/>
              <w:spacing w:after="0" w:line="240" w:lineRule="auto"/>
              <w:jc w:val="center"/>
              <w:rPr>
                <w:rFonts w:ascii="Times New Roman" w:eastAsia="Times New Roman" w:hAnsi="Times New Roman" w:cs="Times New Roman"/>
                <w:b/>
                <w:bCs/>
                <w:lang w:eastAsia="hu-HU"/>
              </w:rPr>
            </w:pPr>
          </w:p>
        </w:tc>
        <w:tc>
          <w:tcPr>
            <w:tcW w:w="850" w:type="dxa"/>
            <w:tcBorders>
              <w:bottom w:val="single" w:sz="4" w:space="0" w:color="auto"/>
            </w:tcBorders>
            <w:shd w:val="clear" w:color="auto" w:fill="BDD6EE" w:themeFill="accent1" w:themeFillTint="66"/>
            <w:noWrap/>
            <w:vAlign w:val="center"/>
            <w:hideMark/>
          </w:tcPr>
          <w:p w14:paraId="1B2C8FF2" w14:textId="77777777" w:rsidR="00C24948" w:rsidRPr="00EB7ACF" w:rsidRDefault="5E04AD7D" w:rsidP="5E04AD7D">
            <w:pPr>
              <w:keepNext/>
              <w:keepLines/>
              <w:spacing w:after="0" w:line="240" w:lineRule="auto"/>
              <w:jc w:val="center"/>
              <w:rPr>
                <w:rFonts w:ascii="Times New Roman" w:eastAsia="Times New Roman" w:hAnsi="Times New Roman" w:cs="Times New Roman"/>
                <w:b/>
                <w:bCs/>
                <w:lang w:eastAsia="hu-HU"/>
              </w:rPr>
            </w:pPr>
            <w:r w:rsidRPr="5E04AD7D">
              <w:rPr>
                <w:rFonts w:ascii="Times New Roman" w:eastAsia="Times New Roman" w:hAnsi="Times New Roman" w:cs="Times New Roman"/>
                <w:b/>
                <w:bCs/>
                <w:lang w:eastAsia="hu-HU"/>
              </w:rPr>
              <w:t>Mrd Ft</w:t>
            </w:r>
          </w:p>
        </w:tc>
        <w:tc>
          <w:tcPr>
            <w:tcW w:w="771" w:type="dxa"/>
            <w:tcBorders>
              <w:bottom w:val="single" w:sz="4" w:space="0" w:color="auto"/>
            </w:tcBorders>
            <w:shd w:val="clear" w:color="auto" w:fill="BDD6EE" w:themeFill="accent1" w:themeFillTint="66"/>
            <w:noWrap/>
            <w:vAlign w:val="center"/>
            <w:hideMark/>
          </w:tcPr>
          <w:p w14:paraId="179AEF43" w14:textId="77777777" w:rsidR="00C24948" w:rsidRPr="00EB7ACF" w:rsidRDefault="5E04AD7D" w:rsidP="5E04AD7D">
            <w:pPr>
              <w:keepNext/>
              <w:keepLines/>
              <w:spacing w:after="0" w:line="240" w:lineRule="auto"/>
              <w:jc w:val="center"/>
              <w:rPr>
                <w:rFonts w:ascii="Times New Roman" w:eastAsia="Times New Roman" w:hAnsi="Times New Roman" w:cs="Times New Roman"/>
                <w:b/>
                <w:bCs/>
                <w:lang w:eastAsia="hu-HU"/>
              </w:rPr>
            </w:pPr>
            <w:r w:rsidRPr="5E04AD7D">
              <w:rPr>
                <w:rFonts w:ascii="Times New Roman" w:eastAsia="Times New Roman" w:hAnsi="Times New Roman" w:cs="Times New Roman"/>
                <w:b/>
                <w:bCs/>
                <w:lang w:eastAsia="hu-HU"/>
              </w:rPr>
              <w:t>%</w:t>
            </w:r>
          </w:p>
        </w:tc>
      </w:tr>
      <w:tr w:rsidR="00856A91" w:rsidRPr="00377D59" w14:paraId="5CF52B9C" w14:textId="77777777" w:rsidTr="00B97040">
        <w:trPr>
          <w:trHeight w:val="510"/>
        </w:trPr>
        <w:tc>
          <w:tcPr>
            <w:tcW w:w="5382" w:type="dxa"/>
            <w:vAlign w:val="center"/>
            <w:hideMark/>
          </w:tcPr>
          <w:p w14:paraId="11FF4C49" w14:textId="77777777" w:rsidR="00856A91" w:rsidRPr="00EB7ACF" w:rsidRDefault="5E04AD7D" w:rsidP="5E04AD7D">
            <w:pPr>
              <w:keepNext/>
              <w:keepLines/>
              <w:spacing w:after="0" w:line="240" w:lineRule="auto"/>
              <w:rPr>
                <w:rFonts w:ascii="Times New Roman" w:eastAsia="Times New Roman" w:hAnsi="Times New Roman" w:cs="Times New Roman"/>
                <w:b/>
                <w:bCs/>
                <w:sz w:val="20"/>
                <w:szCs w:val="20"/>
                <w:lang w:eastAsia="hu-HU"/>
              </w:rPr>
            </w:pPr>
            <w:r w:rsidRPr="5E04AD7D">
              <w:rPr>
                <w:rFonts w:ascii="Times New Roman" w:eastAsia="Times New Roman" w:hAnsi="Times New Roman" w:cs="Times New Roman"/>
                <w:b/>
                <w:bCs/>
                <w:sz w:val="20"/>
                <w:szCs w:val="20"/>
                <w:lang w:eastAsia="hu-HU"/>
              </w:rPr>
              <w:t>A helyi önkormányzatok általános működésének és ágazati feladatainak támogatása</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A1E4CBD" w14:textId="15E4A254" w:rsidR="00856A91" w:rsidRPr="00B97040" w:rsidRDefault="28F9800E" w:rsidP="28F9800E">
            <w:pPr>
              <w:keepNext/>
              <w:keepLines/>
              <w:spacing w:after="0" w:line="240" w:lineRule="auto"/>
              <w:jc w:val="right"/>
              <w:rPr>
                <w:rFonts w:ascii="Times New Roman" w:eastAsia="Times New Roman" w:hAnsi="Times New Roman" w:cs="Times New Roman"/>
                <w:b/>
                <w:bCs/>
                <w:sz w:val="20"/>
                <w:szCs w:val="20"/>
                <w:lang w:eastAsia="hu-HU"/>
              </w:rPr>
            </w:pPr>
            <w:r w:rsidRPr="00B97040">
              <w:rPr>
                <w:rFonts w:ascii="Times New Roman" w:hAnsi="Times New Roman" w:cs="Times New Roman"/>
                <w:b/>
                <w:bCs/>
                <w:sz w:val="20"/>
                <w:szCs w:val="20"/>
              </w:rPr>
              <w:t>333,5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729553" w14:textId="0D5B8433" w:rsidR="00856A91" w:rsidRPr="00B97040" w:rsidRDefault="28F9800E" w:rsidP="28F9800E">
            <w:pPr>
              <w:keepNext/>
              <w:keepLines/>
              <w:spacing w:after="0" w:line="240" w:lineRule="auto"/>
              <w:jc w:val="right"/>
              <w:rPr>
                <w:rFonts w:ascii="Times New Roman" w:eastAsia="Times New Roman" w:hAnsi="Times New Roman" w:cs="Times New Roman"/>
                <w:b/>
                <w:bCs/>
                <w:sz w:val="20"/>
                <w:szCs w:val="20"/>
                <w:lang w:eastAsia="hu-HU"/>
              </w:rPr>
            </w:pPr>
            <w:r w:rsidRPr="00B97040">
              <w:rPr>
                <w:rFonts w:ascii="Times New Roman" w:hAnsi="Times New Roman" w:cs="Times New Roman"/>
                <w:b/>
                <w:bCs/>
                <w:sz w:val="20"/>
                <w:szCs w:val="20"/>
              </w:rPr>
              <w:t>378,1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D76081" w14:textId="01BDFDCC" w:rsidR="00856A91" w:rsidRPr="00B97040" w:rsidRDefault="28F9800E" w:rsidP="28F9800E">
            <w:pPr>
              <w:keepNext/>
              <w:keepLines/>
              <w:spacing w:after="0" w:line="240" w:lineRule="auto"/>
              <w:jc w:val="right"/>
              <w:rPr>
                <w:rFonts w:ascii="Times New Roman" w:eastAsia="Times New Roman" w:hAnsi="Times New Roman" w:cs="Times New Roman"/>
                <w:b/>
                <w:bCs/>
                <w:sz w:val="20"/>
                <w:szCs w:val="20"/>
                <w:lang w:eastAsia="hu-HU"/>
              </w:rPr>
            </w:pPr>
            <w:r w:rsidRPr="00B97040">
              <w:rPr>
                <w:rFonts w:ascii="Times New Roman" w:hAnsi="Times New Roman" w:cs="Times New Roman"/>
                <w:b/>
                <w:bCs/>
                <w:sz w:val="20"/>
                <w:szCs w:val="20"/>
              </w:rPr>
              <w:t>44,6</w:t>
            </w:r>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9DF60E" w14:textId="483F627F" w:rsidR="00856A91" w:rsidRPr="00B97040" w:rsidRDefault="28F9800E" w:rsidP="28F9800E">
            <w:pPr>
              <w:keepNext/>
              <w:keepLines/>
              <w:spacing w:after="0" w:line="240" w:lineRule="auto"/>
              <w:jc w:val="right"/>
              <w:rPr>
                <w:rFonts w:ascii="Times New Roman" w:eastAsia="Times New Roman" w:hAnsi="Times New Roman" w:cs="Times New Roman"/>
                <w:b/>
                <w:bCs/>
                <w:sz w:val="20"/>
                <w:szCs w:val="20"/>
                <w:lang w:eastAsia="hu-HU"/>
              </w:rPr>
            </w:pPr>
            <w:r w:rsidRPr="00B97040">
              <w:rPr>
                <w:rFonts w:ascii="Times New Roman" w:hAnsi="Times New Roman" w:cs="Times New Roman"/>
                <w:b/>
                <w:bCs/>
                <w:sz w:val="20"/>
                <w:szCs w:val="20"/>
              </w:rPr>
              <w:t>113,4</w:t>
            </w:r>
          </w:p>
        </w:tc>
      </w:tr>
      <w:tr w:rsidR="00856A91" w:rsidRPr="00377D59" w14:paraId="66D88640" w14:textId="77777777" w:rsidTr="00B97040">
        <w:trPr>
          <w:trHeight w:val="340"/>
        </w:trPr>
        <w:tc>
          <w:tcPr>
            <w:tcW w:w="5382" w:type="dxa"/>
            <w:vAlign w:val="center"/>
            <w:hideMark/>
          </w:tcPr>
          <w:p w14:paraId="4496E62C" w14:textId="77777777" w:rsidR="00856A91" w:rsidRPr="00EB7ACF" w:rsidRDefault="5E04AD7D" w:rsidP="5E04AD7D">
            <w:pPr>
              <w:keepNext/>
              <w:keepLines/>
              <w:spacing w:after="0" w:line="240" w:lineRule="auto"/>
              <w:rPr>
                <w:rFonts w:ascii="Times New Roman" w:eastAsia="Times New Roman" w:hAnsi="Times New Roman" w:cs="Times New Roman"/>
                <w:i/>
                <w:iCs/>
                <w:sz w:val="20"/>
                <w:szCs w:val="20"/>
                <w:lang w:eastAsia="hu-HU"/>
              </w:rPr>
            </w:pPr>
            <w:r w:rsidRPr="5E04AD7D">
              <w:rPr>
                <w:rFonts w:ascii="Times New Roman" w:eastAsia="Times New Roman" w:hAnsi="Times New Roman" w:cs="Times New Roman"/>
                <w:i/>
                <w:iCs/>
                <w:sz w:val="20"/>
                <w:szCs w:val="20"/>
                <w:lang w:eastAsia="hu-HU"/>
              </w:rPr>
              <w:t>A helyi önkormányzatok működésének általános támogatása</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C091267" w14:textId="56DA5A01" w:rsidR="00856A91" w:rsidRPr="00B97040" w:rsidRDefault="28F9800E" w:rsidP="28F9800E">
            <w:pPr>
              <w:keepNext/>
              <w:keepLines/>
              <w:spacing w:after="0" w:line="240" w:lineRule="auto"/>
              <w:jc w:val="right"/>
              <w:rPr>
                <w:rFonts w:ascii="Times New Roman" w:eastAsia="Times New Roman" w:hAnsi="Times New Roman" w:cs="Times New Roman"/>
                <w:i/>
                <w:iCs/>
                <w:sz w:val="20"/>
                <w:szCs w:val="20"/>
                <w:lang w:eastAsia="hu-HU"/>
              </w:rPr>
            </w:pPr>
            <w:r w:rsidRPr="00B97040">
              <w:rPr>
                <w:rFonts w:ascii="Times New Roman" w:hAnsi="Times New Roman" w:cs="Times New Roman"/>
                <w:i/>
                <w:iCs/>
                <w:sz w:val="20"/>
                <w:szCs w:val="20"/>
              </w:rPr>
              <w:t>86,9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13F341" w14:textId="6B8A65B6" w:rsidR="00856A91" w:rsidRPr="00B97040" w:rsidRDefault="28F9800E" w:rsidP="28F9800E">
            <w:pPr>
              <w:keepNext/>
              <w:keepLines/>
              <w:spacing w:after="0" w:line="240" w:lineRule="auto"/>
              <w:jc w:val="right"/>
              <w:rPr>
                <w:rFonts w:ascii="Times New Roman" w:eastAsia="Times New Roman" w:hAnsi="Times New Roman" w:cs="Times New Roman"/>
                <w:i/>
                <w:iCs/>
                <w:sz w:val="20"/>
                <w:szCs w:val="20"/>
                <w:lang w:eastAsia="hu-HU"/>
              </w:rPr>
            </w:pPr>
            <w:r w:rsidRPr="00B97040">
              <w:rPr>
                <w:rFonts w:ascii="Times New Roman" w:hAnsi="Times New Roman" w:cs="Times New Roman"/>
                <w:i/>
                <w:iCs/>
                <w:sz w:val="20"/>
                <w:szCs w:val="20"/>
              </w:rPr>
              <w:t>103,2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67C594" w14:textId="68A3EA31" w:rsidR="00856A91" w:rsidRPr="00B97040" w:rsidRDefault="28F9800E" w:rsidP="28F9800E">
            <w:pPr>
              <w:keepNext/>
              <w:keepLines/>
              <w:spacing w:after="0" w:line="240" w:lineRule="auto"/>
              <w:jc w:val="right"/>
              <w:rPr>
                <w:rFonts w:ascii="Times New Roman" w:eastAsia="Times New Roman" w:hAnsi="Times New Roman" w:cs="Times New Roman"/>
                <w:i/>
                <w:iCs/>
                <w:sz w:val="20"/>
                <w:szCs w:val="20"/>
                <w:lang w:eastAsia="hu-HU"/>
              </w:rPr>
            </w:pPr>
            <w:r w:rsidRPr="00B97040">
              <w:rPr>
                <w:rFonts w:ascii="Times New Roman" w:hAnsi="Times New Roman" w:cs="Times New Roman"/>
                <w:i/>
                <w:iCs/>
                <w:sz w:val="20"/>
                <w:szCs w:val="20"/>
              </w:rPr>
              <w:t>16,3</w:t>
            </w:r>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1384BF" w14:textId="3612EB46" w:rsidR="00856A91" w:rsidRPr="00B97040" w:rsidRDefault="28F9800E" w:rsidP="28F9800E">
            <w:pPr>
              <w:keepNext/>
              <w:keepLines/>
              <w:spacing w:after="0" w:line="240" w:lineRule="auto"/>
              <w:jc w:val="right"/>
              <w:rPr>
                <w:rFonts w:ascii="Times New Roman" w:eastAsia="Times New Roman" w:hAnsi="Times New Roman" w:cs="Times New Roman"/>
                <w:i/>
                <w:iCs/>
                <w:sz w:val="20"/>
                <w:szCs w:val="20"/>
                <w:lang w:eastAsia="hu-HU"/>
              </w:rPr>
            </w:pPr>
            <w:r w:rsidRPr="00B97040">
              <w:rPr>
                <w:rFonts w:ascii="Times New Roman" w:hAnsi="Times New Roman" w:cs="Times New Roman"/>
                <w:i/>
                <w:iCs/>
                <w:sz w:val="20"/>
                <w:szCs w:val="20"/>
              </w:rPr>
              <w:t>118,8</w:t>
            </w:r>
          </w:p>
        </w:tc>
      </w:tr>
      <w:tr w:rsidR="00856A91" w:rsidRPr="00377D59" w14:paraId="644FC967" w14:textId="77777777" w:rsidTr="00B97040">
        <w:trPr>
          <w:trHeight w:val="510"/>
        </w:trPr>
        <w:tc>
          <w:tcPr>
            <w:tcW w:w="5382" w:type="dxa"/>
            <w:vAlign w:val="center"/>
            <w:hideMark/>
          </w:tcPr>
          <w:p w14:paraId="1BA330A0" w14:textId="77777777" w:rsidR="00856A91" w:rsidRPr="00EB7ACF" w:rsidRDefault="5E04AD7D" w:rsidP="5E04AD7D">
            <w:pPr>
              <w:keepNext/>
              <w:keepLines/>
              <w:spacing w:after="0" w:line="240" w:lineRule="auto"/>
              <w:rPr>
                <w:rFonts w:ascii="Times New Roman" w:eastAsia="Times New Roman" w:hAnsi="Times New Roman" w:cs="Times New Roman"/>
                <w:i/>
                <w:iCs/>
                <w:sz w:val="20"/>
                <w:szCs w:val="20"/>
                <w:lang w:eastAsia="hu-HU"/>
              </w:rPr>
            </w:pPr>
            <w:r w:rsidRPr="5E04AD7D">
              <w:rPr>
                <w:rFonts w:ascii="Times New Roman" w:eastAsia="Times New Roman" w:hAnsi="Times New Roman" w:cs="Times New Roman"/>
                <w:i/>
                <w:iCs/>
                <w:sz w:val="20"/>
                <w:szCs w:val="20"/>
                <w:lang w:eastAsia="hu-HU"/>
              </w:rPr>
              <w:t>A települési önkormányzatok egyes köznevelési feladatainak támogatása</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E8D28C3" w14:textId="4019C71C" w:rsidR="00856A91" w:rsidRPr="00B97040" w:rsidRDefault="28F9800E" w:rsidP="28F9800E">
            <w:pPr>
              <w:keepNext/>
              <w:keepLines/>
              <w:spacing w:after="0" w:line="240" w:lineRule="auto"/>
              <w:jc w:val="right"/>
              <w:rPr>
                <w:rFonts w:ascii="Times New Roman" w:eastAsia="Times New Roman" w:hAnsi="Times New Roman" w:cs="Times New Roman"/>
                <w:i/>
                <w:iCs/>
                <w:sz w:val="20"/>
                <w:szCs w:val="20"/>
                <w:lang w:eastAsia="hu-HU"/>
              </w:rPr>
            </w:pPr>
            <w:r w:rsidRPr="00B97040">
              <w:rPr>
                <w:rFonts w:ascii="Times New Roman" w:hAnsi="Times New Roman" w:cs="Times New Roman"/>
                <w:i/>
                <w:iCs/>
                <w:sz w:val="20"/>
                <w:szCs w:val="20"/>
              </w:rPr>
              <w:t>112</w:t>
            </w:r>
            <w:r w:rsidR="00B97040" w:rsidRPr="00B97040">
              <w:rPr>
                <w:rFonts w:ascii="Times New Roman" w:hAnsi="Times New Roman" w:cs="Times New Roman"/>
                <w:i/>
                <w:iCs/>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61BB58" w14:textId="3E45292E" w:rsidR="00856A91" w:rsidRPr="00B97040" w:rsidRDefault="28F9800E" w:rsidP="28F9800E">
            <w:pPr>
              <w:keepNext/>
              <w:keepLines/>
              <w:spacing w:after="0" w:line="240" w:lineRule="auto"/>
              <w:jc w:val="right"/>
              <w:rPr>
                <w:rFonts w:ascii="Times New Roman" w:eastAsia="Times New Roman" w:hAnsi="Times New Roman" w:cs="Times New Roman"/>
                <w:i/>
                <w:iCs/>
                <w:sz w:val="20"/>
                <w:szCs w:val="20"/>
                <w:lang w:eastAsia="hu-HU"/>
              </w:rPr>
            </w:pPr>
            <w:r w:rsidRPr="00B97040">
              <w:rPr>
                <w:rFonts w:ascii="Times New Roman" w:hAnsi="Times New Roman" w:cs="Times New Roman"/>
                <w:i/>
                <w:iCs/>
                <w:sz w:val="20"/>
                <w:szCs w:val="20"/>
              </w:rPr>
              <w:t>122,5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5D1E80" w14:textId="67738828" w:rsidR="00856A91" w:rsidRPr="00B97040" w:rsidRDefault="28F9800E" w:rsidP="28F9800E">
            <w:pPr>
              <w:keepNext/>
              <w:keepLines/>
              <w:spacing w:after="0" w:line="240" w:lineRule="auto"/>
              <w:jc w:val="right"/>
              <w:rPr>
                <w:rFonts w:ascii="Times New Roman" w:eastAsia="Times New Roman" w:hAnsi="Times New Roman" w:cs="Times New Roman"/>
                <w:i/>
                <w:iCs/>
                <w:sz w:val="20"/>
                <w:szCs w:val="20"/>
                <w:lang w:eastAsia="hu-HU"/>
              </w:rPr>
            </w:pPr>
            <w:r w:rsidRPr="00B97040">
              <w:rPr>
                <w:rFonts w:ascii="Times New Roman" w:hAnsi="Times New Roman" w:cs="Times New Roman"/>
                <w:i/>
                <w:iCs/>
                <w:sz w:val="20"/>
                <w:szCs w:val="20"/>
              </w:rPr>
              <w:t>10,5</w:t>
            </w:r>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67CDD1" w14:textId="3AD945E8" w:rsidR="00856A91" w:rsidRPr="00B97040" w:rsidRDefault="28F9800E" w:rsidP="28F9800E">
            <w:pPr>
              <w:keepNext/>
              <w:keepLines/>
              <w:spacing w:after="0" w:line="240" w:lineRule="auto"/>
              <w:jc w:val="right"/>
              <w:rPr>
                <w:rFonts w:ascii="Times New Roman" w:eastAsia="Times New Roman" w:hAnsi="Times New Roman" w:cs="Times New Roman"/>
                <w:i/>
                <w:iCs/>
                <w:sz w:val="20"/>
                <w:szCs w:val="20"/>
                <w:lang w:eastAsia="hu-HU"/>
              </w:rPr>
            </w:pPr>
            <w:r w:rsidRPr="00B97040">
              <w:rPr>
                <w:rFonts w:ascii="Times New Roman" w:hAnsi="Times New Roman" w:cs="Times New Roman"/>
                <w:i/>
                <w:iCs/>
                <w:sz w:val="20"/>
                <w:szCs w:val="20"/>
              </w:rPr>
              <w:t>109,4</w:t>
            </w:r>
          </w:p>
        </w:tc>
      </w:tr>
      <w:tr w:rsidR="00856A91" w:rsidRPr="00377D59" w14:paraId="11F06AEB" w14:textId="77777777" w:rsidTr="00B97040">
        <w:trPr>
          <w:trHeight w:val="510"/>
        </w:trPr>
        <w:tc>
          <w:tcPr>
            <w:tcW w:w="5382" w:type="dxa"/>
            <w:vAlign w:val="center"/>
            <w:hideMark/>
          </w:tcPr>
          <w:p w14:paraId="63EE65A2" w14:textId="77777777" w:rsidR="00856A91" w:rsidRPr="00EB7ACF" w:rsidRDefault="5E04AD7D" w:rsidP="5E04AD7D">
            <w:pPr>
              <w:keepNext/>
              <w:keepLines/>
              <w:spacing w:after="0" w:line="240" w:lineRule="auto"/>
              <w:rPr>
                <w:rFonts w:ascii="Times New Roman" w:eastAsia="Times New Roman" w:hAnsi="Times New Roman" w:cs="Times New Roman"/>
                <w:i/>
                <w:iCs/>
                <w:sz w:val="20"/>
                <w:szCs w:val="20"/>
                <w:lang w:eastAsia="hu-HU"/>
              </w:rPr>
            </w:pPr>
            <w:r w:rsidRPr="5E04AD7D">
              <w:rPr>
                <w:rFonts w:ascii="Times New Roman" w:eastAsia="Times New Roman" w:hAnsi="Times New Roman" w:cs="Times New Roman"/>
                <w:i/>
                <w:iCs/>
                <w:sz w:val="20"/>
                <w:szCs w:val="20"/>
                <w:lang w:eastAsia="hu-HU"/>
              </w:rPr>
              <w:t>A települési önkormányzatok egyes szociális, gyermekjóléti és gyermekétkeztetési feladatainak támogatása</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BBDE34C" w14:textId="2500C26F" w:rsidR="00856A91" w:rsidRPr="00B97040" w:rsidRDefault="28F9800E" w:rsidP="28F9800E">
            <w:pPr>
              <w:keepNext/>
              <w:keepLines/>
              <w:spacing w:after="0" w:line="240" w:lineRule="auto"/>
              <w:jc w:val="right"/>
              <w:rPr>
                <w:rFonts w:ascii="Times New Roman" w:eastAsia="Times New Roman" w:hAnsi="Times New Roman" w:cs="Times New Roman"/>
                <w:i/>
                <w:iCs/>
                <w:sz w:val="20"/>
                <w:szCs w:val="20"/>
                <w:lang w:eastAsia="hu-HU"/>
              </w:rPr>
            </w:pPr>
            <w:r w:rsidRPr="00B97040">
              <w:rPr>
                <w:rFonts w:ascii="Times New Roman" w:hAnsi="Times New Roman" w:cs="Times New Roman"/>
                <w:i/>
                <w:iCs/>
                <w:sz w:val="20"/>
                <w:szCs w:val="20"/>
              </w:rPr>
              <w:t>128,3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C5C695" w14:textId="2E9F0AF8" w:rsidR="00856A91" w:rsidRPr="00B97040" w:rsidRDefault="28F9800E" w:rsidP="28F9800E">
            <w:pPr>
              <w:keepNext/>
              <w:keepLines/>
              <w:spacing w:after="0" w:line="240" w:lineRule="auto"/>
              <w:jc w:val="right"/>
              <w:rPr>
                <w:rFonts w:ascii="Times New Roman" w:eastAsia="Times New Roman" w:hAnsi="Times New Roman" w:cs="Times New Roman"/>
                <w:i/>
                <w:iCs/>
                <w:sz w:val="20"/>
                <w:szCs w:val="20"/>
                <w:lang w:eastAsia="hu-HU"/>
              </w:rPr>
            </w:pPr>
            <w:r w:rsidRPr="00B97040">
              <w:rPr>
                <w:rFonts w:ascii="Times New Roman" w:hAnsi="Times New Roman" w:cs="Times New Roman"/>
                <w:i/>
                <w:iCs/>
                <w:sz w:val="20"/>
                <w:szCs w:val="20"/>
              </w:rPr>
              <w:t>146,1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601228" w14:textId="60150147" w:rsidR="00856A91" w:rsidRPr="00B97040" w:rsidRDefault="28F9800E" w:rsidP="28F9800E">
            <w:pPr>
              <w:keepNext/>
              <w:keepLines/>
              <w:spacing w:after="0" w:line="240" w:lineRule="auto"/>
              <w:jc w:val="right"/>
              <w:rPr>
                <w:rFonts w:ascii="Times New Roman" w:eastAsia="Times New Roman" w:hAnsi="Times New Roman" w:cs="Times New Roman"/>
                <w:i/>
                <w:iCs/>
                <w:sz w:val="20"/>
                <w:szCs w:val="20"/>
                <w:lang w:eastAsia="hu-HU"/>
              </w:rPr>
            </w:pPr>
            <w:r w:rsidRPr="00B97040">
              <w:rPr>
                <w:rFonts w:ascii="Times New Roman" w:hAnsi="Times New Roman" w:cs="Times New Roman"/>
                <w:i/>
                <w:iCs/>
                <w:sz w:val="20"/>
                <w:szCs w:val="20"/>
              </w:rPr>
              <w:t>17,8</w:t>
            </w:r>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A53BB5" w14:textId="208D497E" w:rsidR="00856A91" w:rsidRPr="00B97040" w:rsidRDefault="28F9800E" w:rsidP="28F9800E">
            <w:pPr>
              <w:keepNext/>
              <w:keepLines/>
              <w:spacing w:after="0" w:line="240" w:lineRule="auto"/>
              <w:jc w:val="right"/>
              <w:rPr>
                <w:rFonts w:ascii="Times New Roman" w:eastAsia="Times New Roman" w:hAnsi="Times New Roman" w:cs="Times New Roman"/>
                <w:i/>
                <w:iCs/>
                <w:sz w:val="20"/>
                <w:szCs w:val="20"/>
                <w:lang w:eastAsia="hu-HU"/>
              </w:rPr>
            </w:pPr>
            <w:r w:rsidRPr="00B97040">
              <w:rPr>
                <w:rFonts w:ascii="Times New Roman" w:hAnsi="Times New Roman" w:cs="Times New Roman"/>
                <w:i/>
                <w:iCs/>
                <w:sz w:val="20"/>
                <w:szCs w:val="20"/>
              </w:rPr>
              <w:t>113,9</w:t>
            </w:r>
          </w:p>
        </w:tc>
      </w:tr>
      <w:tr w:rsidR="00856A91" w:rsidRPr="00377D59" w14:paraId="1FC403F4" w14:textId="77777777" w:rsidTr="00B97040">
        <w:trPr>
          <w:trHeight w:val="340"/>
        </w:trPr>
        <w:tc>
          <w:tcPr>
            <w:tcW w:w="5382" w:type="dxa"/>
            <w:vAlign w:val="center"/>
            <w:hideMark/>
          </w:tcPr>
          <w:p w14:paraId="4F427CE2" w14:textId="77777777" w:rsidR="00856A91" w:rsidRPr="00EB7ACF" w:rsidRDefault="5E04AD7D" w:rsidP="5E04AD7D">
            <w:pPr>
              <w:keepNext/>
              <w:keepLines/>
              <w:spacing w:after="0" w:line="240" w:lineRule="auto"/>
              <w:rPr>
                <w:rFonts w:ascii="Times New Roman" w:eastAsia="Times New Roman" w:hAnsi="Times New Roman" w:cs="Times New Roman"/>
                <w:i/>
                <w:iCs/>
                <w:sz w:val="20"/>
                <w:szCs w:val="20"/>
                <w:lang w:eastAsia="hu-HU"/>
              </w:rPr>
            </w:pPr>
            <w:r w:rsidRPr="5E04AD7D">
              <w:rPr>
                <w:rFonts w:ascii="Times New Roman" w:eastAsia="Times New Roman" w:hAnsi="Times New Roman" w:cs="Times New Roman"/>
                <w:i/>
                <w:iCs/>
                <w:sz w:val="20"/>
                <w:szCs w:val="20"/>
                <w:lang w:eastAsia="hu-HU"/>
              </w:rPr>
              <w:t>A települési önkormányzatok kulturális feladatainak támogatása</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4BDB6D4" w14:textId="7B3E9262" w:rsidR="00856A91" w:rsidRPr="00B97040" w:rsidRDefault="28F9800E" w:rsidP="28F9800E">
            <w:pPr>
              <w:keepNext/>
              <w:keepLines/>
              <w:spacing w:after="0" w:line="240" w:lineRule="auto"/>
              <w:jc w:val="right"/>
              <w:rPr>
                <w:rFonts w:ascii="Times New Roman" w:eastAsia="Times New Roman" w:hAnsi="Times New Roman" w:cs="Times New Roman"/>
                <w:i/>
                <w:iCs/>
                <w:sz w:val="20"/>
                <w:szCs w:val="20"/>
                <w:lang w:eastAsia="hu-HU"/>
              </w:rPr>
            </w:pPr>
            <w:r w:rsidRPr="00B97040">
              <w:rPr>
                <w:rFonts w:ascii="Times New Roman" w:hAnsi="Times New Roman" w:cs="Times New Roman"/>
                <w:i/>
                <w:iCs/>
                <w:sz w:val="20"/>
                <w:szCs w:val="20"/>
              </w:rPr>
              <w:t>6,3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1BBCDB" w14:textId="73896C4E" w:rsidR="00856A91" w:rsidRPr="00B97040" w:rsidRDefault="28F9800E" w:rsidP="28F9800E">
            <w:pPr>
              <w:keepNext/>
              <w:keepLines/>
              <w:spacing w:after="0" w:line="240" w:lineRule="auto"/>
              <w:jc w:val="right"/>
              <w:rPr>
                <w:rFonts w:ascii="Times New Roman" w:eastAsia="Times New Roman" w:hAnsi="Times New Roman" w:cs="Times New Roman"/>
                <w:i/>
                <w:iCs/>
                <w:sz w:val="20"/>
                <w:szCs w:val="20"/>
                <w:lang w:eastAsia="hu-HU"/>
              </w:rPr>
            </w:pPr>
            <w:r w:rsidRPr="00B97040">
              <w:rPr>
                <w:rFonts w:ascii="Times New Roman" w:hAnsi="Times New Roman" w:cs="Times New Roman"/>
                <w:i/>
                <w:iCs/>
                <w:sz w:val="20"/>
                <w:szCs w:val="20"/>
              </w:rPr>
              <w:t>6,3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28EF3A" w14:textId="5B73EC1E" w:rsidR="00856A91" w:rsidRPr="00B97040" w:rsidRDefault="28F9800E" w:rsidP="28F9800E">
            <w:pPr>
              <w:keepNext/>
              <w:keepLines/>
              <w:spacing w:after="0" w:line="240" w:lineRule="auto"/>
              <w:jc w:val="right"/>
              <w:rPr>
                <w:rFonts w:ascii="Times New Roman" w:eastAsia="Times New Roman" w:hAnsi="Times New Roman" w:cs="Times New Roman"/>
                <w:i/>
                <w:iCs/>
                <w:sz w:val="20"/>
                <w:szCs w:val="20"/>
                <w:lang w:eastAsia="hu-HU"/>
              </w:rPr>
            </w:pPr>
            <w:r w:rsidRPr="00B97040">
              <w:rPr>
                <w:rFonts w:ascii="Times New Roman" w:hAnsi="Times New Roman" w:cs="Times New Roman"/>
                <w:i/>
                <w:iCs/>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6E83D2" w14:textId="7F443499" w:rsidR="00856A91" w:rsidRPr="00B97040" w:rsidRDefault="28F9800E" w:rsidP="28F9800E">
            <w:pPr>
              <w:keepNext/>
              <w:keepLines/>
              <w:spacing w:after="0" w:line="240" w:lineRule="auto"/>
              <w:jc w:val="right"/>
              <w:rPr>
                <w:rFonts w:ascii="Times New Roman" w:eastAsia="Times New Roman" w:hAnsi="Times New Roman" w:cs="Times New Roman"/>
                <w:i/>
                <w:iCs/>
                <w:sz w:val="20"/>
                <w:szCs w:val="20"/>
                <w:lang w:eastAsia="hu-HU"/>
              </w:rPr>
            </w:pPr>
            <w:r w:rsidRPr="00B97040">
              <w:rPr>
                <w:rFonts w:ascii="Times New Roman" w:hAnsi="Times New Roman" w:cs="Times New Roman"/>
                <w:i/>
                <w:iCs/>
                <w:sz w:val="20"/>
                <w:szCs w:val="20"/>
              </w:rPr>
              <w:t>100,0</w:t>
            </w:r>
          </w:p>
        </w:tc>
      </w:tr>
      <w:tr w:rsidR="00856A91" w:rsidRPr="00377D59" w14:paraId="44EF96BF" w14:textId="77777777" w:rsidTr="00B97040">
        <w:trPr>
          <w:trHeight w:val="340"/>
        </w:trPr>
        <w:tc>
          <w:tcPr>
            <w:tcW w:w="5382" w:type="dxa"/>
            <w:vAlign w:val="center"/>
            <w:hideMark/>
          </w:tcPr>
          <w:p w14:paraId="3DD87A70" w14:textId="766307B5" w:rsidR="00856A91" w:rsidRPr="00EB7ACF" w:rsidRDefault="5E04AD7D" w:rsidP="5E04AD7D">
            <w:pPr>
              <w:keepNext/>
              <w:keepLines/>
              <w:spacing w:after="0" w:line="240" w:lineRule="auto"/>
              <w:rPr>
                <w:rFonts w:ascii="Times New Roman" w:eastAsia="Times New Roman" w:hAnsi="Times New Roman" w:cs="Times New Roman"/>
                <w:b/>
                <w:bCs/>
                <w:sz w:val="20"/>
                <w:szCs w:val="20"/>
                <w:lang w:eastAsia="hu-HU"/>
              </w:rPr>
            </w:pPr>
            <w:r w:rsidRPr="5E04AD7D">
              <w:rPr>
                <w:rFonts w:ascii="Times New Roman" w:eastAsia="Times New Roman" w:hAnsi="Times New Roman" w:cs="Times New Roman"/>
                <w:b/>
                <w:bCs/>
                <w:sz w:val="20"/>
                <w:szCs w:val="20"/>
                <w:lang w:eastAsia="hu-HU"/>
              </w:rPr>
              <w:t>Helyi önkormányzatok kiegészítő támogatása</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4DDE983" w14:textId="5F739C79" w:rsidR="00856A91" w:rsidRPr="00B97040" w:rsidRDefault="28F9800E" w:rsidP="28F9800E">
            <w:pPr>
              <w:keepNext/>
              <w:keepLines/>
              <w:spacing w:after="0" w:line="240" w:lineRule="auto"/>
              <w:jc w:val="right"/>
              <w:rPr>
                <w:rFonts w:ascii="Times New Roman" w:eastAsia="Times New Roman" w:hAnsi="Times New Roman" w:cs="Times New Roman"/>
                <w:b/>
                <w:bCs/>
                <w:sz w:val="20"/>
                <w:szCs w:val="20"/>
                <w:lang w:eastAsia="hu-HU"/>
              </w:rPr>
            </w:pPr>
            <w:r w:rsidRPr="00B97040">
              <w:rPr>
                <w:rFonts w:ascii="Times New Roman" w:hAnsi="Times New Roman" w:cs="Times New Roman"/>
                <w:b/>
                <w:bCs/>
                <w:sz w:val="20"/>
                <w:szCs w:val="20"/>
              </w:rPr>
              <w:t>33,3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5423BA" w14:textId="3F2FC851" w:rsidR="00856A91" w:rsidRPr="00B97040" w:rsidRDefault="28F9800E" w:rsidP="28F9800E">
            <w:pPr>
              <w:keepNext/>
              <w:keepLines/>
              <w:spacing w:after="0" w:line="240" w:lineRule="auto"/>
              <w:jc w:val="right"/>
              <w:rPr>
                <w:rFonts w:ascii="Times New Roman" w:eastAsia="Times New Roman" w:hAnsi="Times New Roman" w:cs="Times New Roman"/>
                <w:b/>
                <w:bCs/>
                <w:sz w:val="20"/>
                <w:szCs w:val="20"/>
                <w:lang w:eastAsia="hu-HU"/>
              </w:rPr>
            </w:pPr>
            <w:r w:rsidRPr="00B97040">
              <w:rPr>
                <w:rFonts w:ascii="Times New Roman" w:hAnsi="Times New Roman" w:cs="Times New Roman"/>
                <w:b/>
                <w:bCs/>
                <w:sz w:val="20"/>
                <w:szCs w:val="20"/>
              </w:rPr>
              <w:t>36,1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EB67F0" w14:textId="41B18CB9" w:rsidR="00856A91" w:rsidRPr="00B97040" w:rsidRDefault="28F9800E" w:rsidP="28F9800E">
            <w:pPr>
              <w:keepNext/>
              <w:keepLines/>
              <w:spacing w:after="0" w:line="240" w:lineRule="auto"/>
              <w:jc w:val="right"/>
              <w:rPr>
                <w:rFonts w:ascii="Times New Roman" w:eastAsia="Times New Roman" w:hAnsi="Times New Roman" w:cs="Times New Roman"/>
                <w:b/>
                <w:bCs/>
                <w:sz w:val="20"/>
                <w:szCs w:val="20"/>
                <w:lang w:eastAsia="hu-HU"/>
              </w:rPr>
            </w:pPr>
            <w:r w:rsidRPr="00B97040">
              <w:rPr>
                <w:rFonts w:ascii="Times New Roman" w:hAnsi="Times New Roman" w:cs="Times New Roman"/>
                <w:b/>
                <w:bCs/>
                <w:sz w:val="20"/>
                <w:szCs w:val="20"/>
              </w:rPr>
              <w:t>2,8</w:t>
            </w:r>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FF6C6E" w14:textId="1BA02E30" w:rsidR="00856A91" w:rsidRPr="00B97040" w:rsidRDefault="28F9800E" w:rsidP="28F9800E">
            <w:pPr>
              <w:keepNext/>
              <w:keepLines/>
              <w:spacing w:after="0" w:line="240" w:lineRule="auto"/>
              <w:jc w:val="right"/>
              <w:rPr>
                <w:rFonts w:ascii="Times New Roman" w:eastAsia="Times New Roman" w:hAnsi="Times New Roman" w:cs="Times New Roman"/>
                <w:b/>
                <w:bCs/>
                <w:sz w:val="20"/>
                <w:szCs w:val="20"/>
                <w:lang w:eastAsia="hu-HU"/>
              </w:rPr>
            </w:pPr>
            <w:r w:rsidRPr="00B97040">
              <w:rPr>
                <w:rFonts w:ascii="Times New Roman" w:hAnsi="Times New Roman" w:cs="Times New Roman"/>
                <w:b/>
                <w:bCs/>
                <w:sz w:val="20"/>
                <w:szCs w:val="20"/>
              </w:rPr>
              <w:t>108,4</w:t>
            </w:r>
          </w:p>
        </w:tc>
      </w:tr>
      <w:tr w:rsidR="00856A91" w:rsidRPr="00377D59" w14:paraId="648C3F54" w14:textId="77777777" w:rsidTr="00B97040">
        <w:trPr>
          <w:trHeight w:val="340"/>
        </w:trPr>
        <w:tc>
          <w:tcPr>
            <w:tcW w:w="5382" w:type="dxa"/>
            <w:vAlign w:val="center"/>
            <w:hideMark/>
          </w:tcPr>
          <w:p w14:paraId="3676EE9C" w14:textId="4925EF27" w:rsidR="00856A91" w:rsidRPr="00EB7ACF" w:rsidRDefault="5E04AD7D" w:rsidP="5E04AD7D">
            <w:pPr>
              <w:keepNext/>
              <w:keepLines/>
              <w:spacing w:after="0" w:line="240" w:lineRule="auto"/>
              <w:rPr>
                <w:rFonts w:ascii="Times New Roman" w:eastAsia="Times New Roman" w:hAnsi="Times New Roman" w:cs="Times New Roman"/>
                <w:b/>
                <w:bCs/>
                <w:sz w:val="20"/>
                <w:szCs w:val="20"/>
                <w:lang w:eastAsia="hu-HU"/>
              </w:rPr>
            </w:pPr>
            <w:r w:rsidRPr="5E04AD7D">
              <w:rPr>
                <w:rFonts w:ascii="Times New Roman" w:eastAsia="Times New Roman" w:hAnsi="Times New Roman" w:cs="Times New Roman"/>
                <w:b/>
                <w:bCs/>
                <w:sz w:val="20"/>
                <w:szCs w:val="20"/>
                <w:lang w:eastAsia="hu-HU"/>
              </w:rPr>
              <w:t>Év közben létrejött új jogcímek kiadásai</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BACAC9E" w14:textId="2D93AB4C" w:rsidR="00856A91" w:rsidRPr="00B97040" w:rsidRDefault="28F9800E" w:rsidP="28F9800E">
            <w:pPr>
              <w:keepNext/>
              <w:keepLines/>
              <w:spacing w:after="0" w:line="240" w:lineRule="auto"/>
              <w:jc w:val="right"/>
              <w:rPr>
                <w:rFonts w:ascii="Times New Roman" w:eastAsia="Times New Roman" w:hAnsi="Times New Roman" w:cs="Times New Roman"/>
                <w:b/>
                <w:bCs/>
                <w:sz w:val="20"/>
                <w:szCs w:val="20"/>
                <w:lang w:eastAsia="hu-HU"/>
              </w:rPr>
            </w:pPr>
            <w:r w:rsidRPr="00B97040">
              <w:rPr>
                <w:rFonts w:ascii="Times New Roman" w:hAnsi="Times New Roman" w:cs="Times New Roman"/>
                <w:b/>
                <w:bCs/>
                <w:sz w:val="20"/>
                <w:szCs w:val="20"/>
              </w:rPr>
              <w:t>0,7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66E9FC" w14:textId="6CF712CB" w:rsidR="00856A91" w:rsidRPr="00B97040" w:rsidRDefault="28F9800E" w:rsidP="28F9800E">
            <w:pPr>
              <w:keepNext/>
              <w:keepLines/>
              <w:spacing w:after="0" w:line="240" w:lineRule="auto"/>
              <w:jc w:val="right"/>
              <w:rPr>
                <w:rFonts w:ascii="Times New Roman" w:eastAsia="Times New Roman" w:hAnsi="Times New Roman" w:cs="Times New Roman"/>
                <w:b/>
                <w:bCs/>
                <w:sz w:val="20"/>
                <w:szCs w:val="20"/>
                <w:lang w:eastAsia="hu-HU"/>
              </w:rPr>
            </w:pPr>
            <w:r w:rsidRPr="00B97040">
              <w:rPr>
                <w:rFonts w:ascii="Times New Roman" w:hAnsi="Times New Roman" w:cs="Times New Roman"/>
                <w:b/>
                <w:bCs/>
                <w:sz w:val="20"/>
                <w:szCs w:val="20"/>
              </w:rPr>
              <w:t>30,7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2B586A" w14:textId="505F7A2E" w:rsidR="00856A91" w:rsidRPr="00B97040" w:rsidRDefault="28F9800E" w:rsidP="28F9800E">
            <w:pPr>
              <w:keepNext/>
              <w:keepLines/>
              <w:spacing w:after="0" w:line="240" w:lineRule="auto"/>
              <w:jc w:val="right"/>
              <w:rPr>
                <w:rFonts w:ascii="Times New Roman" w:eastAsia="Times New Roman" w:hAnsi="Times New Roman" w:cs="Times New Roman"/>
                <w:b/>
                <w:bCs/>
                <w:sz w:val="20"/>
                <w:szCs w:val="20"/>
                <w:lang w:eastAsia="hu-HU"/>
              </w:rPr>
            </w:pPr>
            <w:r w:rsidRPr="00B97040">
              <w:rPr>
                <w:rFonts w:ascii="Times New Roman" w:hAnsi="Times New Roman" w:cs="Times New Roman"/>
                <w:b/>
                <w:bCs/>
                <w:sz w:val="20"/>
                <w:szCs w:val="20"/>
              </w:rPr>
              <w:t>30,0</w:t>
            </w:r>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EBBBB0" w14:textId="7C6E2FB2" w:rsidR="00856A91" w:rsidRPr="00B97040" w:rsidRDefault="28F9800E" w:rsidP="28F9800E">
            <w:pPr>
              <w:keepNext/>
              <w:keepLines/>
              <w:spacing w:after="0" w:line="240" w:lineRule="auto"/>
              <w:jc w:val="right"/>
              <w:rPr>
                <w:rFonts w:ascii="Times New Roman" w:eastAsia="Times New Roman" w:hAnsi="Times New Roman" w:cs="Times New Roman"/>
                <w:b/>
                <w:bCs/>
                <w:sz w:val="20"/>
                <w:szCs w:val="20"/>
                <w:lang w:eastAsia="hu-HU"/>
              </w:rPr>
            </w:pPr>
            <w:r w:rsidRPr="00B97040">
              <w:rPr>
                <w:rFonts w:ascii="Times New Roman" w:hAnsi="Times New Roman" w:cs="Times New Roman"/>
                <w:b/>
                <w:bCs/>
                <w:sz w:val="20"/>
                <w:szCs w:val="20"/>
              </w:rPr>
              <w:t>4385,7</w:t>
            </w:r>
          </w:p>
        </w:tc>
      </w:tr>
      <w:tr w:rsidR="00856A91" w:rsidRPr="00377D59" w14:paraId="60064293" w14:textId="77777777" w:rsidTr="00B97040">
        <w:trPr>
          <w:trHeight w:val="340"/>
        </w:trPr>
        <w:tc>
          <w:tcPr>
            <w:tcW w:w="5382" w:type="dxa"/>
            <w:noWrap/>
            <w:vAlign w:val="center"/>
            <w:hideMark/>
          </w:tcPr>
          <w:p w14:paraId="73666509" w14:textId="770E1DDA" w:rsidR="00856A91" w:rsidRPr="00EB7ACF" w:rsidRDefault="5E04AD7D" w:rsidP="5E04AD7D">
            <w:pPr>
              <w:widowControl w:val="0"/>
              <w:spacing w:after="0" w:line="240" w:lineRule="auto"/>
              <w:rPr>
                <w:rFonts w:ascii="Times New Roman" w:eastAsia="Times New Roman" w:hAnsi="Times New Roman" w:cs="Times New Roman"/>
                <w:b/>
                <w:bCs/>
                <w:sz w:val="20"/>
                <w:szCs w:val="20"/>
                <w:lang w:eastAsia="hu-HU"/>
              </w:rPr>
            </w:pPr>
            <w:r w:rsidRPr="5E04AD7D">
              <w:rPr>
                <w:rFonts w:ascii="Times New Roman" w:eastAsia="Times New Roman" w:hAnsi="Times New Roman" w:cs="Times New Roman"/>
                <w:b/>
                <w:bCs/>
                <w:sz w:val="20"/>
                <w:szCs w:val="20"/>
                <w:lang w:eastAsia="hu-HU"/>
              </w:rPr>
              <w:t>Összesen</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A3EFD36" w14:textId="762D9239" w:rsidR="00856A91" w:rsidRPr="00B97040" w:rsidRDefault="28F9800E" w:rsidP="28F9800E">
            <w:pPr>
              <w:keepNext/>
              <w:keepLines/>
              <w:spacing w:after="0" w:line="240" w:lineRule="auto"/>
              <w:jc w:val="right"/>
              <w:rPr>
                <w:rFonts w:ascii="Times New Roman" w:eastAsia="Times New Roman" w:hAnsi="Times New Roman" w:cs="Times New Roman"/>
                <w:b/>
                <w:bCs/>
                <w:sz w:val="20"/>
                <w:szCs w:val="20"/>
                <w:lang w:eastAsia="hu-HU"/>
              </w:rPr>
            </w:pPr>
            <w:r w:rsidRPr="00B97040">
              <w:rPr>
                <w:rFonts w:ascii="Times New Roman" w:hAnsi="Times New Roman" w:cs="Times New Roman"/>
                <w:b/>
                <w:bCs/>
                <w:sz w:val="20"/>
                <w:szCs w:val="20"/>
              </w:rPr>
              <w:t>367,5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84CCAC" w14:textId="7FE2AE0B" w:rsidR="00856A91" w:rsidRPr="00B97040" w:rsidRDefault="28F9800E" w:rsidP="28F9800E">
            <w:pPr>
              <w:keepNext/>
              <w:keepLines/>
              <w:spacing w:after="0" w:line="240" w:lineRule="auto"/>
              <w:jc w:val="right"/>
              <w:rPr>
                <w:rFonts w:ascii="Times New Roman" w:eastAsia="Times New Roman" w:hAnsi="Times New Roman" w:cs="Times New Roman"/>
                <w:b/>
                <w:bCs/>
                <w:sz w:val="20"/>
                <w:szCs w:val="20"/>
                <w:lang w:eastAsia="hu-HU"/>
              </w:rPr>
            </w:pPr>
            <w:r w:rsidRPr="00B97040">
              <w:rPr>
                <w:rFonts w:ascii="Times New Roman" w:hAnsi="Times New Roman" w:cs="Times New Roman"/>
                <w:b/>
                <w:bCs/>
                <w:sz w:val="20"/>
                <w:szCs w:val="20"/>
              </w:rPr>
              <w:t>444,9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ACA3FA" w14:textId="2F5C1ACB" w:rsidR="00856A91" w:rsidRPr="00B97040" w:rsidRDefault="28F9800E" w:rsidP="28F9800E">
            <w:pPr>
              <w:keepNext/>
              <w:keepLines/>
              <w:spacing w:after="0" w:line="240" w:lineRule="auto"/>
              <w:jc w:val="right"/>
              <w:rPr>
                <w:rFonts w:ascii="Times New Roman" w:eastAsia="Times New Roman" w:hAnsi="Times New Roman" w:cs="Times New Roman"/>
                <w:b/>
                <w:bCs/>
                <w:sz w:val="20"/>
                <w:szCs w:val="20"/>
                <w:lang w:eastAsia="hu-HU"/>
              </w:rPr>
            </w:pPr>
            <w:r w:rsidRPr="00B97040">
              <w:rPr>
                <w:rFonts w:ascii="Times New Roman" w:hAnsi="Times New Roman" w:cs="Times New Roman"/>
                <w:b/>
                <w:bCs/>
                <w:sz w:val="20"/>
                <w:szCs w:val="20"/>
              </w:rPr>
              <w:t>77,4</w:t>
            </w:r>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1B57DC" w14:textId="789EFE0D" w:rsidR="00856A91" w:rsidRPr="00B97040" w:rsidRDefault="28F9800E" w:rsidP="28F9800E">
            <w:pPr>
              <w:keepNext/>
              <w:keepLines/>
              <w:spacing w:after="0" w:line="240" w:lineRule="auto"/>
              <w:jc w:val="right"/>
              <w:rPr>
                <w:rFonts w:ascii="Times New Roman" w:eastAsia="Times New Roman" w:hAnsi="Times New Roman" w:cs="Times New Roman"/>
                <w:b/>
                <w:bCs/>
                <w:sz w:val="20"/>
                <w:szCs w:val="20"/>
                <w:lang w:eastAsia="hu-HU"/>
              </w:rPr>
            </w:pPr>
            <w:r w:rsidRPr="00B97040">
              <w:rPr>
                <w:rFonts w:ascii="Times New Roman" w:hAnsi="Times New Roman" w:cs="Times New Roman"/>
                <w:b/>
                <w:bCs/>
                <w:sz w:val="20"/>
                <w:szCs w:val="20"/>
              </w:rPr>
              <w:t>121,1</w:t>
            </w:r>
          </w:p>
        </w:tc>
      </w:tr>
      <w:bookmarkEnd w:id="4"/>
    </w:tbl>
    <w:p w14:paraId="1F795CA4" w14:textId="77777777" w:rsidR="00527154" w:rsidRDefault="00527154">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14:paraId="2068B27F" w14:textId="770F2E3A" w:rsidR="74B9DF17" w:rsidRPr="00CD1AC2" w:rsidRDefault="5E04AD7D" w:rsidP="5E04AD7D">
      <w:pPr>
        <w:spacing w:before="160"/>
        <w:jc w:val="both"/>
        <w:rPr>
          <w:rFonts w:ascii="Times New Roman" w:eastAsia="Times New Roman" w:hAnsi="Times New Roman" w:cs="Times New Roman"/>
          <w:sz w:val="26"/>
          <w:szCs w:val="26"/>
        </w:rPr>
      </w:pPr>
      <w:r w:rsidRPr="5E04AD7D">
        <w:rPr>
          <w:rFonts w:ascii="Times New Roman" w:eastAsia="Times New Roman" w:hAnsi="Times New Roman" w:cs="Times New Roman"/>
          <w:sz w:val="26"/>
          <w:szCs w:val="26"/>
        </w:rPr>
        <w:lastRenderedPageBreak/>
        <w:t xml:space="preserve">Az </w:t>
      </w:r>
      <w:r w:rsidRPr="5E04AD7D">
        <w:rPr>
          <w:rFonts w:ascii="Times New Roman" w:eastAsia="Times New Roman" w:hAnsi="Times New Roman" w:cs="Times New Roman"/>
          <w:b/>
          <w:bCs/>
          <w:sz w:val="26"/>
          <w:szCs w:val="26"/>
        </w:rPr>
        <w:t>Uniós programok kiadásai</w:t>
      </w:r>
      <w:r w:rsidRPr="5E04AD7D">
        <w:rPr>
          <w:rFonts w:ascii="Times New Roman" w:eastAsia="Times New Roman" w:hAnsi="Times New Roman" w:cs="Times New Roman"/>
          <w:i/>
          <w:iCs/>
          <w:sz w:val="26"/>
          <w:szCs w:val="26"/>
        </w:rPr>
        <w:t xml:space="preserve"> </w:t>
      </w:r>
      <w:r w:rsidRPr="5E04AD7D">
        <w:rPr>
          <w:rFonts w:ascii="Times New Roman" w:eastAsia="Times New Roman" w:hAnsi="Times New Roman" w:cs="Times New Roman"/>
          <w:sz w:val="26"/>
          <w:szCs w:val="26"/>
        </w:rPr>
        <w:t>mérlegsoron 2026. március végéig 613,7 milliárd forint összegű kifizetés történt, amely a törvényi előirányzat (2761,2 milliárd forint) 22,2%-os teljesítését jelenti. A felmerült kiadások túlnyomó részét a 2021-2027-es Széchenyi Plusz programjai adták.</w:t>
      </w:r>
    </w:p>
    <w:p w14:paraId="6ABC464B" w14:textId="60303D0D" w:rsidR="74B9DF17" w:rsidRDefault="5E04AD7D" w:rsidP="5E04AD7D">
      <w:pPr>
        <w:spacing w:before="240" w:after="120"/>
        <w:jc w:val="both"/>
        <w:rPr>
          <w:rFonts w:ascii="Times New Roman" w:eastAsia="Times New Roman" w:hAnsi="Times New Roman" w:cs="Times New Roman"/>
          <w:sz w:val="26"/>
          <w:szCs w:val="26"/>
        </w:rPr>
      </w:pPr>
      <w:r w:rsidRPr="5E04AD7D">
        <w:rPr>
          <w:rFonts w:ascii="Times New Roman" w:eastAsia="Times New Roman" w:hAnsi="Times New Roman" w:cs="Times New Roman"/>
          <w:sz w:val="26"/>
          <w:szCs w:val="26"/>
        </w:rPr>
        <w:t>A legnagyobb összegű kifizetéseket ezen időszakban a Széchenyi Terv Plusz operatív programok közül a Terület- és Településfejlesztési OP (TOP Plusz) és a Gazdaságfejlesztési és Innovációs OP Plusz (GINOP Plusz) teljesítette. Kiemelkedők továbbá a Vidékfejlesztési Program és a KAP Stratégiai Terv Vidékfejlesztési Intézkedéseinek kifizetése.</w:t>
      </w:r>
    </w:p>
    <w:p w14:paraId="0EE0B389" w14:textId="09E783AF" w:rsidR="029C2633" w:rsidRPr="00CD1AC2" w:rsidRDefault="0002125B" w:rsidP="0002125B">
      <w:pPr>
        <w:spacing w:before="240" w:after="120"/>
        <w:jc w:val="both"/>
        <w:rPr>
          <w:rFonts w:ascii="Times New Roman" w:eastAsia="Times New Roman" w:hAnsi="Times New Roman" w:cs="Times New Roman"/>
          <w:sz w:val="26"/>
          <w:szCs w:val="26"/>
        </w:rPr>
      </w:pPr>
      <w:r w:rsidRPr="5E04AD7D">
        <w:rPr>
          <w:rFonts w:ascii="Times New Roman" w:eastAsia="Times New Roman" w:hAnsi="Times New Roman" w:cs="Times New Roman"/>
          <w:sz w:val="26"/>
          <w:szCs w:val="26"/>
        </w:rPr>
        <w:t xml:space="preserve">Az </w:t>
      </w:r>
      <w:r w:rsidRPr="5E04AD7D">
        <w:rPr>
          <w:rFonts w:ascii="Times New Roman" w:eastAsia="Times New Roman" w:hAnsi="Times New Roman" w:cs="Times New Roman"/>
          <w:b/>
          <w:bCs/>
          <w:sz w:val="26"/>
          <w:szCs w:val="26"/>
        </w:rPr>
        <w:t>állami vagyonnal kapcsolatos kiadások</w:t>
      </w:r>
      <w:r w:rsidRPr="5E04AD7D">
        <w:rPr>
          <w:rFonts w:ascii="Times New Roman" w:eastAsia="Times New Roman" w:hAnsi="Times New Roman" w:cs="Times New Roman"/>
          <w:sz w:val="26"/>
          <w:szCs w:val="26"/>
        </w:rPr>
        <w:t xml:space="preserve"> márciusi összege 58,1 milliárd forint volt, amelynek meghatározó része az ingatlanokkal kapcsolatos kiadásokra kerültek kifizetésre</w:t>
      </w:r>
      <w:r>
        <w:rPr>
          <w:rFonts w:ascii="Times New Roman" w:eastAsia="Times New Roman" w:hAnsi="Times New Roman" w:cs="Times New Roman"/>
          <w:sz w:val="26"/>
          <w:szCs w:val="26"/>
        </w:rPr>
        <w:t>.</w:t>
      </w:r>
    </w:p>
    <w:p w14:paraId="030326D3" w14:textId="452C5464" w:rsidR="5B67C7D7" w:rsidRPr="00A37FE5" w:rsidRDefault="00527154" w:rsidP="00505767">
      <w:pPr>
        <w:jc w:val="both"/>
        <w:rPr>
          <w:rFonts w:ascii="Times New Roman" w:eastAsia="Times New Roman" w:hAnsi="Times New Roman" w:cs="Times New Roman"/>
          <w:sz w:val="26"/>
          <w:szCs w:val="26"/>
        </w:rPr>
      </w:pPr>
      <w:r w:rsidRPr="00527154">
        <w:rPr>
          <w:rFonts w:ascii="Times New Roman" w:eastAsia="Times New Roman" w:hAnsi="Times New Roman" w:cs="Times New Roman"/>
          <w:b/>
          <w:bCs/>
          <w:noProof/>
          <w:sz w:val="26"/>
          <w:szCs w:val="26"/>
        </w:rPr>
        <w:drawing>
          <wp:inline distT="0" distB="0" distL="0" distR="0" wp14:anchorId="1E918DEF" wp14:editId="11901A9D">
            <wp:extent cx="5940425" cy="3802380"/>
            <wp:effectExtent l="0" t="0" r="3175" b="7620"/>
            <wp:docPr id="1288732976" name="Kép 1" descr="A képen szöveg, képernyőkép, sor, Diagram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732976" name="Kép 1" descr="A képen szöveg, képernyőkép, sor, Diagram látható&#10;&#10;Előfordulhat, hogy a mesterséges intelligencia által létrehozott tartalom helytelen."/>
                    <pic:cNvPicPr/>
                  </pic:nvPicPr>
                  <pic:blipFill>
                    <a:blip r:embed="rId19"/>
                    <a:stretch>
                      <a:fillRect/>
                    </a:stretch>
                  </pic:blipFill>
                  <pic:spPr>
                    <a:xfrm>
                      <a:off x="0" y="0"/>
                      <a:ext cx="5940425" cy="3802380"/>
                    </a:xfrm>
                    <a:prstGeom prst="rect">
                      <a:avLst/>
                    </a:prstGeom>
                  </pic:spPr>
                </pic:pic>
              </a:graphicData>
            </a:graphic>
          </wp:inline>
        </w:drawing>
      </w:r>
      <w:r w:rsidR="5E04AD7D" w:rsidRPr="5E04AD7D">
        <w:rPr>
          <w:rFonts w:ascii="Times New Roman" w:eastAsia="Times New Roman" w:hAnsi="Times New Roman" w:cs="Times New Roman"/>
          <w:sz w:val="26"/>
          <w:szCs w:val="26"/>
        </w:rPr>
        <w:t xml:space="preserve">Az </w:t>
      </w:r>
      <w:r w:rsidR="5E04AD7D" w:rsidRPr="5E04AD7D">
        <w:rPr>
          <w:rFonts w:ascii="Times New Roman" w:eastAsia="Times New Roman" w:hAnsi="Times New Roman" w:cs="Times New Roman"/>
          <w:b/>
          <w:bCs/>
          <w:sz w:val="26"/>
          <w:szCs w:val="26"/>
        </w:rPr>
        <w:t xml:space="preserve">állami beruházási fejezet kiadásait </w:t>
      </w:r>
      <w:r w:rsidR="5E04AD7D" w:rsidRPr="5E04AD7D">
        <w:rPr>
          <w:rFonts w:ascii="Times New Roman" w:eastAsia="Times New Roman" w:hAnsi="Times New Roman" w:cs="Times New Roman"/>
          <w:sz w:val="26"/>
          <w:szCs w:val="26"/>
        </w:rPr>
        <w:t>alapvetően az egyes projektek előrehaladása határozza meg. 2026 első három hónapjában összesen 115,4 milliárd forint kiadás teljesült, amely magasabb a 2025 azonos időszakában teljesültekhez képest, amelyet az állami közútfejlesztési beruházások előző évihez képest magasabb teljesítménye okoz. A kifizetések nagy része az állami közútfejlesztési beruházásokhoz (79,6 milliárd forint) és az uniós kiadásokhoz (25,1 milliárd forint) kapcsolódtak.</w:t>
      </w:r>
    </w:p>
    <w:p w14:paraId="598CEA5E" w14:textId="63A8ABED" w:rsidR="00C224F5" w:rsidRPr="00A37FE5" w:rsidRDefault="5E04AD7D" w:rsidP="00505767">
      <w:pPr>
        <w:jc w:val="both"/>
        <w:rPr>
          <w:rFonts w:ascii="Times New Roman" w:eastAsia="Times New Roman" w:hAnsi="Times New Roman" w:cs="Times New Roman"/>
          <w:sz w:val="26"/>
          <w:szCs w:val="26"/>
        </w:rPr>
      </w:pPr>
      <w:r w:rsidRPr="5E04AD7D">
        <w:rPr>
          <w:rFonts w:ascii="Times New Roman" w:eastAsia="Times New Roman" w:hAnsi="Times New Roman" w:cs="Times New Roman"/>
          <w:sz w:val="26"/>
          <w:szCs w:val="26"/>
        </w:rPr>
        <w:t xml:space="preserve">Az </w:t>
      </w:r>
      <w:r w:rsidRPr="5E04AD7D">
        <w:rPr>
          <w:rFonts w:ascii="Times New Roman" w:eastAsia="Times New Roman" w:hAnsi="Times New Roman" w:cs="Times New Roman"/>
          <w:b/>
          <w:bCs/>
          <w:sz w:val="26"/>
          <w:szCs w:val="26"/>
        </w:rPr>
        <w:t>egyéb kiadások</w:t>
      </w:r>
      <w:r w:rsidRPr="5E04AD7D">
        <w:rPr>
          <w:rFonts w:ascii="Times New Roman" w:eastAsia="Times New Roman" w:hAnsi="Times New Roman" w:cs="Times New Roman"/>
          <w:sz w:val="26"/>
          <w:szCs w:val="26"/>
        </w:rPr>
        <w:t xml:space="preserve"> 2026. évi </w:t>
      </w:r>
      <w:r w:rsidR="00432BDD">
        <w:rPr>
          <w:rFonts w:ascii="Times New Roman" w:eastAsia="Times New Roman" w:hAnsi="Times New Roman" w:cs="Times New Roman"/>
          <w:sz w:val="26"/>
          <w:szCs w:val="26"/>
        </w:rPr>
        <w:t>március</w:t>
      </w:r>
      <w:r w:rsidRPr="5E04AD7D">
        <w:rPr>
          <w:rFonts w:ascii="Times New Roman" w:eastAsia="Times New Roman" w:hAnsi="Times New Roman" w:cs="Times New Roman"/>
          <w:sz w:val="26"/>
          <w:szCs w:val="26"/>
        </w:rPr>
        <w:t xml:space="preserve"> havi teljesítése </w:t>
      </w:r>
      <w:r w:rsidR="00432BDD">
        <w:rPr>
          <w:rFonts w:ascii="Times New Roman" w:eastAsia="Times New Roman" w:hAnsi="Times New Roman" w:cs="Times New Roman"/>
          <w:sz w:val="26"/>
          <w:szCs w:val="26"/>
        </w:rPr>
        <w:t>155,1</w:t>
      </w:r>
      <w:r w:rsidRPr="5E04AD7D">
        <w:rPr>
          <w:rFonts w:ascii="Times New Roman" w:eastAsia="Times New Roman" w:hAnsi="Times New Roman" w:cs="Times New Roman"/>
          <w:sz w:val="26"/>
          <w:szCs w:val="26"/>
        </w:rPr>
        <w:t xml:space="preserve"> milliárd forint lett, ami </w:t>
      </w:r>
      <w:r w:rsidR="00432BDD">
        <w:rPr>
          <w:rFonts w:ascii="Times New Roman" w:eastAsia="Times New Roman" w:hAnsi="Times New Roman" w:cs="Times New Roman"/>
          <w:sz w:val="26"/>
          <w:szCs w:val="26"/>
        </w:rPr>
        <w:t>22,9</w:t>
      </w:r>
      <w:r w:rsidRPr="5E04AD7D">
        <w:rPr>
          <w:rFonts w:ascii="Times New Roman" w:eastAsia="Times New Roman" w:hAnsi="Times New Roman" w:cs="Times New Roman"/>
          <w:sz w:val="26"/>
          <w:szCs w:val="26"/>
        </w:rPr>
        <w:t> milliárd forinttal magasabban alakult az előző év azonos időszakához képest.</w:t>
      </w:r>
    </w:p>
    <w:p w14:paraId="15F013A7" w14:textId="127BC4F6" w:rsidR="74B9DF17" w:rsidRPr="00A37FE5" w:rsidRDefault="5E04AD7D" w:rsidP="00505767">
      <w:pPr>
        <w:jc w:val="both"/>
        <w:rPr>
          <w:rFonts w:ascii="Times New Roman" w:eastAsia="Times New Roman" w:hAnsi="Times New Roman" w:cs="Times New Roman"/>
          <w:sz w:val="26"/>
          <w:szCs w:val="26"/>
        </w:rPr>
      </w:pPr>
      <w:r w:rsidRPr="5E04AD7D">
        <w:rPr>
          <w:rFonts w:ascii="Times New Roman" w:eastAsia="Times New Roman" w:hAnsi="Times New Roman" w:cs="Times New Roman"/>
          <w:sz w:val="26"/>
          <w:szCs w:val="26"/>
        </w:rPr>
        <w:t xml:space="preserve">A </w:t>
      </w:r>
      <w:r w:rsidRPr="5E04AD7D">
        <w:rPr>
          <w:rFonts w:ascii="Times New Roman" w:eastAsia="Times New Roman" w:hAnsi="Times New Roman" w:cs="Times New Roman"/>
          <w:b/>
          <w:bCs/>
          <w:sz w:val="26"/>
          <w:szCs w:val="26"/>
        </w:rPr>
        <w:t>Hozzájárulás az EU költségvetéséhez</w:t>
      </w:r>
      <w:r w:rsidRPr="5E04AD7D">
        <w:rPr>
          <w:rFonts w:ascii="Times New Roman" w:eastAsia="Times New Roman" w:hAnsi="Times New Roman" w:cs="Times New Roman"/>
          <w:sz w:val="26"/>
          <w:szCs w:val="26"/>
        </w:rPr>
        <w:t xml:space="preserve"> mérlegsoron 2026. március végéig 190,9</w:t>
      </w:r>
      <w:r w:rsidR="00527154">
        <w:rPr>
          <w:rFonts w:ascii="Times New Roman" w:eastAsia="Times New Roman" w:hAnsi="Times New Roman" w:cs="Times New Roman"/>
          <w:sz w:val="26"/>
          <w:szCs w:val="26"/>
        </w:rPr>
        <w:t> </w:t>
      </w:r>
      <w:r w:rsidRPr="5E04AD7D">
        <w:rPr>
          <w:rFonts w:ascii="Times New Roman" w:eastAsia="Times New Roman" w:hAnsi="Times New Roman" w:cs="Times New Roman"/>
          <w:sz w:val="26"/>
          <w:szCs w:val="26"/>
        </w:rPr>
        <w:t>milliárd forint kiadás teljesült, ami a törvényi előirányzat 24,2%-a. E hozzájárulás 5,</w:t>
      </w:r>
      <w:r w:rsidR="00C81C27">
        <w:rPr>
          <w:rFonts w:ascii="Times New Roman" w:eastAsia="Times New Roman" w:hAnsi="Times New Roman" w:cs="Times New Roman"/>
          <w:sz w:val="26"/>
          <w:szCs w:val="26"/>
        </w:rPr>
        <w:t>1</w:t>
      </w:r>
      <w:r w:rsidRPr="5E04AD7D">
        <w:rPr>
          <w:rFonts w:ascii="Times New Roman" w:eastAsia="Times New Roman" w:hAnsi="Times New Roman" w:cs="Times New Roman"/>
          <w:sz w:val="26"/>
          <w:szCs w:val="26"/>
        </w:rPr>
        <w:t xml:space="preserve"> milliárd forinttal marad el a 2025. év azonos időszakában teljesített kiadások</w:t>
      </w:r>
      <w:r w:rsidR="002B6AEE">
        <w:rPr>
          <w:rFonts w:ascii="Times New Roman" w:eastAsia="Times New Roman" w:hAnsi="Times New Roman" w:cs="Times New Roman"/>
          <w:sz w:val="26"/>
          <w:szCs w:val="26"/>
        </w:rPr>
        <w:t>tól</w:t>
      </w:r>
      <w:r w:rsidRPr="5E04AD7D">
        <w:rPr>
          <w:rFonts w:ascii="Times New Roman" w:eastAsia="Times New Roman" w:hAnsi="Times New Roman" w:cs="Times New Roman"/>
          <w:sz w:val="26"/>
          <w:szCs w:val="26"/>
        </w:rPr>
        <w:t>.</w:t>
      </w:r>
    </w:p>
    <w:p w14:paraId="0F5A0F03" w14:textId="13261811" w:rsidR="6462B5A6" w:rsidRPr="00A37FE5" w:rsidRDefault="5E04AD7D" w:rsidP="00505767">
      <w:pPr>
        <w:jc w:val="both"/>
        <w:rPr>
          <w:rFonts w:ascii="Times New Roman" w:eastAsia="Times New Roman" w:hAnsi="Times New Roman" w:cs="Times New Roman"/>
          <w:sz w:val="26"/>
          <w:szCs w:val="26"/>
        </w:rPr>
      </w:pPr>
      <w:r w:rsidRPr="5E04AD7D">
        <w:rPr>
          <w:rFonts w:ascii="Times New Roman" w:eastAsia="Times New Roman" w:hAnsi="Times New Roman" w:cs="Times New Roman"/>
          <w:sz w:val="26"/>
          <w:szCs w:val="26"/>
        </w:rPr>
        <w:lastRenderedPageBreak/>
        <w:t xml:space="preserve">A </w:t>
      </w:r>
      <w:r w:rsidRPr="5E04AD7D">
        <w:rPr>
          <w:rFonts w:ascii="Times New Roman" w:eastAsia="Times New Roman" w:hAnsi="Times New Roman" w:cs="Times New Roman"/>
          <w:b/>
          <w:bCs/>
          <w:sz w:val="26"/>
          <w:szCs w:val="26"/>
        </w:rPr>
        <w:t>Nemzeti Kutatási, Fejlesztési és Innovációs Alapból</w:t>
      </w:r>
      <w:r w:rsidRPr="5E04AD7D">
        <w:rPr>
          <w:rFonts w:ascii="Times New Roman" w:eastAsia="Times New Roman" w:hAnsi="Times New Roman" w:cs="Times New Roman"/>
          <w:sz w:val="26"/>
          <w:szCs w:val="26"/>
        </w:rPr>
        <w:t xml:space="preserve"> (NKFI Alap) 2026. március végéig 59,2 milliárd forint kiadás teljesült.</w:t>
      </w:r>
    </w:p>
    <w:p w14:paraId="17605E21" w14:textId="7D4DE485" w:rsidR="6462B5A6" w:rsidRPr="00A37FE5" w:rsidRDefault="5E04AD7D" w:rsidP="00505767">
      <w:pPr>
        <w:jc w:val="both"/>
        <w:rPr>
          <w:rFonts w:ascii="Times New Roman" w:eastAsia="Times New Roman" w:hAnsi="Times New Roman" w:cs="Times New Roman"/>
          <w:sz w:val="26"/>
          <w:szCs w:val="26"/>
        </w:rPr>
      </w:pPr>
      <w:r w:rsidRPr="5E04AD7D">
        <w:rPr>
          <w:rFonts w:ascii="Times New Roman" w:eastAsia="Times New Roman" w:hAnsi="Times New Roman" w:cs="Times New Roman"/>
          <w:sz w:val="26"/>
          <w:szCs w:val="26"/>
        </w:rPr>
        <w:t xml:space="preserve">A </w:t>
      </w:r>
      <w:r w:rsidRPr="5E04AD7D">
        <w:rPr>
          <w:rFonts w:ascii="Times New Roman" w:eastAsia="Times New Roman" w:hAnsi="Times New Roman" w:cs="Times New Roman"/>
          <w:b/>
          <w:bCs/>
          <w:sz w:val="26"/>
          <w:szCs w:val="26"/>
        </w:rPr>
        <w:t>Nemzeti Foglalkoztatási Alap</w:t>
      </w:r>
      <w:r w:rsidRPr="5E04AD7D">
        <w:rPr>
          <w:rFonts w:ascii="Times New Roman" w:eastAsia="Times New Roman" w:hAnsi="Times New Roman" w:cs="Times New Roman"/>
          <w:sz w:val="26"/>
          <w:szCs w:val="26"/>
        </w:rPr>
        <w:t xml:space="preserve"> (NFA) kiadásai esetében a Start-munkaprogramra összesen 36,2 milliárd forint teljesült. Az uniós elő- és társfinanszírozásra 10,8 milliárd forintot fordítottak.</w:t>
      </w:r>
    </w:p>
    <w:p w14:paraId="76B18BB1" w14:textId="027A358A" w:rsidR="123EFD2F" w:rsidRPr="00A37FE5" w:rsidRDefault="5E04AD7D" w:rsidP="00505767">
      <w:pPr>
        <w:jc w:val="both"/>
        <w:rPr>
          <w:rFonts w:ascii="Times New Roman" w:eastAsia="Times New Roman" w:hAnsi="Times New Roman" w:cs="Times New Roman"/>
          <w:sz w:val="26"/>
          <w:szCs w:val="26"/>
        </w:rPr>
      </w:pPr>
      <w:r w:rsidRPr="5E04AD7D">
        <w:rPr>
          <w:rFonts w:ascii="Times New Roman" w:eastAsia="Times New Roman" w:hAnsi="Times New Roman" w:cs="Times New Roman"/>
          <w:sz w:val="26"/>
          <w:szCs w:val="26"/>
        </w:rPr>
        <w:t>A</w:t>
      </w:r>
      <w:r w:rsidRPr="5E04AD7D">
        <w:rPr>
          <w:rFonts w:ascii="Times New Roman" w:eastAsia="Times New Roman" w:hAnsi="Times New Roman" w:cs="Times New Roman"/>
          <w:b/>
          <w:bCs/>
          <w:sz w:val="26"/>
          <w:szCs w:val="26"/>
        </w:rPr>
        <w:t xml:space="preserve"> Bethlen Gábor Alapból</w:t>
      </w:r>
      <w:r w:rsidRPr="5E04AD7D">
        <w:rPr>
          <w:rFonts w:ascii="Times New Roman" w:eastAsia="Times New Roman" w:hAnsi="Times New Roman" w:cs="Times New Roman"/>
          <w:sz w:val="26"/>
          <w:szCs w:val="26"/>
        </w:rPr>
        <w:t xml:space="preserve"> (BGA) </w:t>
      </w:r>
      <w:r w:rsidR="00C81C27">
        <w:rPr>
          <w:rFonts w:ascii="Times New Roman" w:eastAsia="Times New Roman" w:hAnsi="Times New Roman" w:cs="Times New Roman"/>
          <w:sz w:val="26"/>
          <w:szCs w:val="26"/>
        </w:rPr>
        <w:t xml:space="preserve">a </w:t>
      </w:r>
      <w:r w:rsidRPr="5E04AD7D">
        <w:rPr>
          <w:rFonts w:ascii="Times New Roman" w:eastAsia="Times New Roman" w:hAnsi="Times New Roman" w:cs="Times New Roman"/>
          <w:sz w:val="26"/>
          <w:szCs w:val="26"/>
        </w:rPr>
        <w:t>2026. év első három hónapjában 32,2 milliárd forint kiadás teljesült. Az alapból nyújtott támogatások a BGA irányítását ellátó Bizottság döntései alapján, ütemezetten kerültek kifizetésre.</w:t>
      </w:r>
    </w:p>
    <w:p w14:paraId="29A20A18" w14:textId="4990D8C5" w:rsidR="00D72777" w:rsidRDefault="5E04AD7D" w:rsidP="00505767">
      <w:pPr>
        <w:jc w:val="both"/>
      </w:pPr>
      <w:r w:rsidRPr="5E04AD7D">
        <w:rPr>
          <w:rFonts w:ascii="Times New Roman" w:eastAsia="Times New Roman" w:hAnsi="Times New Roman" w:cs="Times New Roman"/>
          <w:sz w:val="26"/>
          <w:szCs w:val="26"/>
        </w:rPr>
        <w:t xml:space="preserve">A </w:t>
      </w:r>
      <w:r w:rsidRPr="5E04AD7D">
        <w:rPr>
          <w:rFonts w:ascii="Times New Roman" w:eastAsia="Times New Roman" w:hAnsi="Times New Roman" w:cs="Times New Roman"/>
          <w:b/>
          <w:bCs/>
          <w:sz w:val="26"/>
          <w:szCs w:val="26"/>
        </w:rPr>
        <w:t xml:space="preserve">Nyugdíjbiztosítási Alap </w:t>
      </w:r>
      <w:r w:rsidRPr="5E04AD7D">
        <w:rPr>
          <w:rFonts w:ascii="Times New Roman" w:eastAsia="Times New Roman" w:hAnsi="Times New Roman" w:cs="Times New Roman"/>
          <w:sz w:val="26"/>
          <w:szCs w:val="26"/>
        </w:rPr>
        <w:t xml:space="preserve">nyugellátási kiadásai március végéig 2291,5 milliárd forintban teljesültek, ami 301,1 milliárd forinttal haladta meg az előző év azonos időszakának teljesítési adatait. </w:t>
      </w:r>
    </w:p>
    <w:p w14:paraId="70AB0063" w14:textId="0A1E1AFC" w:rsidR="00D72777" w:rsidRDefault="5E04AD7D" w:rsidP="00505767">
      <w:pPr>
        <w:jc w:val="both"/>
        <w:rPr>
          <w:rFonts w:ascii="Times New Roman" w:eastAsia="Times New Roman" w:hAnsi="Times New Roman" w:cs="Times New Roman"/>
          <w:sz w:val="26"/>
          <w:szCs w:val="26"/>
        </w:rPr>
      </w:pPr>
      <w:r w:rsidRPr="5E04AD7D">
        <w:rPr>
          <w:rFonts w:ascii="Times New Roman" w:eastAsia="Times New Roman" w:hAnsi="Times New Roman" w:cs="Times New Roman"/>
          <w:sz w:val="26"/>
          <w:szCs w:val="26"/>
        </w:rPr>
        <w:t xml:space="preserve">A 15,1%-os kiadásnövekedést az előző év novemberében végrehajtott 1,6%-os kiegészítő nyugdíjemelés, a tárgyév január hónapban végrehajtott 3,6%-os inflációkövető nyugdíjemelés, a 2026. évtől bevezetésre kerülő 14. havi nyugdíj nyugellátási kiadásokra gyakorolt hatása, valamint az eltelt időszakban bekövetkezett létszámváltozás és cserélődés együttes hatása okozta. </w:t>
      </w:r>
    </w:p>
    <w:p w14:paraId="67E390F1" w14:textId="1F792A42" w:rsidR="00D72777" w:rsidRDefault="5E04AD7D" w:rsidP="00505767">
      <w:pPr>
        <w:jc w:val="both"/>
        <w:rPr>
          <w:rFonts w:ascii="Times New Roman" w:eastAsia="Times New Roman" w:hAnsi="Times New Roman" w:cs="Times New Roman"/>
          <w:sz w:val="26"/>
          <w:szCs w:val="26"/>
        </w:rPr>
      </w:pPr>
      <w:r w:rsidRPr="5E04AD7D">
        <w:rPr>
          <w:rFonts w:ascii="Times New Roman" w:eastAsia="Times New Roman" w:hAnsi="Times New Roman" w:cs="Times New Roman"/>
          <w:sz w:val="26"/>
          <w:szCs w:val="26"/>
        </w:rPr>
        <w:t>2026. februárjában mintegy 2 millió öregségi nyugdíjban és hozzátartozói nyugellátásban részesülő személy rész</w:t>
      </w:r>
      <w:r w:rsidR="00EE691F">
        <w:rPr>
          <w:rFonts w:ascii="Times New Roman" w:eastAsia="Times New Roman" w:hAnsi="Times New Roman" w:cs="Times New Roman"/>
          <w:sz w:val="26"/>
          <w:szCs w:val="26"/>
        </w:rPr>
        <w:t>é</w:t>
      </w:r>
      <w:r w:rsidRPr="5E04AD7D">
        <w:rPr>
          <w:rFonts w:ascii="Times New Roman" w:eastAsia="Times New Roman" w:hAnsi="Times New Roman" w:cs="Times New Roman"/>
          <w:sz w:val="26"/>
          <w:szCs w:val="26"/>
        </w:rPr>
        <w:t xml:space="preserve">re folyósítottak 13. és 14. havi nyugdíjat. A 13. havi nyugdíj Nyugdíjbiztosítási Alapot terhelő kiadása március végéig 534,8 milliárd forint volt, ami 41,5 milliárd forinttal haladta meg az előző év azonos időszakában ezen a jogcímen teljesített kiadások összegét. A 14. havi nyugdíj bevezetésére vonatkozó szabályok szerint 2026. február hónapban a havi ellátás negyedének megfelelő összegben kaptak az érintettek 14. havi nyugdíjat, összesen 133,3 milliárd forint összegben. </w:t>
      </w:r>
    </w:p>
    <w:p w14:paraId="168226B1" w14:textId="2F05C910" w:rsidR="00D72777" w:rsidRDefault="5E04AD7D" w:rsidP="00505767">
      <w:pPr>
        <w:jc w:val="both"/>
        <w:rPr>
          <w:rFonts w:ascii="Times New Roman" w:eastAsia="Times New Roman" w:hAnsi="Times New Roman" w:cs="Times New Roman"/>
          <w:sz w:val="26"/>
          <w:szCs w:val="26"/>
        </w:rPr>
      </w:pPr>
      <w:r w:rsidRPr="5E04AD7D">
        <w:rPr>
          <w:rFonts w:ascii="Times New Roman" w:eastAsia="Times New Roman" w:hAnsi="Times New Roman" w:cs="Times New Roman"/>
          <w:sz w:val="26"/>
          <w:szCs w:val="26"/>
        </w:rPr>
        <w:t>A 14. havi nyugdíj kiadásnövelő hatását leszámítva a nyugellátási kiadásokon belül a korbetöltött öregségi nyugdíjak 8,8%-kal, a nők 40 év jogosultsági idővel igénybe vehető öregségi nyugdíja („nők 40”) pedig 9,2%-kal haladta meg az előző év azonos időszakának kiadásait.</w:t>
      </w:r>
    </w:p>
    <w:p w14:paraId="636BCB9D" w14:textId="1B370715" w:rsidR="00AA22CB" w:rsidRDefault="00527154" w:rsidP="00527154">
      <w:pPr>
        <w:ind w:right="-1"/>
        <w:jc w:val="center"/>
        <w:rPr>
          <w:rFonts w:ascii="Times New Roman" w:eastAsia="Times New Roman" w:hAnsi="Times New Roman" w:cs="Times New Roman"/>
          <w:sz w:val="26"/>
          <w:szCs w:val="26"/>
        </w:rPr>
      </w:pPr>
      <w:r w:rsidRPr="00527154">
        <w:rPr>
          <w:rFonts w:ascii="Times New Roman" w:eastAsia="Times New Roman" w:hAnsi="Times New Roman" w:cs="Times New Roman"/>
          <w:noProof/>
          <w:sz w:val="26"/>
          <w:szCs w:val="26"/>
        </w:rPr>
        <w:drawing>
          <wp:inline distT="0" distB="0" distL="0" distR="0" wp14:anchorId="29177065" wp14:editId="5FD6CAF4">
            <wp:extent cx="5940425" cy="2691765"/>
            <wp:effectExtent l="0" t="0" r="3175" b="0"/>
            <wp:docPr id="1698246601" name="Kép 1" descr="A képen szöveg, diagram, képernyőkép, kör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246601" name="Kép 1" descr="A képen szöveg, diagram, képernyőkép, kör látható&#10;&#10;Előfordulhat, hogy a mesterséges intelligencia által létrehozott tartalom helytelen."/>
                    <pic:cNvPicPr/>
                  </pic:nvPicPr>
                  <pic:blipFill>
                    <a:blip r:embed="rId20"/>
                    <a:stretch>
                      <a:fillRect/>
                    </a:stretch>
                  </pic:blipFill>
                  <pic:spPr>
                    <a:xfrm>
                      <a:off x="0" y="0"/>
                      <a:ext cx="5940425" cy="2691765"/>
                    </a:xfrm>
                    <a:prstGeom prst="rect">
                      <a:avLst/>
                    </a:prstGeom>
                  </pic:spPr>
                </pic:pic>
              </a:graphicData>
            </a:graphic>
          </wp:inline>
        </w:drawing>
      </w:r>
    </w:p>
    <w:p w14:paraId="7BDB967D" w14:textId="4667C743" w:rsidR="3E75DAF6" w:rsidRDefault="5E04AD7D" w:rsidP="00E36865">
      <w:pPr>
        <w:jc w:val="both"/>
        <w:rPr>
          <w:rFonts w:ascii="Times New Roman" w:eastAsia="Times New Roman" w:hAnsi="Times New Roman" w:cs="Times New Roman"/>
          <w:sz w:val="26"/>
          <w:szCs w:val="26"/>
        </w:rPr>
      </w:pPr>
      <w:r w:rsidRPr="5E04AD7D">
        <w:rPr>
          <w:rFonts w:ascii="Times New Roman" w:eastAsia="Times New Roman" w:hAnsi="Times New Roman" w:cs="Times New Roman"/>
          <w:sz w:val="26"/>
          <w:szCs w:val="26"/>
        </w:rPr>
        <w:lastRenderedPageBreak/>
        <w:t xml:space="preserve">Az öregségi nyugdíjban részesülők 2026. március havi </w:t>
      </w:r>
      <w:r w:rsidRPr="5E04AD7D">
        <w:rPr>
          <w:rFonts w:ascii="Times New Roman" w:eastAsia="Times New Roman" w:hAnsi="Times New Roman" w:cs="Times New Roman"/>
          <w:b/>
          <w:bCs/>
          <w:sz w:val="26"/>
          <w:szCs w:val="26"/>
        </w:rPr>
        <w:t>átlagos statisztikai állományi létszáma</w:t>
      </w:r>
      <w:r w:rsidRPr="5E04AD7D">
        <w:rPr>
          <w:rFonts w:ascii="Times New Roman" w:eastAsia="Times New Roman" w:hAnsi="Times New Roman" w:cs="Times New Roman"/>
          <w:sz w:val="26"/>
          <w:szCs w:val="26"/>
        </w:rPr>
        <w:t xml:space="preserve"> az előző év azonos időszakához képest 16 215 fővel nőtt, ezen belül a korbetöltött öregségi nyugdíjban részesülők létszáma 15 969 fővel, a nők kedvezményes nyugdíjában részesülők létszáma 246 fővel lett magasabb. Jelenleg 142 010 fő veszi igénybe a „nők 40” kedvezményes nyugdíját. A nők kedvezményes nyugdíjában részesülők (korhatár alattiak) létszámát az új ellátások megállapításán és az elhalálozottak állományi létszámból való kivezetésén túl a korhatár betöltések is befolyásolják.</w:t>
      </w:r>
    </w:p>
    <w:p w14:paraId="11F8A96C" w14:textId="3186F9BF" w:rsidR="3E75DAF6" w:rsidRDefault="5E04AD7D" w:rsidP="00E36865">
      <w:pPr>
        <w:jc w:val="both"/>
      </w:pPr>
      <w:r w:rsidRPr="5E04AD7D">
        <w:rPr>
          <w:rFonts w:ascii="Times New Roman" w:eastAsia="Times New Roman" w:hAnsi="Times New Roman" w:cs="Times New Roman"/>
          <w:sz w:val="26"/>
          <w:szCs w:val="26"/>
        </w:rPr>
        <w:t>Az előző évhez viszonyítottan kiugró létszámnövekedés oka, hogy 2026. január 1-jétől az</w:t>
      </w:r>
      <w:r w:rsidR="0002125B">
        <w:rPr>
          <w:rFonts w:ascii="Times New Roman" w:eastAsia="Times New Roman" w:hAnsi="Times New Roman" w:cs="Times New Roman"/>
          <w:sz w:val="26"/>
          <w:szCs w:val="26"/>
        </w:rPr>
        <w:t> </w:t>
      </w:r>
      <w:r w:rsidRPr="5E04AD7D">
        <w:rPr>
          <w:rFonts w:ascii="Times New Roman" w:eastAsia="Times New Roman" w:hAnsi="Times New Roman" w:cs="Times New Roman"/>
          <w:sz w:val="26"/>
          <w:szCs w:val="26"/>
        </w:rPr>
        <w:t>egészségügyi ágazatban foglalkoztatottak – a szociális, gyermekvédelmi és köznevelési intézményekben foglalkoztatottakhoz hasonlóan – mentesülnek az öregségi nyugdíjuk szüneteltetése alól, részükre januártól ismét folyósításra kerülnek a Nyugdíjbiztosítási Alapból az öregségi nyugellátások. A jogszabálymódosítás mintegy 10 ezer főt érintett.</w:t>
      </w:r>
    </w:p>
    <w:p w14:paraId="52250089" w14:textId="27D48FA2" w:rsidR="3E75DAF6" w:rsidRDefault="5E04AD7D" w:rsidP="00E36865">
      <w:pPr>
        <w:jc w:val="both"/>
      </w:pPr>
      <w:r w:rsidRPr="5E04AD7D">
        <w:rPr>
          <w:rFonts w:ascii="Times New Roman" w:eastAsia="Times New Roman" w:hAnsi="Times New Roman" w:cs="Times New Roman"/>
          <w:sz w:val="26"/>
          <w:szCs w:val="26"/>
        </w:rPr>
        <w:t>Az öregségi nyugdíjak átlagos havi összege egy év alatt 18 789 forinttal emelkedett, 2026. márciusban 261 842 forint volt.</w:t>
      </w:r>
    </w:p>
    <w:p w14:paraId="725BF303" w14:textId="174F7D04" w:rsidR="7BF38582" w:rsidRDefault="5E04AD7D" w:rsidP="00E36865">
      <w:pPr>
        <w:jc w:val="both"/>
        <w:rPr>
          <w:rFonts w:ascii="Times New Roman" w:eastAsia="Times New Roman" w:hAnsi="Times New Roman" w:cs="Times New Roman"/>
          <w:sz w:val="26"/>
          <w:szCs w:val="26"/>
        </w:rPr>
      </w:pPr>
      <w:r w:rsidRPr="5E04AD7D">
        <w:rPr>
          <w:rFonts w:ascii="Times New Roman" w:eastAsia="Times New Roman" w:hAnsi="Times New Roman" w:cs="Times New Roman"/>
          <w:sz w:val="26"/>
          <w:szCs w:val="26"/>
        </w:rPr>
        <w:t>Az ellátások egy főre jutó havi átlagos összege az egyes ellátotti jogcímeken belül az előző év azonos időszakával összehasonlítva az alábbiak szerint alakult.</w:t>
      </w:r>
    </w:p>
    <w:p w14:paraId="503DFEB7" w14:textId="426AD0B7" w:rsidR="00EF1F5B" w:rsidRDefault="00527154" w:rsidP="002D6802">
      <w:pPr>
        <w:pStyle w:val="NormlWeb"/>
        <w:spacing w:before="0" w:beforeAutospacing="0" w:after="0" w:afterAutospacing="0"/>
        <w:jc w:val="center"/>
      </w:pPr>
      <w:r w:rsidRPr="00527154">
        <w:rPr>
          <w:noProof/>
        </w:rPr>
        <w:drawing>
          <wp:inline distT="0" distB="0" distL="0" distR="0" wp14:anchorId="16D5D533" wp14:editId="52C942F0">
            <wp:extent cx="5236464" cy="3569550"/>
            <wp:effectExtent l="0" t="0" r="2540" b="0"/>
            <wp:docPr id="1942303262" name="Kép 1" descr="A képen szöveg, képernyőkép, szám, Betűtípus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303262" name="Kép 1" descr="A képen szöveg, képernyőkép, szám, Betűtípus látható&#10;&#10;Előfordulhat, hogy a mesterséges intelligencia által létrehozott tartalom helytelen."/>
                    <pic:cNvPicPr/>
                  </pic:nvPicPr>
                  <pic:blipFill>
                    <a:blip r:embed="rId21"/>
                    <a:stretch>
                      <a:fillRect/>
                    </a:stretch>
                  </pic:blipFill>
                  <pic:spPr>
                    <a:xfrm>
                      <a:off x="0" y="0"/>
                      <a:ext cx="5261781" cy="3586808"/>
                    </a:xfrm>
                    <a:prstGeom prst="rect">
                      <a:avLst/>
                    </a:prstGeom>
                  </pic:spPr>
                </pic:pic>
              </a:graphicData>
            </a:graphic>
          </wp:inline>
        </w:drawing>
      </w:r>
    </w:p>
    <w:p w14:paraId="3779DB9C" w14:textId="2227DC2C" w:rsidR="0022104D" w:rsidRDefault="5E04AD7D" w:rsidP="00A31F84">
      <w:pPr>
        <w:widowControl w:val="0"/>
        <w:spacing w:before="240"/>
        <w:jc w:val="both"/>
      </w:pPr>
      <w:r w:rsidRPr="5E04AD7D">
        <w:rPr>
          <w:rFonts w:ascii="Times New Roman" w:eastAsia="Times New Roman" w:hAnsi="Times New Roman" w:cs="Times New Roman"/>
          <w:sz w:val="26"/>
          <w:szCs w:val="26"/>
        </w:rPr>
        <w:t xml:space="preserve">Az öregségi nyugdíjban, hozzátartozói nyugellátásban részesülők jogcím szerinti megoszlásának összehasonlítását a korábbi adatokkal az alábbi ábrák mutatják. </w:t>
      </w:r>
    </w:p>
    <w:p w14:paraId="6E229341" w14:textId="01FB7099" w:rsidR="00EF1F5B" w:rsidRDefault="00366838" w:rsidP="00E36865">
      <w:pPr>
        <w:pStyle w:val="NormlWeb"/>
        <w:widowControl w:val="0"/>
        <w:ind w:right="-1"/>
        <w:jc w:val="center"/>
      </w:pPr>
      <w:r w:rsidRPr="00366838">
        <w:rPr>
          <w:noProof/>
        </w:rPr>
        <w:lastRenderedPageBreak/>
        <w:drawing>
          <wp:inline distT="0" distB="0" distL="0" distR="0" wp14:anchorId="261B6045" wp14:editId="1C5CC635">
            <wp:extent cx="5001371" cy="2351121"/>
            <wp:effectExtent l="0" t="0" r="0" b="0"/>
            <wp:docPr id="637464140" name="Kép 1" descr="A képen szöveg, képernyőkép, diagram, Betűtípus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464140" name="Kép 1" descr="A képen szöveg, képernyőkép, diagram, Betűtípus látható&#10;&#10;Előfordulhat, hogy a mesterséges intelligencia által létrehozott tartalom helytelen."/>
                    <pic:cNvPicPr/>
                  </pic:nvPicPr>
                  <pic:blipFill>
                    <a:blip r:embed="rId22"/>
                    <a:stretch>
                      <a:fillRect/>
                    </a:stretch>
                  </pic:blipFill>
                  <pic:spPr>
                    <a:xfrm>
                      <a:off x="0" y="0"/>
                      <a:ext cx="5038726" cy="2368682"/>
                    </a:xfrm>
                    <a:prstGeom prst="rect">
                      <a:avLst/>
                    </a:prstGeom>
                  </pic:spPr>
                </pic:pic>
              </a:graphicData>
            </a:graphic>
          </wp:inline>
        </w:drawing>
      </w:r>
    </w:p>
    <w:p w14:paraId="2A4F88FB" w14:textId="0DFE69E9" w:rsidR="00D4148C" w:rsidRPr="002B492B" w:rsidRDefault="5E04AD7D" w:rsidP="5E04AD7D">
      <w:pPr>
        <w:widowControl w:val="0"/>
        <w:rPr>
          <w:rFonts w:ascii="Times New Roman" w:eastAsia="Times New Roman" w:hAnsi="Times New Roman" w:cs="Times New Roman"/>
          <w:b/>
          <w:bCs/>
          <w:sz w:val="26"/>
          <w:szCs w:val="26"/>
        </w:rPr>
      </w:pPr>
      <w:r w:rsidRPr="5E04AD7D">
        <w:rPr>
          <w:rFonts w:ascii="Times New Roman" w:eastAsia="Times New Roman" w:hAnsi="Times New Roman" w:cs="Times New Roman"/>
          <w:sz w:val="26"/>
          <w:szCs w:val="26"/>
        </w:rPr>
        <w:t xml:space="preserve">Az </w:t>
      </w:r>
      <w:r w:rsidRPr="5E04AD7D">
        <w:rPr>
          <w:rFonts w:ascii="Times New Roman" w:eastAsia="Times New Roman" w:hAnsi="Times New Roman" w:cs="Times New Roman"/>
          <w:b/>
          <w:bCs/>
          <w:sz w:val="26"/>
          <w:szCs w:val="26"/>
        </w:rPr>
        <w:t>Egészségbiztosítási Alap kiadásainak</w:t>
      </w:r>
      <w:r w:rsidRPr="5E04AD7D">
        <w:rPr>
          <w:rFonts w:ascii="Times New Roman" w:eastAsia="Times New Roman" w:hAnsi="Times New Roman" w:cs="Times New Roman"/>
          <w:sz w:val="26"/>
          <w:szCs w:val="26"/>
        </w:rPr>
        <w:t xml:space="preserve"> összetételét a következő ábra mutatja be:</w:t>
      </w:r>
      <w:r w:rsidRPr="5E04AD7D">
        <w:rPr>
          <w:rFonts w:ascii="Times New Roman" w:eastAsia="Times New Roman" w:hAnsi="Times New Roman" w:cs="Times New Roman"/>
          <w:b/>
          <w:bCs/>
          <w:sz w:val="26"/>
          <w:szCs w:val="26"/>
        </w:rPr>
        <w:t xml:space="preserve"> </w:t>
      </w:r>
    </w:p>
    <w:p w14:paraId="57C38B59" w14:textId="4DEFDCE2" w:rsidR="00D4148C" w:rsidRDefault="00902461" w:rsidP="00E36865">
      <w:pPr>
        <w:widowControl w:val="0"/>
        <w:spacing w:after="240"/>
        <w:jc w:val="center"/>
        <w:rPr>
          <w:rFonts w:ascii="Times New Roman" w:eastAsia="Times New Roman" w:hAnsi="Times New Roman" w:cs="Times New Roman"/>
          <w:sz w:val="26"/>
          <w:szCs w:val="26"/>
        </w:rPr>
      </w:pPr>
      <w:r w:rsidRPr="00902461">
        <w:rPr>
          <w:rFonts w:ascii="Times New Roman" w:eastAsia="Times New Roman" w:hAnsi="Times New Roman" w:cs="Times New Roman"/>
          <w:noProof/>
          <w:sz w:val="26"/>
          <w:szCs w:val="26"/>
        </w:rPr>
        <w:drawing>
          <wp:inline distT="0" distB="0" distL="0" distR="0" wp14:anchorId="05F996AF" wp14:editId="5F0E53ED">
            <wp:extent cx="4862904" cy="2146852"/>
            <wp:effectExtent l="0" t="0" r="0" b="6350"/>
            <wp:docPr id="186428970" name="Kép 1" descr="A képen szöveg, diagram, képernyőkép, kör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28970" name="Kép 1" descr="A képen szöveg, diagram, képernyőkép, kör látható&#10;&#10;Előfordulhat, hogy a mesterséges intelligencia által létrehozott tartalom helytelen."/>
                    <pic:cNvPicPr/>
                  </pic:nvPicPr>
                  <pic:blipFill>
                    <a:blip r:embed="rId23"/>
                    <a:stretch>
                      <a:fillRect/>
                    </a:stretch>
                  </pic:blipFill>
                  <pic:spPr>
                    <a:xfrm>
                      <a:off x="0" y="0"/>
                      <a:ext cx="4887535" cy="2157726"/>
                    </a:xfrm>
                    <a:prstGeom prst="rect">
                      <a:avLst/>
                    </a:prstGeom>
                  </pic:spPr>
                </pic:pic>
              </a:graphicData>
            </a:graphic>
          </wp:inline>
        </w:drawing>
      </w:r>
    </w:p>
    <w:p w14:paraId="19FDF989" w14:textId="083D3837" w:rsidR="00CA3468" w:rsidRDefault="5E04AD7D" w:rsidP="5E04AD7D">
      <w:pPr>
        <w:widowControl w:val="0"/>
        <w:spacing w:after="120"/>
        <w:jc w:val="both"/>
        <w:rPr>
          <w:rFonts w:ascii="Times New Roman" w:eastAsia="Times New Roman" w:hAnsi="Times New Roman" w:cs="Times New Roman"/>
          <w:sz w:val="26"/>
          <w:szCs w:val="26"/>
        </w:rPr>
      </w:pPr>
      <w:r w:rsidRPr="5E04AD7D">
        <w:rPr>
          <w:rFonts w:ascii="Times New Roman" w:eastAsia="Times New Roman" w:hAnsi="Times New Roman" w:cs="Times New Roman"/>
          <w:sz w:val="26"/>
          <w:szCs w:val="26"/>
        </w:rPr>
        <w:t xml:space="preserve">Az </w:t>
      </w:r>
      <w:r w:rsidRPr="5E04AD7D">
        <w:rPr>
          <w:rFonts w:ascii="Times New Roman" w:eastAsia="Times New Roman" w:hAnsi="Times New Roman" w:cs="Times New Roman"/>
          <w:b/>
          <w:bCs/>
          <w:sz w:val="26"/>
          <w:szCs w:val="26"/>
        </w:rPr>
        <w:t>Egészségbiztosítási Alap</w:t>
      </w:r>
      <w:r w:rsidRPr="5E04AD7D">
        <w:rPr>
          <w:rFonts w:ascii="Times New Roman" w:eastAsia="Times New Roman" w:hAnsi="Times New Roman" w:cs="Times New Roman"/>
          <w:sz w:val="26"/>
          <w:szCs w:val="26"/>
        </w:rPr>
        <w:t xml:space="preserve"> összes kiadásának 27,2%-át a </w:t>
      </w:r>
      <w:r w:rsidRPr="5E04AD7D">
        <w:rPr>
          <w:rFonts w:ascii="Times New Roman" w:eastAsia="Times New Roman" w:hAnsi="Times New Roman" w:cs="Times New Roman"/>
          <w:b/>
          <w:bCs/>
          <w:sz w:val="26"/>
          <w:szCs w:val="26"/>
        </w:rPr>
        <w:t>pénzbeli ellátásokra</w:t>
      </w:r>
      <w:r w:rsidRPr="5E04AD7D">
        <w:rPr>
          <w:rFonts w:ascii="Times New Roman" w:eastAsia="Times New Roman" w:hAnsi="Times New Roman" w:cs="Times New Roman"/>
          <w:sz w:val="26"/>
          <w:szCs w:val="26"/>
        </w:rPr>
        <w:t xml:space="preserve"> fordított összeg adta. Az ellátások részletes bemutatását a következő táblázat tartalmazza:</w:t>
      </w:r>
    </w:p>
    <w:p w14:paraId="1D31F2C8" w14:textId="3F5AAC59" w:rsidR="00DA4FBC" w:rsidRPr="001074A1" w:rsidRDefault="5E04AD7D" w:rsidP="5E04AD7D">
      <w:pPr>
        <w:widowControl w:val="0"/>
        <w:spacing w:after="240"/>
        <w:jc w:val="center"/>
        <w:rPr>
          <w:rFonts w:ascii="Times New Roman" w:eastAsia="Times New Roman" w:hAnsi="Times New Roman" w:cs="Times New Roman"/>
          <w:b/>
          <w:bCs/>
        </w:rPr>
      </w:pPr>
      <w:r w:rsidRPr="5E04AD7D">
        <w:rPr>
          <w:rFonts w:ascii="Times New Roman" w:eastAsia="Times New Roman" w:hAnsi="Times New Roman" w:cs="Times New Roman"/>
          <w:b/>
          <w:bCs/>
        </w:rPr>
        <w:t>Az Egészségbiztosítási Alap pénzbeli ellátásokra fordított kiadásainak alakulása (milliárd forint)</w:t>
      </w:r>
    </w:p>
    <w:tbl>
      <w:tblPr>
        <w:tblpPr w:leftFromText="141" w:rightFromText="141" w:vertAnchor="text" w:tblpXSpec="center" w:tblpY="1"/>
        <w:tblOverlap w:val="never"/>
        <w:tblW w:w="8718" w:type="dxa"/>
        <w:tblLayout w:type="fixed"/>
        <w:tblCellMar>
          <w:left w:w="70" w:type="dxa"/>
          <w:right w:w="70" w:type="dxa"/>
        </w:tblCellMar>
        <w:tblLook w:val="04A0" w:firstRow="1" w:lastRow="0" w:firstColumn="1" w:lastColumn="0" w:noHBand="0" w:noVBand="1"/>
      </w:tblPr>
      <w:tblGrid>
        <w:gridCol w:w="4248"/>
        <w:gridCol w:w="1276"/>
        <w:gridCol w:w="1209"/>
        <w:gridCol w:w="992"/>
        <w:gridCol w:w="993"/>
      </w:tblGrid>
      <w:tr w:rsidR="00E601EF" w:rsidRPr="00377D59" w14:paraId="06E6BC15" w14:textId="77777777" w:rsidTr="28F9800E">
        <w:trPr>
          <w:trHeight w:val="340"/>
        </w:trPr>
        <w:tc>
          <w:tcPr>
            <w:tcW w:w="4248" w:type="dxa"/>
            <w:vMerge w:val="restart"/>
            <w:tcBorders>
              <w:top w:val="single" w:sz="4" w:space="0" w:color="auto"/>
              <w:left w:val="single" w:sz="4" w:space="0" w:color="auto"/>
              <w:bottom w:val="single" w:sz="4" w:space="0" w:color="000000" w:themeColor="text1"/>
              <w:right w:val="single" w:sz="4" w:space="0" w:color="auto"/>
            </w:tcBorders>
            <w:shd w:val="clear" w:color="auto" w:fill="BDD6EE" w:themeFill="accent1" w:themeFillTint="66"/>
            <w:noWrap/>
            <w:vAlign w:val="center"/>
            <w:hideMark/>
          </w:tcPr>
          <w:p w14:paraId="510863DA" w14:textId="77777777" w:rsidR="00E601EF" w:rsidRPr="00377D59" w:rsidRDefault="5E04AD7D" w:rsidP="5E04AD7D">
            <w:pPr>
              <w:widowControl w:val="0"/>
              <w:spacing w:after="0" w:line="240" w:lineRule="auto"/>
              <w:jc w:val="center"/>
              <w:rPr>
                <w:rFonts w:ascii="Times New Roman" w:eastAsia="Times New Roman" w:hAnsi="Times New Roman" w:cs="Times New Roman"/>
                <w:b/>
                <w:bCs/>
              </w:rPr>
            </w:pPr>
            <w:r w:rsidRPr="5E04AD7D">
              <w:rPr>
                <w:rFonts w:ascii="Times New Roman" w:eastAsia="Times New Roman" w:hAnsi="Times New Roman" w:cs="Times New Roman"/>
                <w:b/>
                <w:bCs/>
              </w:rPr>
              <w:t>Megnevezés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7A7FE5D" w14:textId="77777777" w:rsidR="005F7B25" w:rsidRDefault="28F9800E" w:rsidP="28F9800E">
            <w:pPr>
              <w:widowControl w:val="0"/>
              <w:spacing w:after="0" w:line="240" w:lineRule="auto"/>
              <w:jc w:val="center"/>
              <w:rPr>
                <w:rFonts w:ascii="Times New Roman" w:eastAsia="Times New Roman" w:hAnsi="Times New Roman" w:cs="Times New Roman"/>
                <w:b/>
                <w:bCs/>
              </w:rPr>
            </w:pPr>
            <w:r w:rsidRPr="28F9800E">
              <w:rPr>
                <w:rFonts w:ascii="Times New Roman" w:eastAsia="Times New Roman" w:hAnsi="Times New Roman" w:cs="Times New Roman"/>
                <w:b/>
                <w:bCs/>
              </w:rPr>
              <w:t xml:space="preserve">2025. </w:t>
            </w:r>
          </w:p>
          <w:p w14:paraId="6BB44369" w14:textId="2F788945" w:rsidR="00E601EF" w:rsidRPr="00377D59" w:rsidRDefault="5E04AD7D" w:rsidP="5E04AD7D">
            <w:pPr>
              <w:widowControl w:val="0"/>
              <w:spacing w:after="0" w:line="240" w:lineRule="auto"/>
              <w:jc w:val="center"/>
              <w:rPr>
                <w:rFonts w:ascii="Times New Roman" w:eastAsia="Times New Roman" w:hAnsi="Times New Roman" w:cs="Times New Roman"/>
                <w:b/>
                <w:bCs/>
              </w:rPr>
            </w:pPr>
            <w:r w:rsidRPr="5E04AD7D">
              <w:rPr>
                <w:rFonts w:ascii="Times New Roman" w:eastAsia="Times New Roman" w:hAnsi="Times New Roman" w:cs="Times New Roman"/>
                <w:b/>
                <w:bCs/>
              </w:rPr>
              <w:t>I-III. hó</w:t>
            </w:r>
          </w:p>
        </w:tc>
        <w:tc>
          <w:tcPr>
            <w:tcW w:w="1209"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26BDEFD" w14:textId="77777777" w:rsidR="005F7B25" w:rsidRDefault="28F9800E" w:rsidP="28F9800E">
            <w:pPr>
              <w:widowControl w:val="0"/>
              <w:spacing w:after="0" w:line="240" w:lineRule="auto"/>
              <w:jc w:val="center"/>
              <w:rPr>
                <w:rFonts w:ascii="Times New Roman" w:eastAsia="Times New Roman" w:hAnsi="Times New Roman" w:cs="Times New Roman"/>
                <w:b/>
                <w:bCs/>
              </w:rPr>
            </w:pPr>
            <w:r w:rsidRPr="28F9800E">
              <w:rPr>
                <w:rFonts w:ascii="Times New Roman" w:eastAsia="Times New Roman" w:hAnsi="Times New Roman" w:cs="Times New Roman"/>
                <w:b/>
                <w:bCs/>
              </w:rPr>
              <w:t xml:space="preserve">2026. </w:t>
            </w:r>
          </w:p>
          <w:p w14:paraId="5A1BFE64" w14:textId="350674F1" w:rsidR="00E601EF" w:rsidRPr="004E5F60" w:rsidRDefault="5E04AD7D" w:rsidP="5E04AD7D">
            <w:pPr>
              <w:widowControl w:val="0"/>
              <w:spacing w:after="0" w:line="240" w:lineRule="auto"/>
              <w:jc w:val="center"/>
              <w:rPr>
                <w:rFonts w:ascii="Times New Roman" w:eastAsia="Times New Roman" w:hAnsi="Times New Roman" w:cs="Times New Roman"/>
                <w:b/>
                <w:bCs/>
              </w:rPr>
            </w:pPr>
            <w:r w:rsidRPr="5E04AD7D">
              <w:rPr>
                <w:rFonts w:ascii="Times New Roman" w:eastAsia="Times New Roman" w:hAnsi="Times New Roman" w:cs="Times New Roman"/>
                <w:b/>
                <w:bCs/>
              </w:rPr>
              <w:t>I-III. hó</w:t>
            </w:r>
          </w:p>
        </w:tc>
        <w:tc>
          <w:tcPr>
            <w:tcW w:w="1985" w:type="dxa"/>
            <w:gridSpan w:val="2"/>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7EFB39D6" w14:textId="77777777" w:rsidR="00E601EF" w:rsidRPr="00377D59" w:rsidRDefault="5E04AD7D" w:rsidP="5E04AD7D">
            <w:pPr>
              <w:widowControl w:val="0"/>
              <w:spacing w:after="0" w:line="240" w:lineRule="auto"/>
              <w:jc w:val="center"/>
              <w:rPr>
                <w:rFonts w:ascii="Times New Roman" w:eastAsia="Times New Roman" w:hAnsi="Times New Roman" w:cs="Times New Roman"/>
                <w:b/>
                <w:bCs/>
              </w:rPr>
            </w:pPr>
            <w:r w:rsidRPr="5E04AD7D">
              <w:rPr>
                <w:rFonts w:ascii="Times New Roman" w:eastAsia="Times New Roman" w:hAnsi="Times New Roman" w:cs="Times New Roman"/>
                <w:b/>
                <w:bCs/>
              </w:rPr>
              <w:t>Eltérés</w:t>
            </w:r>
          </w:p>
        </w:tc>
      </w:tr>
      <w:tr w:rsidR="00E601EF" w:rsidRPr="00377D59" w14:paraId="67C6C54B" w14:textId="77777777" w:rsidTr="28F9800E">
        <w:trPr>
          <w:trHeight w:val="340"/>
        </w:trPr>
        <w:tc>
          <w:tcPr>
            <w:tcW w:w="4248" w:type="dxa"/>
            <w:vMerge/>
            <w:tcBorders>
              <w:top w:val="single" w:sz="4" w:space="0" w:color="auto"/>
              <w:left w:val="single" w:sz="4" w:space="0" w:color="auto"/>
              <w:bottom w:val="single" w:sz="4" w:space="0" w:color="000000"/>
              <w:right w:val="single" w:sz="4" w:space="0" w:color="auto"/>
            </w:tcBorders>
            <w:shd w:val="clear" w:color="auto" w:fill="BDD6EE" w:themeFill="accent1" w:themeFillTint="66"/>
            <w:vAlign w:val="center"/>
            <w:hideMark/>
          </w:tcPr>
          <w:p w14:paraId="5CCA367D" w14:textId="77777777" w:rsidR="00E601EF" w:rsidRPr="00377D59" w:rsidRDefault="00E601EF" w:rsidP="00A31F84">
            <w:pPr>
              <w:widowControl w:val="0"/>
              <w:spacing w:after="0" w:line="240" w:lineRule="auto"/>
              <w:rPr>
                <w:rFonts w:ascii="Times New Roman" w:eastAsia="Times New Roman" w:hAnsi="Times New Roman" w:cs="Times New Roman"/>
                <w:b/>
                <w:bCs/>
                <w:lang w:eastAsia="hu-HU"/>
              </w:rPr>
            </w:pPr>
          </w:p>
        </w:tc>
        <w:tc>
          <w:tcPr>
            <w:tcW w:w="1276"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499307A" w14:textId="77777777" w:rsidR="00E601EF" w:rsidRPr="00377D59" w:rsidRDefault="00E601EF" w:rsidP="00A31F84">
            <w:pPr>
              <w:widowControl w:val="0"/>
              <w:spacing w:after="0" w:line="240" w:lineRule="auto"/>
              <w:jc w:val="center"/>
              <w:rPr>
                <w:rFonts w:ascii="Times New Roman" w:eastAsia="Times New Roman" w:hAnsi="Times New Roman" w:cs="Times New Roman"/>
                <w:b/>
                <w:bCs/>
                <w:lang w:eastAsia="hu-HU"/>
              </w:rPr>
            </w:pPr>
          </w:p>
        </w:tc>
        <w:tc>
          <w:tcPr>
            <w:tcW w:w="1209"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3E594B6" w14:textId="77777777" w:rsidR="00E601EF" w:rsidRPr="00377D59" w:rsidRDefault="00E601EF" w:rsidP="00A31F84">
            <w:pPr>
              <w:widowControl w:val="0"/>
              <w:spacing w:after="0" w:line="240" w:lineRule="auto"/>
              <w:jc w:val="center"/>
              <w:rPr>
                <w:rFonts w:ascii="Times New Roman" w:eastAsia="Times New Roman" w:hAnsi="Times New Roman" w:cs="Times New Roman"/>
                <w:b/>
                <w:bCs/>
                <w:lang w:eastAsia="hu-HU"/>
              </w:rPr>
            </w:pPr>
          </w:p>
        </w:tc>
        <w:tc>
          <w:tcPr>
            <w:tcW w:w="992"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6986BC2B" w14:textId="77777777" w:rsidR="00E601EF" w:rsidRPr="00377D59" w:rsidRDefault="5E04AD7D" w:rsidP="5E04AD7D">
            <w:pPr>
              <w:widowControl w:val="0"/>
              <w:spacing w:after="0" w:line="240" w:lineRule="auto"/>
              <w:jc w:val="center"/>
              <w:rPr>
                <w:rFonts w:ascii="Times New Roman" w:eastAsia="Times New Roman" w:hAnsi="Times New Roman" w:cs="Times New Roman"/>
                <w:b/>
                <w:bCs/>
                <w:lang w:eastAsia="hu-HU"/>
              </w:rPr>
            </w:pPr>
            <w:r w:rsidRPr="5E04AD7D">
              <w:rPr>
                <w:rFonts w:ascii="Times New Roman" w:eastAsia="Times New Roman" w:hAnsi="Times New Roman" w:cs="Times New Roman"/>
                <w:b/>
                <w:bCs/>
                <w:lang w:eastAsia="hu-HU"/>
              </w:rPr>
              <w:t>Mrd Ft</w:t>
            </w:r>
          </w:p>
        </w:tc>
        <w:tc>
          <w:tcPr>
            <w:tcW w:w="993"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70EDA458" w14:textId="77777777" w:rsidR="00E601EF" w:rsidRPr="00377D59" w:rsidRDefault="5E04AD7D" w:rsidP="5E04AD7D">
            <w:pPr>
              <w:widowControl w:val="0"/>
              <w:spacing w:after="0" w:line="240" w:lineRule="auto"/>
              <w:jc w:val="center"/>
              <w:rPr>
                <w:rFonts w:ascii="Times New Roman" w:eastAsia="Times New Roman" w:hAnsi="Times New Roman" w:cs="Times New Roman"/>
                <w:b/>
                <w:bCs/>
                <w:lang w:eastAsia="hu-HU"/>
              </w:rPr>
            </w:pPr>
            <w:r w:rsidRPr="5E04AD7D">
              <w:rPr>
                <w:rFonts w:ascii="Times New Roman" w:eastAsia="Times New Roman" w:hAnsi="Times New Roman" w:cs="Times New Roman"/>
                <w:b/>
                <w:bCs/>
                <w:lang w:eastAsia="hu-HU"/>
              </w:rPr>
              <w:t>%</w:t>
            </w:r>
          </w:p>
        </w:tc>
      </w:tr>
      <w:tr w:rsidR="00494D4B" w:rsidRPr="00377D59" w14:paraId="0F7FB8C0" w14:textId="77777777" w:rsidTr="28F9800E">
        <w:trPr>
          <w:trHeight w:val="340"/>
        </w:trPr>
        <w:tc>
          <w:tcPr>
            <w:tcW w:w="4248" w:type="dxa"/>
            <w:tcBorders>
              <w:top w:val="nil"/>
              <w:left w:val="single" w:sz="4" w:space="0" w:color="auto"/>
              <w:bottom w:val="single" w:sz="4" w:space="0" w:color="auto"/>
              <w:right w:val="single" w:sz="4" w:space="0" w:color="auto"/>
            </w:tcBorders>
            <w:noWrap/>
            <w:vAlign w:val="center"/>
            <w:hideMark/>
          </w:tcPr>
          <w:p w14:paraId="4F8BBBDE" w14:textId="77777777" w:rsidR="00494D4B" w:rsidRPr="00377D59" w:rsidRDefault="5E04AD7D" w:rsidP="5E04AD7D">
            <w:pPr>
              <w:widowControl w:val="0"/>
              <w:spacing w:after="0" w:line="240" w:lineRule="auto"/>
              <w:ind w:firstLine="67"/>
              <w:rPr>
                <w:rFonts w:ascii="Times New Roman" w:eastAsia="Times New Roman" w:hAnsi="Times New Roman" w:cs="Times New Roman"/>
                <w:b/>
                <w:bCs/>
                <w:lang w:eastAsia="hu-HU"/>
              </w:rPr>
            </w:pPr>
            <w:r w:rsidRPr="5E04AD7D">
              <w:rPr>
                <w:rFonts w:ascii="Times New Roman" w:eastAsia="Times New Roman" w:hAnsi="Times New Roman" w:cs="Times New Roman"/>
                <w:b/>
                <w:bCs/>
                <w:lang w:eastAsia="hu-HU"/>
              </w:rPr>
              <w:t>Pénzbeli ellátások</w:t>
            </w:r>
          </w:p>
        </w:tc>
        <w:tc>
          <w:tcPr>
            <w:tcW w:w="1276" w:type="dxa"/>
            <w:tcBorders>
              <w:top w:val="single" w:sz="4" w:space="0" w:color="auto"/>
              <w:left w:val="nil"/>
              <w:bottom w:val="single" w:sz="4" w:space="0" w:color="auto"/>
              <w:right w:val="single" w:sz="4" w:space="0" w:color="auto"/>
            </w:tcBorders>
            <w:vAlign w:val="center"/>
          </w:tcPr>
          <w:p w14:paraId="3EB30386" w14:textId="34472CFC" w:rsidR="00494D4B" w:rsidRPr="001074A1" w:rsidRDefault="28F9800E" w:rsidP="28F9800E">
            <w:pPr>
              <w:widowControl w:val="0"/>
              <w:spacing w:after="0"/>
              <w:jc w:val="right"/>
              <w:rPr>
                <w:rFonts w:ascii="Times New Roman" w:eastAsia="Times New Roman" w:hAnsi="Times New Roman" w:cs="Times New Roman"/>
                <w:b/>
                <w:bCs/>
                <w:lang w:eastAsia="hu-HU"/>
              </w:rPr>
            </w:pPr>
            <w:r w:rsidRPr="28F9800E">
              <w:rPr>
                <w:rFonts w:ascii="Times New Roman" w:eastAsia="Times New Roman" w:hAnsi="Times New Roman" w:cs="Times New Roman"/>
                <w:b/>
                <w:bCs/>
                <w:lang w:eastAsia="hu-HU"/>
              </w:rPr>
              <w:t>328,7</w:t>
            </w:r>
          </w:p>
        </w:tc>
        <w:tc>
          <w:tcPr>
            <w:tcW w:w="1209" w:type="dxa"/>
            <w:tcBorders>
              <w:top w:val="single" w:sz="4" w:space="0" w:color="auto"/>
              <w:left w:val="nil"/>
              <w:bottom w:val="single" w:sz="4" w:space="0" w:color="auto"/>
              <w:right w:val="single" w:sz="4" w:space="0" w:color="auto"/>
            </w:tcBorders>
            <w:vAlign w:val="center"/>
          </w:tcPr>
          <w:p w14:paraId="749AF748" w14:textId="4299C69D" w:rsidR="00494D4B" w:rsidRPr="001074A1" w:rsidRDefault="28F9800E" w:rsidP="28F9800E">
            <w:pPr>
              <w:widowControl w:val="0"/>
              <w:spacing w:after="0"/>
              <w:jc w:val="right"/>
              <w:rPr>
                <w:rFonts w:ascii="Times New Roman" w:eastAsia="Times New Roman" w:hAnsi="Times New Roman" w:cs="Times New Roman"/>
                <w:b/>
                <w:bCs/>
                <w:lang w:eastAsia="hu-HU"/>
              </w:rPr>
            </w:pPr>
            <w:r w:rsidRPr="28F9800E">
              <w:rPr>
                <w:rFonts w:ascii="Times New Roman" w:eastAsia="Times New Roman" w:hAnsi="Times New Roman" w:cs="Times New Roman"/>
                <w:b/>
                <w:bCs/>
                <w:lang w:eastAsia="hu-HU"/>
              </w:rPr>
              <w:t>367,3</w:t>
            </w:r>
          </w:p>
        </w:tc>
        <w:tc>
          <w:tcPr>
            <w:tcW w:w="992" w:type="dxa"/>
            <w:tcBorders>
              <w:top w:val="single" w:sz="4" w:space="0" w:color="auto"/>
              <w:left w:val="nil"/>
              <w:bottom w:val="single" w:sz="4" w:space="0" w:color="auto"/>
              <w:right w:val="single" w:sz="4" w:space="0" w:color="auto"/>
            </w:tcBorders>
            <w:noWrap/>
            <w:vAlign w:val="center"/>
          </w:tcPr>
          <w:p w14:paraId="780D698F" w14:textId="2433A1BF" w:rsidR="00494D4B" w:rsidRPr="001074A1" w:rsidRDefault="28F9800E" w:rsidP="28F9800E">
            <w:pPr>
              <w:widowControl w:val="0"/>
              <w:spacing w:after="0"/>
              <w:jc w:val="right"/>
              <w:rPr>
                <w:rFonts w:ascii="Times New Roman" w:eastAsia="Times New Roman" w:hAnsi="Times New Roman" w:cs="Times New Roman"/>
                <w:b/>
                <w:bCs/>
                <w:lang w:eastAsia="hu-HU"/>
              </w:rPr>
            </w:pPr>
            <w:r w:rsidRPr="28F9800E">
              <w:rPr>
                <w:rFonts w:ascii="Times New Roman" w:eastAsia="Times New Roman" w:hAnsi="Times New Roman" w:cs="Times New Roman"/>
                <w:b/>
                <w:bCs/>
                <w:lang w:eastAsia="hu-HU"/>
              </w:rPr>
              <w:t>38,6</w:t>
            </w:r>
          </w:p>
        </w:tc>
        <w:tc>
          <w:tcPr>
            <w:tcW w:w="993" w:type="dxa"/>
            <w:tcBorders>
              <w:top w:val="single" w:sz="4" w:space="0" w:color="auto"/>
              <w:left w:val="nil"/>
              <w:bottom w:val="single" w:sz="4" w:space="0" w:color="auto"/>
              <w:right w:val="single" w:sz="4" w:space="0" w:color="auto"/>
            </w:tcBorders>
            <w:noWrap/>
            <w:vAlign w:val="center"/>
          </w:tcPr>
          <w:p w14:paraId="35977C13" w14:textId="036A316C" w:rsidR="00494D4B" w:rsidRPr="001074A1" w:rsidRDefault="28F9800E" w:rsidP="28F9800E">
            <w:pPr>
              <w:widowControl w:val="0"/>
              <w:spacing w:after="0"/>
              <w:jc w:val="right"/>
              <w:rPr>
                <w:rFonts w:ascii="Times New Roman" w:eastAsia="Times New Roman" w:hAnsi="Times New Roman" w:cs="Times New Roman"/>
                <w:b/>
                <w:bCs/>
                <w:lang w:eastAsia="hu-HU"/>
              </w:rPr>
            </w:pPr>
            <w:r w:rsidRPr="28F9800E">
              <w:rPr>
                <w:rFonts w:ascii="Times New Roman" w:eastAsia="Times New Roman" w:hAnsi="Times New Roman" w:cs="Times New Roman"/>
                <w:b/>
                <w:bCs/>
                <w:lang w:eastAsia="hu-HU"/>
              </w:rPr>
              <w:t>111,7</w:t>
            </w:r>
          </w:p>
        </w:tc>
      </w:tr>
      <w:tr w:rsidR="00494D4B" w:rsidRPr="00377D59" w14:paraId="07715518" w14:textId="77777777" w:rsidTr="28F9800E">
        <w:trPr>
          <w:trHeight w:val="284"/>
        </w:trPr>
        <w:tc>
          <w:tcPr>
            <w:tcW w:w="4248" w:type="dxa"/>
            <w:tcBorders>
              <w:top w:val="nil"/>
              <w:left w:val="single" w:sz="4" w:space="0" w:color="auto"/>
              <w:bottom w:val="single" w:sz="4" w:space="0" w:color="auto"/>
              <w:right w:val="single" w:sz="4" w:space="0" w:color="auto"/>
            </w:tcBorders>
            <w:noWrap/>
            <w:vAlign w:val="center"/>
            <w:hideMark/>
          </w:tcPr>
          <w:p w14:paraId="31DF5B0B" w14:textId="77777777" w:rsidR="00494D4B" w:rsidRPr="003D21B5" w:rsidRDefault="5E04AD7D" w:rsidP="5E04AD7D">
            <w:pPr>
              <w:widowControl w:val="0"/>
              <w:spacing w:after="0" w:line="240" w:lineRule="auto"/>
              <w:ind w:firstLine="285"/>
              <w:rPr>
                <w:rFonts w:ascii="Times New Roman" w:eastAsia="Times New Roman" w:hAnsi="Times New Roman" w:cs="Times New Roman"/>
                <w:i/>
                <w:iCs/>
                <w:lang w:eastAsia="hu-HU"/>
              </w:rPr>
            </w:pPr>
            <w:r w:rsidRPr="5E04AD7D">
              <w:rPr>
                <w:rFonts w:ascii="Times New Roman" w:eastAsia="Times New Roman" w:hAnsi="Times New Roman" w:cs="Times New Roman"/>
                <w:i/>
                <w:iCs/>
                <w:lang w:eastAsia="hu-HU"/>
              </w:rPr>
              <w:t>Ebből:</w:t>
            </w:r>
          </w:p>
        </w:tc>
        <w:tc>
          <w:tcPr>
            <w:tcW w:w="4470" w:type="dxa"/>
            <w:gridSpan w:val="4"/>
            <w:tcBorders>
              <w:top w:val="single" w:sz="4" w:space="0" w:color="auto"/>
              <w:left w:val="nil"/>
              <w:bottom w:val="single" w:sz="4" w:space="0" w:color="auto"/>
              <w:right w:val="single" w:sz="4" w:space="0" w:color="auto"/>
            </w:tcBorders>
            <w:vAlign w:val="center"/>
          </w:tcPr>
          <w:p w14:paraId="60B47ECC" w14:textId="007D4839" w:rsidR="00494D4B" w:rsidRPr="003D21B5" w:rsidRDefault="28F9800E" w:rsidP="28F9800E">
            <w:pPr>
              <w:widowControl w:val="0"/>
              <w:spacing w:after="0" w:line="240" w:lineRule="auto"/>
              <w:jc w:val="right"/>
              <w:rPr>
                <w:rFonts w:ascii="Times New Roman" w:eastAsia="Times New Roman" w:hAnsi="Times New Roman" w:cs="Times New Roman"/>
                <w:lang w:eastAsia="hu-HU"/>
              </w:rPr>
            </w:pPr>
            <w:r w:rsidRPr="28F9800E">
              <w:rPr>
                <w:rFonts w:ascii="Times New Roman" w:eastAsia="Times New Roman" w:hAnsi="Times New Roman" w:cs="Times New Roman"/>
                <w:lang w:eastAsia="hu-HU"/>
              </w:rPr>
              <w:t> </w:t>
            </w:r>
          </w:p>
        </w:tc>
      </w:tr>
      <w:tr w:rsidR="00494D4B" w:rsidRPr="00377D59" w14:paraId="72B9616A" w14:textId="77777777" w:rsidTr="28F9800E">
        <w:trPr>
          <w:trHeight w:val="340"/>
        </w:trPr>
        <w:tc>
          <w:tcPr>
            <w:tcW w:w="4248" w:type="dxa"/>
            <w:tcBorders>
              <w:top w:val="nil"/>
              <w:left w:val="single" w:sz="4" w:space="0" w:color="auto"/>
              <w:bottom w:val="single" w:sz="4" w:space="0" w:color="auto"/>
              <w:right w:val="single" w:sz="4" w:space="0" w:color="auto"/>
            </w:tcBorders>
            <w:noWrap/>
            <w:vAlign w:val="center"/>
            <w:hideMark/>
          </w:tcPr>
          <w:p w14:paraId="21DA2C4C" w14:textId="77777777" w:rsidR="00494D4B" w:rsidRPr="003D21B5" w:rsidRDefault="5E04AD7D" w:rsidP="5E04AD7D">
            <w:pPr>
              <w:widowControl w:val="0"/>
              <w:spacing w:after="0" w:line="240" w:lineRule="auto"/>
              <w:ind w:firstLine="67"/>
              <w:rPr>
                <w:rFonts w:ascii="Times New Roman" w:eastAsia="Times New Roman" w:hAnsi="Times New Roman" w:cs="Times New Roman"/>
                <w:lang w:eastAsia="hu-HU"/>
              </w:rPr>
            </w:pPr>
            <w:r w:rsidRPr="5E04AD7D">
              <w:rPr>
                <w:rFonts w:ascii="Times New Roman" w:eastAsia="Times New Roman" w:hAnsi="Times New Roman" w:cs="Times New Roman"/>
                <w:lang w:eastAsia="hu-HU"/>
              </w:rPr>
              <w:t>Rokkantsági, rehabilitációs ellátások</w:t>
            </w:r>
          </w:p>
        </w:tc>
        <w:tc>
          <w:tcPr>
            <w:tcW w:w="1276" w:type="dxa"/>
            <w:tcBorders>
              <w:top w:val="single" w:sz="4" w:space="0" w:color="auto"/>
              <w:left w:val="nil"/>
              <w:bottom w:val="single" w:sz="4" w:space="0" w:color="auto"/>
              <w:right w:val="single" w:sz="4" w:space="0" w:color="auto"/>
            </w:tcBorders>
            <w:noWrap/>
            <w:vAlign w:val="center"/>
          </w:tcPr>
          <w:p w14:paraId="49E22A63" w14:textId="0DFB9DCB" w:rsidR="00494D4B" w:rsidRPr="003D21B5" w:rsidRDefault="28F9800E" w:rsidP="28F9800E">
            <w:pPr>
              <w:widowControl w:val="0"/>
              <w:spacing w:after="0"/>
              <w:jc w:val="right"/>
              <w:rPr>
                <w:rFonts w:ascii="Times New Roman" w:eastAsia="Times New Roman" w:hAnsi="Times New Roman" w:cs="Times New Roman"/>
                <w:lang w:eastAsia="hu-HU"/>
              </w:rPr>
            </w:pPr>
            <w:r w:rsidRPr="28F9800E">
              <w:rPr>
                <w:rFonts w:ascii="Times New Roman" w:eastAsia="Times New Roman" w:hAnsi="Times New Roman" w:cs="Times New Roman"/>
                <w:lang w:eastAsia="hu-HU"/>
              </w:rPr>
              <w:t>126,9</w:t>
            </w:r>
          </w:p>
        </w:tc>
        <w:tc>
          <w:tcPr>
            <w:tcW w:w="1209" w:type="dxa"/>
            <w:tcBorders>
              <w:top w:val="single" w:sz="4" w:space="0" w:color="auto"/>
              <w:left w:val="nil"/>
              <w:bottom w:val="single" w:sz="4" w:space="0" w:color="auto"/>
              <w:right w:val="single" w:sz="4" w:space="0" w:color="auto"/>
            </w:tcBorders>
            <w:noWrap/>
            <w:vAlign w:val="center"/>
          </w:tcPr>
          <w:p w14:paraId="0480FC73" w14:textId="2D37840B" w:rsidR="00494D4B" w:rsidRPr="003D21B5" w:rsidRDefault="28F9800E" w:rsidP="28F9800E">
            <w:pPr>
              <w:widowControl w:val="0"/>
              <w:spacing w:after="0"/>
              <w:jc w:val="right"/>
              <w:rPr>
                <w:rFonts w:ascii="Times New Roman" w:eastAsia="Times New Roman" w:hAnsi="Times New Roman" w:cs="Times New Roman"/>
                <w:lang w:eastAsia="hu-HU"/>
              </w:rPr>
            </w:pPr>
            <w:r w:rsidRPr="28F9800E">
              <w:rPr>
                <w:rFonts w:ascii="Times New Roman" w:eastAsia="Times New Roman" w:hAnsi="Times New Roman" w:cs="Times New Roman"/>
                <w:lang w:eastAsia="hu-HU"/>
              </w:rPr>
              <w:t>145,0</w:t>
            </w:r>
          </w:p>
        </w:tc>
        <w:tc>
          <w:tcPr>
            <w:tcW w:w="992" w:type="dxa"/>
            <w:tcBorders>
              <w:top w:val="single" w:sz="4" w:space="0" w:color="auto"/>
              <w:left w:val="nil"/>
              <w:bottom w:val="single" w:sz="4" w:space="0" w:color="auto"/>
              <w:right w:val="single" w:sz="4" w:space="0" w:color="auto"/>
            </w:tcBorders>
            <w:noWrap/>
            <w:vAlign w:val="center"/>
          </w:tcPr>
          <w:p w14:paraId="63616B24" w14:textId="4407950B" w:rsidR="00494D4B" w:rsidRPr="003D21B5" w:rsidRDefault="28F9800E" w:rsidP="28F9800E">
            <w:pPr>
              <w:widowControl w:val="0"/>
              <w:spacing w:after="0"/>
              <w:jc w:val="right"/>
              <w:rPr>
                <w:rFonts w:ascii="Times New Roman" w:eastAsia="Times New Roman" w:hAnsi="Times New Roman" w:cs="Times New Roman"/>
                <w:lang w:eastAsia="hu-HU"/>
              </w:rPr>
            </w:pPr>
            <w:r w:rsidRPr="28F9800E">
              <w:rPr>
                <w:rFonts w:ascii="Times New Roman" w:eastAsia="Times New Roman" w:hAnsi="Times New Roman" w:cs="Times New Roman"/>
                <w:lang w:eastAsia="hu-HU"/>
              </w:rPr>
              <w:t>18,1</w:t>
            </w:r>
          </w:p>
        </w:tc>
        <w:tc>
          <w:tcPr>
            <w:tcW w:w="993" w:type="dxa"/>
            <w:tcBorders>
              <w:top w:val="single" w:sz="4" w:space="0" w:color="auto"/>
              <w:left w:val="nil"/>
              <w:bottom w:val="single" w:sz="4" w:space="0" w:color="auto"/>
              <w:right w:val="single" w:sz="4" w:space="0" w:color="auto"/>
            </w:tcBorders>
            <w:noWrap/>
            <w:vAlign w:val="center"/>
          </w:tcPr>
          <w:p w14:paraId="2B583A17" w14:textId="61E053C9" w:rsidR="00494D4B" w:rsidRPr="003D21B5" w:rsidRDefault="28F9800E" w:rsidP="28F9800E">
            <w:pPr>
              <w:widowControl w:val="0"/>
              <w:spacing w:after="0"/>
              <w:jc w:val="right"/>
              <w:rPr>
                <w:rFonts w:ascii="Times New Roman" w:eastAsia="Times New Roman" w:hAnsi="Times New Roman" w:cs="Times New Roman"/>
                <w:lang w:eastAsia="hu-HU"/>
              </w:rPr>
            </w:pPr>
            <w:r w:rsidRPr="28F9800E">
              <w:rPr>
                <w:rFonts w:ascii="Times New Roman" w:eastAsia="Times New Roman" w:hAnsi="Times New Roman" w:cs="Times New Roman"/>
                <w:lang w:eastAsia="hu-HU"/>
              </w:rPr>
              <w:t>114,3</w:t>
            </w:r>
          </w:p>
        </w:tc>
      </w:tr>
      <w:tr w:rsidR="00494D4B" w:rsidRPr="00377D59" w14:paraId="778FD915" w14:textId="77777777" w:rsidTr="28F9800E">
        <w:trPr>
          <w:trHeight w:val="340"/>
        </w:trPr>
        <w:tc>
          <w:tcPr>
            <w:tcW w:w="4248" w:type="dxa"/>
            <w:tcBorders>
              <w:top w:val="nil"/>
              <w:left w:val="single" w:sz="4" w:space="0" w:color="auto"/>
              <w:bottom w:val="single" w:sz="4" w:space="0" w:color="auto"/>
              <w:right w:val="single" w:sz="4" w:space="0" w:color="auto"/>
            </w:tcBorders>
            <w:noWrap/>
            <w:vAlign w:val="center"/>
            <w:hideMark/>
          </w:tcPr>
          <w:p w14:paraId="4CDB1046" w14:textId="4891E4FD" w:rsidR="00494D4B" w:rsidRPr="003D21B5" w:rsidRDefault="5E04AD7D" w:rsidP="5E04AD7D">
            <w:pPr>
              <w:widowControl w:val="0"/>
              <w:spacing w:after="0" w:line="240" w:lineRule="auto"/>
              <w:ind w:firstLine="67"/>
              <w:rPr>
                <w:rFonts w:ascii="Times New Roman" w:eastAsia="Times New Roman" w:hAnsi="Times New Roman" w:cs="Times New Roman"/>
                <w:lang w:eastAsia="hu-HU"/>
              </w:rPr>
            </w:pPr>
            <w:r w:rsidRPr="5E04AD7D">
              <w:rPr>
                <w:rFonts w:ascii="Times New Roman" w:eastAsia="Times New Roman" w:hAnsi="Times New Roman" w:cs="Times New Roman"/>
                <w:lang w:eastAsia="hu-HU"/>
              </w:rPr>
              <w:t>Gyermekgondozási díj és örökbefogadói díj</w:t>
            </w:r>
          </w:p>
        </w:tc>
        <w:tc>
          <w:tcPr>
            <w:tcW w:w="1276" w:type="dxa"/>
            <w:tcBorders>
              <w:top w:val="single" w:sz="4" w:space="0" w:color="auto"/>
              <w:left w:val="nil"/>
              <w:bottom w:val="single" w:sz="4" w:space="0" w:color="auto"/>
              <w:right w:val="single" w:sz="4" w:space="0" w:color="auto"/>
            </w:tcBorders>
            <w:noWrap/>
            <w:vAlign w:val="center"/>
          </w:tcPr>
          <w:p w14:paraId="0B0C3582" w14:textId="794E72E8" w:rsidR="00494D4B" w:rsidRPr="003D21B5" w:rsidRDefault="28F9800E" w:rsidP="28F9800E">
            <w:pPr>
              <w:widowControl w:val="0"/>
              <w:spacing w:after="0"/>
              <w:jc w:val="right"/>
              <w:rPr>
                <w:rFonts w:ascii="Times New Roman" w:eastAsia="Times New Roman" w:hAnsi="Times New Roman" w:cs="Times New Roman"/>
                <w:lang w:eastAsia="hu-HU"/>
              </w:rPr>
            </w:pPr>
            <w:r w:rsidRPr="28F9800E">
              <w:rPr>
                <w:rFonts w:ascii="Times New Roman" w:eastAsia="Times New Roman" w:hAnsi="Times New Roman" w:cs="Times New Roman"/>
                <w:lang w:eastAsia="hu-HU"/>
              </w:rPr>
              <w:t>98,1</w:t>
            </w:r>
          </w:p>
        </w:tc>
        <w:tc>
          <w:tcPr>
            <w:tcW w:w="1209" w:type="dxa"/>
            <w:tcBorders>
              <w:top w:val="single" w:sz="4" w:space="0" w:color="auto"/>
              <w:left w:val="nil"/>
              <w:bottom w:val="single" w:sz="4" w:space="0" w:color="auto"/>
              <w:right w:val="single" w:sz="4" w:space="0" w:color="auto"/>
            </w:tcBorders>
            <w:noWrap/>
            <w:vAlign w:val="center"/>
          </w:tcPr>
          <w:p w14:paraId="6E6D7B2A" w14:textId="04483C11" w:rsidR="00494D4B" w:rsidRPr="003D21B5" w:rsidRDefault="28F9800E" w:rsidP="28F9800E">
            <w:pPr>
              <w:widowControl w:val="0"/>
              <w:spacing w:after="0"/>
              <w:jc w:val="right"/>
              <w:rPr>
                <w:rFonts w:ascii="Times New Roman" w:eastAsia="Times New Roman" w:hAnsi="Times New Roman" w:cs="Times New Roman"/>
                <w:lang w:eastAsia="hu-HU"/>
              </w:rPr>
            </w:pPr>
            <w:r w:rsidRPr="28F9800E">
              <w:rPr>
                <w:rFonts w:ascii="Times New Roman" w:eastAsia="Times New Roman" w:hAnsi="Times New Roman" w:cs="Times New Roman"/>
                <w:lang w:eastAsia="hu-HU"/>
              </w:rPr>
              <w:t>101,9</w:t>
            </w:r>
          </w:p>
        </w:tc>
        <w:tc>
          <w:tcPr>
            <w:tcW w:w="992" w:type="dxa"/>
            <w:tcBorders>
              <w:top w:val="single" w:sz="4" w:space="0" w:color="auto"/>
              <w:left w:val="nil"/>
              <w:bottom w:val="single" w:sz="4" w:space="0" w:color="auto"/>
              <w:right w:val="single" w:sz="4" w:space="0" w:color="auto"/>
            </w:tcBorders>
            <w:noWrap/>
            <w:vAlign w:val="center"/>
          </w:tcPr>
          <w:p w14:paraId="791AEA46" w14:textId="55299D32" w:rsidR="00494D4B" w:rsidRPr="003D21B5" w:rsidRDefault="28F9800E" w:rsidP="28F9800E">
            <w:pPr>
              <w:widowControl w:val="0"/>
              <w:spacing w:after="0"/>
              <w:jc w:val="right"/>
              <w:rPr>
                <w:rFonts w:ascii="Times New Roman" w:eastAsia="Times New Roman" w:hAnsi="Times New Roman" w:cs="Times New Roman"/>
                <w:lang w:eastAsia="hu-HU"/>
              </w:rPr>
            </w:pPr>
            <w:r w:rsidRPr="28F9800E">
              <w:rPr>
                <w:rFonts w:ascii="Times New Roman" w:eastAsia="Times New Roman" w:hAnsi="Times New Roman" w:cs="Times New Roman"/>
                <w:lang w:eastAsia="hu-HU"/>
              </w:rPr>
              <w:t>3,8</w:t>
            </w:r>
          </w:p>
        </w:tc>
        <w:tc>
          <w:tcPr>
            <w:tcW w:w="993" w:type="dxa"/>
            <w:tcBorders>
              <w:top w:val="single" w:sz="4" w:space="0" w:color="auto"/>
              <w:left w:val="nil"/>
              <w:bottom w:val="single" w:sz="4" w:space="0" w:color="auto"/>
              <w:right w:val="single" w:sz="4" w:space="0" w:color="auto"/>
            </w:tcBorders>
            <w:noWrap/>
            <w:vAlign w:val="center"/>
          </w:tcPr>
          <w:p w14:paraId="189A6E8D" w14:textId="796E8342" w:rsidR="00494D4B" w:rsidRPr="003D21B5" w:rsidRDefault="28F9800E" w:rsidP="28F9800E">
            <w:pPr>
              <w:widowControl w:val="0"/>
              <w:spacing w:after="0"/>
              <w:jc w:val="right"/>
              <w:rPr>
                <w:rFonts w:ascii="Times New Roman" w:eastAsia="Times New Roman" w:hAnsi="Times New Roman" w:cs="Times New Roman"/>
                <w:lang w:eastAsia="hu-HU"/>
              </w:rPr>
            </w:pPr>
            <w:r w:rsidRPr="28F9800E">
              <w:rPr>
                <w:rFonts w:ascii="Times New Roman" w:eastAsia="Times New Roman" w:hAnsi="Times New Roman" w:cs="Times New Roman"/>
                <w:lang w:eastAsia="hu-HU"/>
              </w:rPr>
              <w:t>103,9</w:t>
            </w:r>
          </w:p>
        </w:tc>
      </w:tr>
      <w:tr w:rsidR="00494D4B" w:rsidRPr="00377D59" w14:paraId="7D62EFFD" w14:textId="77777777" w:rsidTr="28F9800E">
        <w:trPr>
          <w:trHeight w:val="340"/>
        </w:trPr>
        <w:tc>
          <w:tcPr>
            <w:tcW w:w="4248" w:type="dxa"/>
            <w:tcBorders>
              <w:top w:val="single" w:sz="4" w:space="0" w:color="auto"/>
              <w:left w:val="single" w:sz="4" w:space="0" w:color="auto"/>
              <w:bottom w:val="single" w:sz="4" w:space="0" w:color="auto"/>
              <w:right w:val="single" w:sz="4" w:space="0" w:color="auto"/>
            </w:tcBorders>
            <w:noWrap/>
            <w:vAlign w:val="center"/>
            <w:hideMark/>
          </w:tcPr>
          <w:p w14:paraId="6487EDDE" w14:textId="77777777" w:rsidR="00494D4B" w:rsidRPr="003D21B5" w:rsidRDefault="5E04AD7D" w:rsidP="5E04AD7D">
            <w:pPr>
              <w:widowControl w:val="0"/>
              <w:spacing w:after="0" w:line="240" w:lineRule="auto"/>
              <w:ind w:firstLine="67"/>
              <w:rPr>
                <w:rFonts w:ascii="Times New Roman" w:eastAsia="Times New Roman" w:hAnsi="Times New Roman" w:cs="Times New Roman"/>
                <w:lang w:eastAsia="hu-HU"/>
              </w:rPr>
            </w:pPr>
            <w:r w:rsidRPr="5E04AD7D">
              <w:rPr>
                <w:rFonts w:ascii="Times New Roman" w:eastAsia="Times New Roman" w:hAnsi="Times New Roman" w:cs="Times New Roman"/>
                <w:lang w:eastAsia="hu-HU"/>
              </w:rPr>
              <w:t>Táppénz</w:t>
            </w:r>
          </w:p>
        </w:tc>
        <w:tc>
          <w:tcPr>
            <w:tcW w:w="1276" w:type="dxa"/>
            <w:tcBorders>
              <w:top w:val="single" w:sz="4" w:space="0" w:color="auto"/>
              <w:left w:val="nil"/>
              <w:bottom w:val="single" w:sz="4" w:space="0" w:color="auto"/>
              <w:right w:val="single" w:sz="4" w:space="0" w:color="auto"/>
            </w:tcBorders>
            <w:noWrap/>
            <w:vAlign w:val="center"/>
          </w:tcPr>
          <w:p w14:paraId="4DBD4593" w14:textId="1CEE411A" w:rsidR="00494D4B" w:rsidRPr="003D21B5" w:rsidRDefault="28F9800E" w:rsidP="28F9800E">
            <w:pPr>
              <w:widowControl w:val="0"/>
              <w:spacing w:after="0"/>
              <w:jc w:val="right"/>
              <w:rPr>
                <w:rFonts w:ascii="Times New Roman" w:eastAsia="Times New Roman" w:hAnsi="Times New Roman" w:cs="Times New Roman"/>
                <w:lang w:eastAsia="hu-HU"/>
              </w:rPr>
            </w:pPr>
            <w:r w:rsidRPr="28F9800E">
              <w:rPr>
                <w:rFonts w:ascii="Times New Roman" w:eastAsia="Times New Roman" w:hAnsi="Times New Roman" w:cs="Times New Roman"/>
                <w:lang w:eastAsia="hu-HU"/>
              </w:rPr>
              <w:t>59,8</w:t>
            </w:r>
          </w:p>
        </w:tc>
        <w:tc>
          <w:tcPr>
            <w:tcW w:w="1209" w:type="dxa"/>
            <w:tcBorders>
              <w:top w:val="single" w:sz="4" w:space="0" w:color="auto"/>
              <w:left w:val="nil"/>
              <w:bottom w:val="single" w:sz="4" w:space="0" w:color="auto"/>
              <w:right w:val="single" w:sz="4" w:space="0" w:color="auto"/>
            </w:tcBorders>
            <w:noWrap/>
            <w:vAlign w:val="center"/>
          </w:tcPr>
          <w:p w14:paraId="7122EFC4" w14:textId="4B788371" w:rsidR="00494D4B" w:rsidRPr="003D21B5" w:rsidRDefault="28F9800E" w:rsidP="28F9800E">
            <w:pPr>
              <w:widowControl w:val="0"/>
              <w:spacing w:after="0"/>
              <w:jc w:val="right"/>
              <w:rPr>
                <w:rFonts w:ascii="Times New Roman" w:eastAsia="Times New Roman" w:hAnsi="Times New Roman" w:cs="Times New Roman"/>
                <w:lang w:eastAsia="hu-HU"/>
              </w:rPr>
            </w:pPr>
            <w:r w:rsidRPr="28F9800E">
              <w:rPr>
                <w:rFonts w:ascii="Times New Roman" w:eastAsia="Times New Roman" w:hAnsi="Times New Roman" w:cs="Times New Roman"/>
                <w:lang w:eastAsia="hu-HU"/>
              </w:rPr>
              <w:t>74,4</w:t>
            </w:r>
          </w:p>
        </w:tc>
        <w:tc>
          <w:tcPr>
            <w:tcW w:w="992" w:type="dxa"/>
            <w:tcBorders>
              <w:top w:val="single" w:sz="4" w:space="0" w:color="auto"/>
              <w:left w:val="nil"/>
              <w:bottom w:val="single" w:sz="4" w:space="0" w:color="auto"/>
              <w:right w:val="single" w:sz="4" w:space="0" w:color="auto"/>
            </w:tcBorders>
            <w:noWrap/>
            <w:vAlign w:val="center"/>
          </w:tcPr>
          <w:p w14:paraId="64552A76" w14:textId="00DF3614" w:rsidR="00494D4B" w:rsidRPr="003D21B5" w:rsidRDefault="28F9800E" w:rsidP="28F9800E">
            <w:pPr>
              <w:widowControl w:val="0"/>
              <w:spacing w:after="0"/>
              <w:jc w:val="right"/>
              <w:rPr>
                <w:rFonts w:ascii="Times New Roman" w:eastAsia="Times New Roman" w:hAnsi="Times New Roman" w:cs="Times New Roman"/>
                <w:lang w:eastAsia="hu-HU"/>
              </w:rPr>
            </w:pPr>
            <w:r w:rsidRPr="28F9800E">
              <w:rPr>
                <w:rFonts w:ascii="Times New Roman" w:eastAsia="Times New Roman" w:hAnsi="Times New Roman" w:cs="Times New Roman"/>
                <w:lang w:eastAsia="hu-HU"/>
              </w:rPr>
              <w:t>14,6</w:t>
            </w:r>
          </w:p>
        </w:tc>
        <w:tc>
          <w:tcPr>
            <w:tcW w:w="993" w:type="dxa"/>
            <w:tcBorders>
              <w:top w:val="single" w:sz="4" w:space="0" w:color="auto"/>
              <w:left w:val="nil"/>
              <w:bottom w:val="single" w:sz="4" w:space="0" w:color="auto"/>
              <w:right w:val="single" w:sz="4" w:space="0" w:color="auto"/>
            </w:tcBorders>
            <w:noWrap/>
            <w:vAlign w:val="center"/>
          </w:tcPr>
          <w:p w14:paraId="324ADF3D" w14:textId="4ED3A2AD" w:rsidR="00494D4B" w:rsidRPr="003D21B5" w:rsidRDefault="28F9800E" w:rsidP="28F9800E">
            <w:pPr>
              <w:widowControl w:val="0"/>
              <w:spacing w:after="0"/>
              <w:jc w:val="right"/>
              <w:rPr>
                <w:rFonts w:ascii="Times New Roman" w:eastAsia="Times New Roman" w:hAnsi="Times New Roman" w:cs="Times New Roman"/>
                <w:lang w:eastAsia="hu-HU"/>
              </w:rPr>
            </w:pPr>
            <w:r w:rsidRPr="28F9800E">
              <w:rPr>
                <w:rFonts w:ascii="Times New Roman" w:eastAsia="Times New Roman" w:hAnsi="Times New Roman" w:cs="Times New Roman"/>
                <w:lang w:eastAsia="hu-HU"/>
              </w:rPr>
              <w:t>124,4</w:t>
            </w:r>
          </w:p>
        </w:tc>
      </w:tr>
    </w:tbl>
    <w:p w14:paraId="7F2895FE" w14:textId="24B0BEB5" w:rsidR="001074A1" w:rsidRDefault="28F9800E" w:rsidP="28F9800E">
      <w:pPr>
        <w:widowControl w:val="0"/>
        <w:spacing w:before="240"/>
        <w:jc w:val="both"/>
        <w:rPr>
          <w:rFonts w:ascii="Times New Roman" w:eastAsia="Times New Roman" w:hAnsi="Times New Roman" w:cs="Times New Roman"/>
          <w:sz w:val="26"/>
          <w:szCs w:val="26"/>
        </w:rPr>
      </w:pPr>
      <w:bookmarkStart w:id="5" w:name="_Hlk224563843"/>
      <w:r w:rsidRPr="28F9800E">
        <w:rPr>
          <w:rFonts w:ascii="Times New Roman" w:eastAsia="Times New Roman" w:hAnsi="Times New Roman" w:cs="Times New Roman"/>
          <w:sz w:val="26"/>
          <w:szCs w:val="26"/>
        </w:rPr>
        <w:t xml:space="preserve">A </w:t>
      </w:r>
      <w:r w:rsidRPr="28F9800E">
        <w:rPr>
          <w:rFonts w:ascii="Times New Roman" w:eastAsia="Times New Roman" w:hAnsi="Times New Roman" w:cs="Times New Roman"/>
          <w:b/>
          <w:bCs/>
          <w:sz w:val="26"/>
          <w:szCs w:val="26"/>
        </w:rPr>
        <w:t>gyógyító-megelőző ellátásokra</w:t>
      </w:r>
      <w:r w:rsidRPr="28F9800E">
        <w:rPr>
          <w:rFonts w:ascii="Times New Roman" w:eastAsia="Times New Roman" w:hAnsi="Times New Roman" w:cs="Times New Roman"/>
          <w:sz w:val="26"/>
          <w:szCs w:val="26"/>
        </w:rPr>
        <w:t xml:space="preserve"> fordított kiadás 2026. március végéig 798,3 milliárd forintot tett ki, a 2025 első három hónapjában felmerült 758,</w:t>
      </w:r>
      <w:r w:rsidR="00CC7EB9">
        <w:rPr>
          <w:rFonts w:ascii="Times New Roman" w:eastAsia="Times New Roman" w:hAnsi="Times New Roman" w:cs="Times New Roman"/>
          <w:sz w:val="26"/>
          <w:szCs w:val="26"/>
        </w:rPr>
        <w:t>9</w:t>
      </w:r>
      <w:r w:rsidRPr="28F9800E">
        <w:rPr>
          <w:rFonts w:ascii="Times New Roman" w:eastAsia="Times New Roman" w:hAnsi="Times New Roman" w:cs="Times New Roman"/>
          <w:sz w:val="26"/>
          <w:szCs w:val="26"/>
        </w:rPr>
        <w:t> milliárd forint összegű kiadással szemben.</w:t>
      </w:r>
    </w:p>
    <w:bookmarkEnd w:id="5"/>
    <w:p w14:paraId="69E4940B" w14:textId="21826698" w:rsidR="001074A1" w:rsidRPr="00F1519E" w:rsidRDefault="5E04AD7D" w:rsidP="5E04AD7D">
      <w:pPr>
        <w:jc w:val="both"/>
        <w:rPr>
          <w:rFonts w:ascii="Times New Roman" w:eastAsia="Times New Roman" w:hAnsi="Times New Roman" w:cs="Times New Roman"/>
          <w:sz w:val="26"/>
          <w:szCs w:val="26"/>
        </w:rPr>
      </w:pPr>
      <w:r w:rsidRPr="00F1519E">
        <w:rPr>
          <w:rFonts w:ascii="Times New Roman" w:eastAsia="Times New Roman" w:hAnsi="Times New Roman" w:cs="Times New Roman"/>
          <w:b/>
          <w:bCs/>
          <w:sz w:val="26"/>
          <w:szCs w:val="26"/>
        </w:rPr>
        <w:t>Gyógyszertámogatásra</w:t>
      </w:r>
      <w:r w:rsidRPr="00F1519E">
        <w:rPr>
          <w:rFonts w:ascii="Times New Roman" w:eastAsia="Times New Roman" w:hAnsi="Times New Roman" w:cs="Times New Roman"/>
          <w:sz w:val="26"/>
          <w:szCs w:val="26"/>
        </w:rPr>
        <w:t xml:space="preserve"> 2026 március végéig 152,1 milliárd forint került kifizetésre, amely 11,6 milliárd forinttal magasabb az előző év azonos időszakában kifizetett összegnél.</w:t>
      </w:r>
    </w:p>
    <w:p w14:paraId="7B768C24" w14:textId="4F783F64" w:rsidR="00B155FE" w:rsidRPr="004966FE" w:rsidRDefault="5E04AD7D" w:rsidP="5E04AD7D">
      <w:pPr>
        <w:keepNext/>
        <w:pageBreakBefore/>
        <w:numPr>
          <w:ilvl w:val="0"/>
          <w:numId w:val="3"/>
        </w:numPr>
        <w:spacing w:after="120" w:line="240" w:lineRule="auto"/>
        <w:ind w:left="714" w:hanging="357"/>
        <w:jc w:val="both"/>
        <w:outlineLvl w:val="2"/>
        <w:rPr>
          <w:rFonts w:ascii="Times New Roman" w:eastAsia="Times New Roman" w:hAnsi="Times New Roman" w:cs="Times New Roman"/>
          <w:b/>
          <w:bCs/>
          <w:smallCaps/>
          <w:sz w:val="28"/>
          <w:szCs w:val="28"/>
          <w:lang w:eastAsia="hu-HU"/>
        </w:rPr>
      </w:pPr>
      <w:r w:rsidRPr="5E04AD7D">
        <w:rPr>
          <w:rFonts w:ascii="Times New Roman" w:eastAsia="Times New Roman" w:hAnsi="Times New Roman" w:cs="Times New Roman"/>
          <w:b/>
          <w:bCs/>
          <w:smallCaps/>
          <w:sz w:val="28"/>
          <w:szCs w:val="28"/>
          <w:lang w:eastAsia="hu-HU"/>
        </w:rPr>
        <w:lastRenderedPageBreak/>
        <w:t>A költségvetési szervek és fejezeti kezelésű előirányzatok alakulása</w:t>
      </w:r>
    </w:p>
    <w:p w14:paraId="41120C33" w14:textId="74C795A6" w:rsidR="00484365" w:rsidRPr="00145F79" w:rsidRDefault="5E04AD7D" w:rsidP="5E04AD7D">
      <w:pPr>
        <w:spacing w:before="240"/>
        <w:jc w:val="both"/>
        <w:rPr>
          <w:rFonts w:ascii="Times New Roman" w:eastAsia="Times New Roman" w:hAnsi="Times New Roman" w:cs="Times New Roman"/>
          <w:color w:val="000000" w:themeColor="text1"/>
          <w:sz w:val="26"/>
          <w:szCs w:val="26"/>
          <w:lang w:eastAsia="hu-HU"/>
        </w:rPr>
      </w:pPr>
      <w:r w:rsidRPr="5E04AD7D">
        <w:rPr>
          <w:rFonts w:ascii="Times New Roman" w:eastAsia="Times New Roman" w:hAnsi="Times New Roman" w:cs="Times New Roman"/>
          <w:sz w:val="26"/>
          <w:szCs w:val="26"/>
          <w:lang w:eastAsia="hu-HU"/>
        </w:rPr>
        <w:t xml:space="preserve">A </w:t>
      </w:r>
      <w:r w:rsidRPr="5E04AD7D">
        <w:rPr>
          <w:rFonts w:ascii="Times New Roman" w:eastAsia="Times New Roman" w:hAnsi="Times New Roman" w:cs="Times New Roman"/>
          <w:b/>
          <w:bCs/>
          <w:sz w:val="26"/>
          <w:szCs w:val="26"/>
          <w:lang w:eastAsia="hu-HU"/>
        </w:rPr>
        <w:t>költségvetési szervek bevételei</w:t>
      </w:r>
      <w:r w:rsidRPr="5E04AD7D">
        <w:rPr>
          <w:rFonts w:ascii="Times New Roman" w:eastAsia="Times New Roman" w:hAnsi="Times New Roman" w:cs="Times New Roman"/>
          <w:sz w:val="26"/>
          <w:szCs w:val="26"/>
          <w:lang w:eastAsia="hu-HU"/>
        </w:rPr>
        <w:t xml:space="preserve"> </w:t>
      </w:r>
      <w:r w:rsidR="003F0619" w:rsidRPr="003F0619">
        <w:rPr>
          <w:rFonts w:ascii="Times New Roman" w:eastAsia="Times New Roman" w:hAnsi="Times New Roman" w:cs="Times New Roman"/>
          <w:sz w:val="26"/>
          <w:szCs w:val="26"/>
          <w:lang w:eastAsia="hu-HU"/>
        </w:rPr>
        <w:t>2026 első három hónapjában 756,2 milliárd forintot tettek ki, amely 14,6%-kal magasabb az előző év azonos időszakának bevételeihez képest. Az intézmények bevételei közül 432,6 milliárd forintot tett ki a Nemzeti Egészségbiztosítási Alapkezelő által az egészségügyi intézményeknek utalt támogatás</w:t>
      </w:r>
      <w:r w:rsidRPr="5E04AD7D">
        <w:rPr>
          <w:rFonts w:ascii="Times New Roman" w:eastAsia="Times New Roman" w:hAnsi="Times New Roman" w:cs="Times New Roman"/>
          <w:color w:val="000000" w:themeColor="text1"/>
          <w:sz w:val="26"/>
          <w:szCs w:val="26"/>
          <w:lang w:eastAsia="hu-HU"/>
        </w:rPr>
        <w:t>.</w:t>
      </w:r>
    </w:p>
    <w:p w14:paraId="6C6ADA97" w14:textId="60A17445" w:rsidR="00484365" w:rsidRPr="007B6DF2" w:rsidRDefault="5E04AD7D" w:rsidP="5E04AD7D">
      <w:pPr>
        <w:jc w:val="both"/>
        <w:rPr>
          <w:rFonts w:ascii="Times New Roman" w:eastAsia="Times New Roman" w:hAnsi="Times New Roman" w:cs="Times New Roman"/>
          <w:sz w:val="26"/>
          <w:szCs w:val="26"/>
          <w:lang w:eastAsia="hu-HU"/>
        </w:rPr>
      </w:pPr>
      <w:r w:rsidRPr="5E04AD7D">
        <w:rPr>
          <w:rFonts w:ascii="Times New Roman" w:eastAsia="Times New Roman" w:hAnsi="Times New Roman" w:cs="Times New Roman"/>
          <w:sz w:val="26"/>
          <w:szCs w:val="26"/>
          <w:lang w:eastAsia="hu-HU"/>
        </w:rPr>
        <w:t xml:space="preserve">A </w:t>
      </w:r>
      <w:r w:rsidRPr="5E04AD7D">
        <w:rPr>
          <w:rFonts w:ascii="Times New Roman" w:eastAsia="Times New Roman" w:hAnsi="Times New Roman" w:cs="Times New Roman"/>
          <w:b/>
          <w:bCs/>
          <w:sz w:val="26"/>
          <w:szCs w:val="26"/>
          <w:lang w:eastAsia="hu-HU"/>
        </w:rPr>
        <w:t>szakmai fejezeti kezelésű előirányzatok bevételei</w:t>
      </w:r>
      <w:r w:rsidRPr="5E04AD7D">
        <w:rPr>
          <w:rFonts w:ascii="Times New Roman" w:eastAsia="Times New Roman" w:hAnsi="Times New Roman" w:cs="Times New Roman"/>
          <w:sz w:val="26"/>
          <w:szCs w:val="26"/>
          <w:lang w:eastAsia="hu-HU"/>
        </w:rPr>
        <w:t xml:space="preserve"> </w:t>
      </w:r>
      <w:r w:rsidR="003F0619" w:rsidRPr="003F0619">
        <w:rPr>
          <w:rFonts w:ascii="Times New Roman" w:eastAsia="Times New Roman" w:hAnsi="Times New Roman" w:cs="Times New Roman"/>
          <w:sz w:val="26"/>
          <w:szCs w:val="26"/>
          <w:lang w:eastAsia="hu-HU"/>
        </w:rPr>
        <w:t>2026 első három hónapjában 205,7</w:t>
      </w:r>
      <w:r w:rsidR="003F0619">
        <w:rPr>
          <w:rFonts w:ascii="Times New Roman" w:eastAsia="Times New Roman" w:hAnsi="Times New Roman" w:cs="Times New Roman"/>
          <w:sz w:val="26"/>
          <w:szCs w:val="26"/>
          <w:lang w:eastAsia="hu-HU"/>
        </w:rPr>
        <w:t> </w:t>
      </w:r>
      <w:r w:rsidR="003F0619" w:rsidRPr="003F0619">
        <w:rPr>
          <w:rFonts w:ascii="Times New Roman" w:eastAsia="Times New Roman" w:hAnsi="Times New Roman" w:cs="Times New Roman"/>
          <w:sz w:val="26"/>
          <w:szCs w:val="26"/>
          <w:lang w:eastAsia="hu-HU"/>
        </w:rPr>
        <w:t>milliárd forintot tettek ki, mely több mint kétszerese az előző év azonos időszakának bevételéhez képest. A bevételek jelentős részét az „Alapok alapja GINOP pénzügyi eszközök” törvényi sorra befolyt összegek teszik ki, melyek nem uniós bevételként jóváírt tételek</w:t>
      </w:r>
      <w:r w:rsidRPr="5E04AD7D">
        <w:rPr>
          <w:rFonts w:ascii="Times New Roman" w:eastAsia="Times New Roman" w:hAnsi="Times New Roman" w:cs="Times New Roman"/>
          <w:sz w:val="26"/>
          <w:szCs w:val="26"/>
          <w:lang w:eastAsia="hu-HU"/>
        </w:rPr>
        <w:t>.</w:t>
      </w:r>
    </w:p>
    <w:p w14:paraId="5A50B96E" w14:textId="6C7C4392" w:rsidR="00484365" w:rsidRPr="004966FE" w:rsidRDefault="5E04AD7D" w:rsidP="5E04AD7D">
      <w:pPr>
        <w:jc w:val="both"/>
        <w:rPr>
          <w:rFonts w:ascii="Times New Roman" w:eastAsia="Times New Roman" w:hAnsi="Times New Roman" w:cs="Times New Roman"/>
          <w:sz w:val="26"/>
          <w:szCs w:val="26"/>
          <w:lang w:eastAsia="hu-HU"/>
        </w:rPr>
      </w:pPr>
      <w:r w:rsidRPr="5E04AD7D">
        <w:rPr>
          <w:rFonts w:ascii="Times New Roman" w:eastAsia="Times New Roman" w:hAnsi="Times New Roman" w:cs="Times New Roman"/>
          <w:sz w:val="26"/>
          <w:szCs w:val="26"/>
          <w:lang w:eastAsia="hu-HU"/>
        </w:rPr>
        <w:t xml:space="preserve">A </w:t>
      </w:r>
      <w:r w:rsidRPr="5E04AD7D">
        <w:rPr>
          <w:rFonts w:ascii="Times New Roman" w:hAnsi="Times New Roman" w:cs="Times New Roman"/>
          <w:sz w:val="26"/>
          <w:szCs w:val="26"/>
          <w:lang w:eastAsia="hu-HU"/>
        </w:rPr>
        <w:t xml:space="preserve">2026. </w:t>
      </w:r>
      <w:r w:rsidR="003F0619" w:rsidRPr="003F0619">
        <w:rPr>
          <w:rFonts w:ascii="Times New Roman" w:hAnsi="Times New Roman" w:cs="Times New Roman"/>
          <w:sz w:val="26"/>
          <w:szCs w:val="26"/>
          <w:lang w:eastAsia="hu-HU"/>
        </w:rPr>
        <w:t>év első háromhavi, 961,9 milliárd forint összegű bevételek megoszlását a</w:t>
      </w:r>
      <w:r w:rsidR="003F0619">
        <w:rPr>
          <w:rFonts w:ascii="Times New Roman" w:hAnsi="Times New Roman" w:cs="Times New Roman"/>
          <w:sz w:val="26"/>
          <w:szCs w:val="26"/>
          <w:lang w:eastAsia="hu-HU"/>
        </w:rPr>
        <w:t> </w:t>
      </w:r>
      <w:r w:rsidR="003F0619" w:rsidRPr="003F0619">
        <w:rPr>
          <w:rFonts w:ascii="Times New Roman" w:hAnsi="Times New Roman" w:cs="Times New Roman"/>
          <w:sz w:val="26"/>
          <w:szCs w:val="26"/>
          <w:lang w:eastAsia="hu-HU"/>
        </w:rPr>
        <w:t>következő grafikon szemlélteti</w:t>
      </w:r>
      <w:r w:rsidRPr="5E04AD7D">
        <w:rPr>
          <w:rFonts w:ascii="Times New Roman" w:eastAsia="Times New Roman" w:hAnsi="Times New Roman" w:cs="Times New Roman"/>
          <w:sz w:val="26"/>
          <w:szCs w:val="26"/>
          <w:lang w:eastAsia="hu-HU"/>
        </w:rPr>
        <w:t>:</w:t>
      </w:r>
    </w:p>
    <w:p w14:paraId="576D18BB" w14:textId="3DE078C7" w:rsidR="00B056CC" w:rsidRPr="00377D59" w:rsidRDefault="00902461" w:rsidP="00C2238F">
      <w:pPr>
        <w:spacing w:before="240" w:after="120"/>
        <w:jc w:val="center"/>
        <w:rPr>
          <w:rFonts w:ascii="Times New Roman" w:eastAsia="Times New Roman" w:hAnsi="Times New Roman" w:cs="Times New Roman"/>
          <w:b/>
          <w:sz w:val="26"/>
          <w:szCs w:val="26"/>
        </w:rPr>
      </w:pPr>
      <w:r w:rsidRPr="00902461">
        <w:rPr>
          <w:rFonts w:ascii="Times New Roman" w:eastAsia="Times New Roman" w:hAnsi="Times New Roman" w:cs="Times New Roman"/>
          <w:b/>
          <w:noProof/>
          <w:sz w:val="26"/>
          <w:szCs w:val="26"/>
        </w:rPr>
        <w:drawing>
          <wp:inline distT="0" distB="0" distL="0" distR="0" wp14:anchorId="678644BB" wp14:editId="030017BD">
            <wp:extent cx="5940425" cy="3150870"/>
            <wp:effectExtent l="0" t="0" r="3175" b="0"/>
            <wp:docPr id="1742252718" name="Kép 1" descr="A képen szöveg, képernyőkép, sor, Párhuzamos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252718" name="Kép 1" descr="A képen szöveg, képernyőkép, sor, Párhuzamos látható&#10;&#10;Előfordulhat, hogy a mesterséges intelligencia által létrehozott tartalom helytelen."/>
                    <pic:cNvPicPr/>
                  </pic:nvPicPr>
                  <pic:blipFill>
                    <a:blip r:embed="rId24"/>
                    <a:stretch>
                      <a:fillRect/>
                    </a:stretch>
                  </pic:blipFill>
                  <pic:spPr>
                    <a:xfrm>
                      <a:off x="0" y="0"/>
                      <a:ext cx="5940425" cy="3150870"/>
                    </a:xfrm>
                    <a:prstGeom prst="rect">
                      <a:avLst/>
                    </a:prstGeom>
                  </pic:spPr>
                </pic:pic>
              </a:graphicData>
            </a:graphic>
          </wp:inline>
        </w:drawing>
      </w:r>
    </w:p>
    <w:p w14:paraId="1D98D1A9" w14:textId="1A67BA14" w:rsidR="00484365" w:rsidRPr="00E56F21" w:rsidRDefault="5E04AD7D" w:rsidP="5E04AD7D">
      <w:pPr>
        <w:spacing w:before="240"/>
        <w:jc w:val="both"/>
        <w:rPr>
          <w:rFonts w:ascii="Times New Roman" w:eastAsia="Times New Roman" w:hAnsi="Times New Roman" w:cs="Times New Roman"/>
          <w:sz w:val="26"/>
          <w:szCs w:val="26"/>
          <w:lang w:eastAsia="hu-HU"/>
        </w:rPr>
      </w:pPr>
      <w:r w:rsidRPr="5E04AD7D">
        <w:rPr>
          <w:rFonts w:ascii="Times New Roman" w:eastAsia="Times New Roman" w:hAnsi="Times New Roman" w:cs="Times New Roman"/>
          <w:sz w:val="26"/>
          <w:szCs w:val="26"/>
          <w:lang w:eastAsia="hu-HU"/>
        </w:rPr>
        <w:t xml:space="preserve">A </w:t>
      </w:r>
      <w:r w:rsidRPr="5E04AD7D">
        <w:rPr>
          <w:rFonts w:ascii="Times New Roman" w:eastAsia="Times New Roman" w:hAnsi="Times New Roman" w:cs="Times New Roman"/>
          <w:b/>
          <w:bCs/>
          <w:sz w:val="26"/>
          <w:szCs w:val="26"/>
          <w:lang w:eastAsia="hu-HU"/>
        </w:rPr>
        <w:t>költségvetési szervek kiadásai</w:t>
      </w:r>
      <w:r w:rsidRPr="5E04AD7D">
        <w:rPr>
          <w:rFonts w:ascii="Times New Roman" w:eastAsia="Times New Roman" w:hAnsi="Times New Roman" w:cs="Times New Roman"/>
          <w:sz w:val="26"/>
          <w:szCs w:val="26"/>
          <w:lang w:eastAsia="hu-HU"/>
        </w:rPr>
        <w:t xml:space="preserve"> </w:t>
      </w:r>
      <w:r w:rsidR="00947C58" w:rsidRPr="00947C58">
        <w:rPr>
          <w:rFonts w:ascii="Times New Roman" w:eastAsia="Times New Roman" w:hAnsi="Times New Roman" w:cs="Times New Roman"/>
          <w:sz w:val="26"/>
          <w:szCs w:val="26"/>
          <w:lang w:eastAsia="hu-HU"/>
        </w:rPr>
        <w:t>mérlegsoron 2026 első három hónapjában 2783,0</w:t>
      </w:r>
      <w:r w:rsidR="00947C58">
        <w:rPr>
          <w:rFonts w:ascii="Times New Roman" w:eastAsia="Times New Roman" w:hAnsi="Times New Roman" w:cs="Times New Roman"/>
          <w:sz w:val="26"/>
          <w:szCs w:val="26"/>
          <w:lang w:eastAsia="hu-HU"/>
        </w:rPr>
        <w:t> </w:t>
      </w:r>
      <w:r w:rsidR="00947C58" w:rsidRPr="00947C58">
        <w:rPr>
          <w:rFonts w:ascii="Times New Roman" w:eastAsia="Times New Roman" w:hAnsi="Times New Roman" w:cs="Times New Roman"/>
          <w:sz w:val="26"/>
          <w:szCs w:val="26"/>
          <w:lang w:eastAsia="hu-HU"/>
        </w:rPr>
        <w:t>milliárd forint kiadás teljesült, mely 30,4%-kal magasabb az előző év azonos időszakának kiadásaihoz képest. A kiadásból 1941,0 milliárd forint a személyi juttatásokra és munkaadókat terhelő járulékokra kifizetett összeg. Ez tartalmazza a fegyveres és a</w:t>
      </w:r>
      <w:r w:rsidR="00947C58">
        <w:rPr>
          <w:rFonts w:ascii="Times New Roman" w:eastAsia="Times New Roman" w:hAnsi="Times New Roman" w:cs="Times New Roman"/>
          <w:sz w:val="26"/>
          <w:szCs w:val="26"/>
          <w:lang w:eastAsia="hu-HU"/>
        </w:rPr>
        <w:t> </w:t>
      </w:r>
      <w:r w:rsidR="00947C58" w:rsidRPr="00947C58">
        <w:rPr>
          <w:rFonts w:ascii="Times New Roman" w:eastAsia="Times New Roman" w:hAnsi="Times New Roman" w:cs="Times New Roman"/>
          <w:sz w:val="26"/>
          <w:szCs w:val="26"/>
          <w:lang w:eastAsia="hu-HU"/>
        </w:rPr>
        <w:t>rendvédelmi feladatokat ellátó szervek részére kifizetett 2026. évi szolgálati juttatás („fegyverpénz”) összegét is</w:t>
      </w:r>
      <w:r w:rsidRPr="5E04AD7D">
        <w:rPr>
          <w:rFonts w:ascii="Times New Roman" w:eastAsia="Times New Roman" w:hAnsi="Times New Roman" w:cs="Times New Roman"/>
          <w:sz w:val="26"/>
          <w:szCs w:val="26"/>
          <w:lang w:eastAsia="hu-HU"/>
        </w:rPr>
        <w:t>.</w:t>
      </w:r>
    </w:p>
    <w:p w14:paraId="0AB00615" w14:textId="58A885D6" w:rsidR="00484365" w:rsidRPr="00947C58" w:rsidRDefault="5E04AD7D" w:rsidP="5E04AD7D">
      <w:pPr>
        <w:spacing w:before="240"/>
        <w:jc w:val="both"/>
        <w:rPr>
          <w:rFonts w:ascii="Times New Roman" w:eastAsia="Times New Roman" w:hAnsi="Times New Roman" w:cs="Times New Roman"/>
          <w:sz w:val="26"/>
          <w:szCs w:val="26"/>
          <w:lang w:eastAsia="hu-HU"/>
        </w:rPr>
      </w:pPr>
      <w:r w:rsidRPr="5E04AD7D">
        <w:rPr>
          <w:rFonts w:ascii="Times New Roman" w:eastAsia="Times New Roman" w:hAnsi="Times New Roman" w:cs="Times New Roman"/>
          <w:sz w:val="26"/>
          <w:szCs w:val="26"/>
          <w:lang w:eastAsia="hu-HU"/>
        </w:rPr>
        <w:t xml:space="preserve">A </w:t>
      </w:r>
      <w:r w:rsidRPr="5E04AD7D">
        <w:rPr>
          <w:rFonts w:ascii="Times New Roman" w:eastAsia="Times New Roman" w:hAnsi="Times New Roman" w:cs="Times New Roman"/>
          <w:b/>
          <w:bCs/>
          <w:sz w:val="26"/>
          <w:szCs w:val="26"/>
          <w:lang w:eastAsia="hu-HU"/>
        </w:rPr>
        <w:t>szakmai fejezeti kezelésű előirányzatok kiadásai</w:t>
      </w:r>
      <w:r w:rsidRPr="5E04AD7D">
        <w:rPr>
          <w:rFonts w:ascii="Times New Roman" w:eastAsia="Times New Roman" w:hAnsi="Times New Roman" w:cs="Times New Roman"/>
          <w:sz w:val="26"/>
          <w:szCs w:val="26"/>
          <w:lang w:eastAsia="hu-HU"/>
        </w:rPr>
        <w:t xml:space="preserve"> </w:t>
      </w:r>
      <w:r w:rsidR="00947C58" w:rsidRPr="00947C58">
        <w:rPr>
          <w:rFonts w:ascii="Times New Roman" w:eastAsia="Times New Roman" w:hAnsi="Times New Roman" w:cs="Times New Roman"/>
          <w:sz w:val="26"/>
          <w:szCs w:val="26"/>
          <w:lang w:eastAsia="hu-HU"/>
        </w:rPr>
        <w:t>mérlegsoron 2026 első három hónapjában 2709,9 milliárd forint kiadás teljesült, mely több mint kétszerese, mint az előző év azonos időszakának kiadása. Ezen időszak teljesítéséből az alábbi kiadások emelhetők ki</w:t>
      </w:r>
      <w:r w:rsidRPr="5E04AD7D">
        <w:rPr>
          <w:rFonts w:ascii="Times New Roman" w:eastAsia="Times New Roman" w:hAnsi="Times New Roman" w:cs="Times New Roman"/>
          <w:sz w:val="26"/>
          <w:szCs w:val="26"/>
          <w:lang w:eastAsia="hu-HU"/>
        </w:rPr>
        <w:t>:</w:t>
      </w:r>
    </w:p>
    <w:p w14:paraId="1DE60443" w14:textId="77777777" w:rsidR="00484365" w:rsidRPr="00947C58" w:rsidRDefault="00484365" w:rsidP="00484365">
      <w:pPr>
        <w:jc w:val="both"/>
        <w:rPr>
          <w:rFonts w:ascii="Times New Roman" w:eastAsia="Times New Roman" w:hAnsi="Times New Roman" w:cs="Times New Roman"/>
          <w:sz w:val="26"/>
          <w:szCs w:val="26"/>
          <w:lang w:eastAsia="hu-HU"/>
        </w:rPr>
      </w:pPr>
      <w:r w:rsidRPr="00947C58">
        <w:rPr>
          <w:rFonts w:ascii="Times New Roman" w:eastAsia="Times New Roman" w:hAnsi="Times New Roman" w:cs="Times New Roman"/>
          <w:sz w:val="26"/>
          <w:szCs w:val="26"/>
          <w:lang w:eastAsia="hu-HU"/>
        </w:rPr>
        <w:br w:type="page"/>
      </w:r>
    </w:p>
    <w:p w14:paraId="1C3E2D66" w14:textId="77777777" w:rsidR="00484365" w:rsidRPr="008E4041" w:rsidRDefault="5E04AD7D" w:rsidP="5E04AD7D">
      <w:pPr>
        <w:spacing w:after="120" w:line="240" w:lineRule="auto"/>
        <w:jc w:val="right"/>
        <w:rPr>
          <w:rFonts w:ascii="Times New Roman" w:eastAsia="Times New Roman" w:hAnsi="Times New Roman" w:cs="Times New Roman"/>
          <w:i/>
          <w:iCs/>
          <w:sz w:val="20"/>
          <w:szCs w:val="20"/>
          <w:lang w:eastAsia="hu-HU"/>
        </w:rPr>
      </w:pPr>
      <w:r w:rsidRPr="5E04AD7D">
        <w:rPr>
          <w:rFonts w:ascii="Times New Roman" w:eastAsia="Times New Roman" w:hAnsi="Times New Roman" w:cs="Times New Roman"/>
          <w:i/>
          <w:iCs/>
          <w:sz w:val="20"/>
          <w:szCs w:val="20"/>
          <w:lang w:eastAsia="hu-HU"/>
        </w:rPr>
        <w:lastRenderedPageBreak/>
        <w:t>milliárd forint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51"/>
        <w:gridCol w:w="992"/>
      </w:tblGrid>
      <w:tr w:rsidR="00947C58" w:rsidRPr="008E4041" w14:paraId="165EDCFB" w14:textId="77777777" w:rsidTr="28F9800E">
        <w:trPr>
          <w:trHeight w:val="283"/>
        </w:trPr>
        <w:tc>
          <w:tcPr>
            <w:tcW w:w="8251" w:type="dxa"/>
            <w:tcMar>
              <w:top w:w="0" w:type="dxa"/>
              <w:left w:w="108" w:type="dxa"/>
              <w:bottom w:w="0" w:type="dxa"/>
              <w:right w:w="108" w:type="dxa"/>
            </w:tcMar>
            <w:vAlign w:val="center"/>
            <w:hideMark/>
          </w:tcPr>
          <w:p w14:paraId="6D2249A8" w14:textId="5E18E1F5" w:rsidR="00947C58" w:rsidRPr="00947C58" w:rsidRDefault="00947C58" w:rsidP="00947C58">
            <w:pPr>
              <w:spacing w:after="0" w:line="240" w:lineRule="auto"/>
              <w:jc w:val="both"/>
              <w:rPr>
                <w:rFonts w:ascii="Times New Roman" w:hAnsi="Times New Roman" w:cs="Times New Roman"/>
                <w:sz w:val="24"/>
                <w:szCs w:val="24"/>
                <w:lang w:eastAsia="hu-HU"/>
              </w:rPr>
            </w:pPr>
            <w:r w:rsidRPr="00947C58">
              <w:rPr>
                <w:rFonts w:ascii="Times New Roman" w:hAnsi="Times New Roman" w:cs="Times New Roman"/>
              </w:rPr>
              <w:t>Normatív finanszírozás (köznevelési célú humánszolgáltatás és működési támogatás, hit- és erkölcstanoktatás és tankönyvtámogatás, illetve szociális, gyermekvédelmi, gyermekjóléti és fogyatékos személyek esélyegyenlőségét elősegítő célelőirányzatok)</w:t>
            </w:r>
          </w:p>
        </w:tc>
        <w:tc>
          <w:tcPr>
            <w:tcW w:w="992" w:type="dxa"/>
            <w:noWrap/>
            <w:tcMar>
              <w:top w:w="0" w:type="dxa"/>
              <w:left w:w="108" w:type="dxa"/>
              <w:bottom w:w="0" w:type="dxa"/>
              <w:right w:w="108" w:type="dxa"/>
            </w:tcMar>
            <w:vAlign w:val="center"/>
          </w:tcPr>
          <w:p w14:paraId="57709DB4" w14:textId="7AF6F24E" w:rsidR="00947C58" w:rsidRPr="00947C58" w:rsidRDefault="00947C58" w:rsidP="00947C58">
            <w:pPr>
              <w:spacing w:after="0" w:line="240" w:lineRule="auto"/>
              <w:jc w:val="right"/>
              <w:rPr>
                <w:rFonts w:ascii="Times New Roman" w:hAnsi="Times New Roman" w:cs="Times New Roman"/>
                <w:sz w:val="24"/>
                <w:szCs w:val="24"/>
                <w:lang w:eastAsia="hu-HU"/>
              </w:rPr>
            </w:pPr>
            <w:r w:rsidRPr="00947C58">
              <w:rPr>
                <w:rFonts w:ascii="Times New Roman" w:hAnsi="Times New Roman" w:cs="Times New Roman"/>
              </w:rPr>
              <w:t>294,9</w:t>
            </w:r>
          </w:p>
        </w:tc>
      </w:tr>
      <w:tr w:rsidR="00947C58" w:rsidRPr="008E4041" w14:paraId="653C7308" w14:textId="77777777" w:rsidTr="28F9800E">
        <w:trPr>
          <w:trHeight w:val="340"/>
        </w:trPr>
        <w:tc>
          <w:tcPr>
            <w:tcW w:w="8251" w:type="dxa"/>
            <w:tcMar>
              <w:top w:w="0" w:type="dxa"/>
              <w:left w:w="108" w:type="dxa"/>
              <w:bottom w:w="0" w:type="dxa"/>
              <w:right w:w="108" w:type="dxa"/>
            </w:tcMar>
            <w:vAlign w:val="center"/>
            <w:hideMark/>
          </w:tcPr>
          <w:p w14:paraId="6E666FF1" w14:textId="0497169D" w:rsidR="00947C58" w:rsidRPr="00947C58" w:rsidRDefault="00947C58" w:rsidP="00947C58">
            <w:pPr>
              <w:spacing w:after="0" w:line="240" w:lineRule="auto"/>
              <w:rPr>
                <w:rFonts w:ascii="Times New Roman" w:hAnsi="Times New Roman" w:cs="Times New Roman"/>
                <w:sz w:val="24"/>
                <w:szCs w:val="24"/>
                <w:lang w:eastAsia="hu-HU"/>
              </w:rPr>
            </w:pPr>
            <w:r w:rsidRPr="00947C58">
              <w:rPr>
                <w:rFonts w:ascii="Times New Roman" w:hAnsi="Times New Roman" w:cs="Times New Roman"/>
              </w:rPr>
              <w:t>Nem állami felsőoktatási intézmények támogatása</w:t>
            </w:r>
          </w:p>
        </w:tc>
        <w:tc>
          <w:tcPr>
            <w:tcW w:w="992" w:type="dxa"/>
            <w:noWrap/>
            <w:tcMar>
              <w:top w:w="0" w:type="dxa"/>
              <w:left w:w="108" w:type="dxa"/>
              <w:bottom w:w="0" w:type="dxa"/>
              <w:right w:w="108" w:type="dxa"/>
            </w:tcMar>
            <w:vAlign w:val="center"/>
          </w:tcPr>
          <w:p w14:paraId="6AE16DC1" w14:textId="65EC6078" w:rsidR="00947C58" w:rsidRPr="00947C58" w:rsidRDefault="00947C58" w:rsidP="00947C58">
            <w:pPr>
              <w:spacing w:after="0" w:line="240" w:lineRule="auto"/>
              <w:jc w:val="right"/>
              <w:rPr>
                <w:rFonts w:ascii="Times New Roman" w:hAnsi="Times New Roman" w:cs="Times New Roman"/>
                <w:sz w:val="24"/>
                <w:szCs w:val="24"/>
                <w:lang w:eastAsia="hu-HU"/>
              </w:rPr>
            </w:pPr>
            <w:r w:rsidRPr="00947C58">
              <w:rPr>
                <w:rFonts w:ascii="Times New Roman" w:hAnsi="Times New Roman" w:cs="Times New Roman"/>
              </w:rPr>
              <w:t>243,0</w:t>
            </w:r>
          </w:p>
        </w:tc>
      </w:tr>
      <w:tr w:rsidR="00947C58" w:rsidRPr="008E4041" w14:paraId="3C01C8B1" w14:textId="77777777" w:rsidTr="28F9800E">
        <w:trPr>
          <w:trHeight w:val="283"/>
        </w:trPr>
        <w:tc>
          <w:tcPr>
            <w:tcW w:w="8251" w:type="dxa"/>
            <w:tcMar>
              <w:top w:w="0" w:type="dxa"/>
              <w:left w:w="108" w:type="dxa"/>
              <w:bottom w:w="0" w:type="dxa"/>
              <w:right w:w="108" w:type="dxa"/>
            </w:tcMar>
            <w:vAlign w:val="center"/>
          </w:tcPr>
          <w:p w14:paraId="4BB1C2C8" w14:textId="35E14CE8" w:rsidR="00947C58" w:rsidRPr="00947C58" w:rsidRDefault="00947C58" w:rsidP="00947C58">
            <w:pPr>
              <w:spacing w:after="0" w:line="240" w:lineRule="auto"/>
              <w:jc w:val="both"/>
              <w:rPr>
                <w:rFonts w:ascii="Times New Roman" w:hAnsi="Times New Roman" w:cs="Times New Roman"/>
                <w:sz w:val="24"/>
                <w:szCs w:val="24"/>
                <w:lang w:eastAsia="hu-HU"/>
              </w:rPr>
            </w:pPr>
            <w:r w:rsidRPr="00947C58">
              <w:rPr>
                <w:rFonts w:ascii="Times New Roman" w:hAnsi="Times New Roman" w:cs="Times New Roman"/>
              </w:rPr>
              <w:t>Turisztikai fejlesztési feladatok</w:t>
            </w:r>
          </w:p>
        </w:tc>
        <w:tc>
          <w:tcPr>
            <w:tcW w:w="992" w:type="dxa"/>
            <w:noWrap/>
            <w:tcMar>
              <w:top w:w="0" w:type="dxa"/>
              <w:left w:w="108" w:type="dxa"/>
              <w:bottom w:w="0" w:type="dxa"/>
              <w:right w:w="108" w:type="dxa"/>
            </w:tcMar>
            <w:vAlign w:val="center"/>
          </w:tcPr>
          <w:p w14:paraId="7D8A418D" w14:textId="62069DA0" w:rsidR="00947C58" w:rsidRPr="00947C58" w:rsidRDefault="00947C58" w:rsidP="00947C58">
            <w:pPr>
              <w:spacing w:after="0" w:line="240" w:lineRule="auto"/>
              <w:jc w:val="right"/>
              <w:rPr>
                <w:rFonts w:ascii="Times New Roman" w:hAnsi="Times New Roman" w:cs="Times New Roman"/>
                <w:sz w:val="24"/>
                <w:szCs w:val="24"/>
                <w:lang w:eastAsia="hu-HU"/>
              </w:rPr>
            </w:pPr>
            <w:r w:rsidRPr="00947C58">
              <w:rPr>
                <w:rFonts w:ascii="Times New Roman" w:hAnsi="Times New Roman" w:cs="Times New Roman"/>
              </w:rPr>
              <w:t>96,9</w:t>
            </w:r>
          </w:p>
        </w:tc>
      </w:tr>
      <w:tr w:rsidR="00947C58" w:rsidRPr="008E4041" w14:paraId="43EADCD2" w14:textId="77777777" w:rsidTr="28F9800E">
        <w:trPr>
          <w:trHeight w:val="283"/>
        </w:trPr>
        <w:tc>
          <w:tcPr>
            <w:tcW w:w="8251" w:type="dxa"/>
            <w:tcMar>
              <w:top w:w="0" w:type="dxa"/>
              <w:left w:w="108" w:type="dxa"/>
              <w:bottom w:w="0" w:type="dxa"/>
              <w:right w:w="108" w:type="dxa"/>
            </w:tcMar>
            <w:vAlign w:val="center"/>
          </w:tcPr>
          <w:p w14:paraId="4198CF34" w14:textId="6C0175C3" w:rsidR="00947C58" w:rsidRPr="00947C58" w:rsidRDefault="00947C58" w:rsidP="00947C58">
            <w:pPr>
              <w:spacing w:after="0" w:line="240" w:lineRule="auto"/>
              <w:jc w:val="both"/>
              <w:rPr>
                <w:rFonts w:ascii="Times New Roman" w:hAnsi="Times New Roman" w:cs="Times New Roman"/>
                <w:sz w:val="24"/>
                <w:szCs w:val="24"/>
                <w:lang w:eastAsia="hu-HU"/>
              </w:rPr>
            </w:pPr>
            <w:r w:rsidRPr="00947C58">
              <w:rPr>
                <w:rFonts w:ascii="Times New Roman" w:hAnsi="Times New Roman" w:cs="Times New Roman"/>
              </w:rPr>
              <w:t>Területfejlesztési Alap</w:t>
            </w:r>
          </w:p>
        </w:tc>
        <w:tc>
          <w:tcPr>
            <w:tcW w:w="992" w:type="dxa"/>
            <w:noWrap/>
            <w:tcMar>
              <w:top w:w="0" w:type="dxa"/>
              <w:left w:w="108" w:type="dxa"/>
              <w:bottom w:w="0" w:type="dxa"/>
              <w:right w:w="108" w:type="dxa"/>
            </w:tcMar>
            <w:vAlign w:val="center"/>
          </w:tcPr>
          <w:p w14:paraId="1E51D1D0" w14:textId="6578B6BF" w:rsidR="00947C58" w:rsidRPr="00947C58" w:rsidRDefault="00947C58" w:rsidP="00947C58">
            <w:pPr>
              <w:spacing w:after="0" w:line="240" w:lineRule="auto"/>
              <w:jc w:val="right"/>
              <w:rPr>
                <w:rFonts w:ascii="Times New Roman" w:hAnsi="Times New Roman" w:cs="Times New Roman"/>
                <w:sz w:val="24"/>
                <w:szCs w:val="24"/>
                <w:lang w:eastAsia="hu-HU"/>
              </w:rPr>
            </w:pPr>
            <w:r w:rsidRPr="00947C58">
              <w:rPr>
                <w:rFonts w:ascii="Times New Roman" w:hAnsi="Times New Roman" w:cs="Times New Roman"/>
              </w:rPr>
              <w:t>93,3</w:t>
            </w:r>
          </w:p>
        </w:tc>
      </w:tr>
      <w:tr w:rsidR="00947C58" w:rsidRPr="008E4041" w14:paraId="3B84CF10" w14:textId="77777777" w:rsidTr="28F9800E">
        <w:trPr>
          <w:trHeight w:val="283"/>
        </w:trPr>
        <w:tc>
          <w:tcPr>
            <w:tcW w:w="8251" w:type="dxa"/>
            <w:tcMar>
              <w:top w:w="0" w:type="dxa"/>
              <w:left w:w="108" w:type="dxa"/>
              <w:bottom w:w="0" w:type="dxa"/>
              <w:right w:w="108" w:type="dxa"/>
            </w:tcMar>
            <w:vAlign w:val="center"/>
          </w:tcPr>
          <w:p w14:paraId="0FD0169A" w14:textId="386ED925" w:rsidR="00947C58" w:rsidRPr="00947C58" w:rsidRDefault="00947C58" w:rsidP="00947C58">
            <w:pPr>
              <w:spacing w:after="0" w:line="240" w:lineRule="auto"/>
              <w:jc w:val="both"/>
              <w:rPr>
                <w:rFonts w:ascii="Times New Roman" w:hAnsi="Times New Roman" w:cs="Times New Roman"/>
                <w:sz w:val="24"/>
                <w:szCs w:val="24"/>
                <w:lang w:eastAsia="hu-HU"/>
              </w:rPr>
            </w:pPr>
            <w:r w:rsidRPr="00947C58">
              <w:rPr>
                <w:rFonts w:ascii="Times New Roman" w:hAnsi="Times New Roman" w:cs="Times New Roman"/>
              </w:rPr>
              <w:t>Közúthálózat fenntartás és működtetés</w:t>
            </w:r>
          </w:p>
        </w:tc>
        <w:tc>
          <w:tcPr>
            <w:tcW w:w="992" w:type="dxa"/>
            <w:noWrap/>
            <w:tcMar>
              <w:top w:w="0" w:type="dxa"/>
              <w:left w:w="108" w:type="dxa"/>
              <w:bottom w:w="0" w:type="dxa"/>
              <w:right w:w="108" w:type="dxa"/>
            </w:tcMar>
            <w:vAlign w:val="center"/>
          </w:tcPr>
          <w:p w14:paraId="3CFFC712" w14:textId="35A3291E" w:rsidR="00947C58" w:rsidRPr="00947C58" w:rsidRDefault="00947C58" w:rsidP="00947C58">
            <w:pPr>
              <w:spacing w:after="0" w:line="240" w:lineRule="auto"/>
              <w:jc w:val="right"/>
              <w:rPr>
                <w:rFonts w:ascii="Times New Roman" w:hAnsi="Times New Roman" w:cs="Times New Roman"/>
                <w:sz w:val="24"/>
                <w:szCs w:val="24"/>
                <w:lang w:eastAsia="hu-HU"/>
              </w:rPr>
            </w:pPr>
            <w:r w:rsidRPr="00947C58">
              <w:rPr>
                <w:rFonts w:ascii="Times New Roman" w:hAnsi="Times New Roman" w:cs="Times New Roman"/>
              </w:rPr>
              <w:t>71,0</w:t>
            </w:r>
          </w:p>
        </w:tc>
      </w:tr>
      <w:tr w:rsidR="00947C58" w:rsidRPr="008E4041" w14:paraId="0C4084D1" w14:textId="77777777" w:rsidTr="28F9800E">
        <w:trPr>
          <w:trHeight w:val="283"/>
        </w:trPr>
        <w:tc>
          <w:tcPr>
            <w:tcW w:w="8251" w:type="dxa"/>
            <w:tcMar>
              <w:top w:w="0" w:type="dxa"/>
              <w:left w:w="108" w:type="dxa"/>
              <w:bottom w:w="0" w:type="dxa"/>
              <w:right w:w="108" w:type="dxa"/>
            </w:tcMar>
            <w:vAlign w:val="center"/>
          </w:tcPr>
          <w:p w14:paraId="394DD88A" w14:textId="2AE98439" w:rsidR="00947C58" w:rsidRPr="00947C58" w:rsidRDefault="00947C58" w:rsidP="00947C58">
            <w:pPr>
              <w:spacing w:after="0" w:line="240" w:lineRule="auto"/>
              <w:jc w:val="both"/>
              <w:rPr>
                <w:rFonts w:ascii="Times New Roman" w:hAnsi="Times New Roman" w:cs="Times New Roman"/>
                <w:sz w:val="24"/>
                <w:szCs w:val="24"/>
                <w:lang w:eastAsia="hu-HU"/>
              </w:rPr>
            </w:pPr>
            <w:r w:rsidRPr="00947C58">
              <w:rPr>
                <w:rFonts w:ascii="Times New Roman" w:hAnsi="Times New Roman" w:cs="Times New Roman"/>
              </w:rPr>
              <w:t>Nemzeti agrárkár-enyhítés</w:t>
            </w:r>
          </w:p>
        </w:tc>
        <w:tc>
          <w:tcPr>
            <w:tcW w:w="992" w:type="dxa"/>
            <w:noWrap/>
            <w:tcMar>
              <w:top w:w="0" w:type="dxa"/>
              <w:left w:w="108" w:type="dxa"/>
              <w:bottom w:w="0" w:type="dxa"/>
              <w:right w:w="108" w:type="dxa"/>
            </w:tcMar>
            <w:vAlign w:val="center"/>
          </w:tcPr>
          <w:p w14:paraId="7A78ED9C" w14:textId="328EA467" w:rsidR="00947C58" w:rsidRPr="00947C58" w:rsidRDefault="00947C58" w:rsidP="00947C58">
            <w:pPr>
              <w:spacing w:after="0" w:line="240" w:lineRule="auto"/>
              <w:jc w:val="right"/>
              <w:rPr>
                <w:rFonts w:ascii="Times New Roman" w:hAnsi="Times New Roman" w:cs="Times New Roman"/>
                <w:sz w:val="24"/>
                <w:szCs w:val="24"/>
                <w:lang w:eastAsia="hu-HU"/>
              </w:rPr>
            </w:pPr>
            <w:r w:rsidRPr="00947C58">
              <w:rPr>
                <w:rFonts w:ascii="Times New Roman" w:hAnsi="Times New Roman" w:cs="Times New Roman"/>
              </w:rPr>
              <w:t>35,8</w:t>
            </w:r>
          </w:p>
        </w:tc>
      </w:tr>
      <w:tr w:rsidR="00947C58" w:rsidRPr="008E4041" w14:paraId="19B728EA" w14:textId="77777777" w:rsidTr="28F9800E">
        <w:trPr>
          <w:trHeight w:val="283"/>
        </w:trPr>
        <w:tc>
          <w:tcPr>
            <w:tcW w:w="8251" w:type="dxa"/>
            <w:tcMar>
              <w:top w:w="0" w:type="dxa"/>
              <w:left w:w="108" w:type="dxa"/>
              <w:bottom w:w="0" w:type="dxa"/>
              <w:right w:w="108" w:type="dxa"/>
            </w:tcMar>
            <w:vAlign w:val="center"/>
          </w:tcPr>
          <w:p w14:paraId="0E880990" w14:textId="0396A68B" w:rsidR="00947C58" w:rsidRPr="00947C58" w:rsidRDefault="00947C58" w:rsidP="00947C58">
            <w:pPr>
              <w:spacing w:after="0" w:line="240" w:lineRule="auto"/>
              <w:jc w:val="both"/>
              <w:rPr>
                <w:rFonts w:ascii="Times New Roman" w:hAnsi="Times New Roman" w:cs="Times New Roman"/>
                <w:sz w:val="24"/>
                <w:szCs w:val="24"/>
                <w:lang w:eastAsia="hu-HU"/>
              </w:rPr>
            </w:pPr>
            <w:r w:rsidRPr="00947C58">
              <w:rPr>
                <w:rFonts w:ascii="Times New Roman" w:hAnsi="Times New Roman" w:cs="Times New Roman"/>
              </w:rPr>
              <w:t>Egyházi alapintézmény működés, SZJA rendelkezés és kiegészítése</w:t>
            </w:r>
          </w:p>
        </w:tc>
        <w:tc>
          <w:tcPr>
            <w:tcW w:w="992" w:type="dxa"/>
            <w:noWrap/>
            <w:tcMar>
              <w:top w:w="0" w:type="dxa"/>
              <w:left w:w="108" w:type="dxa"/>
              <w:bottom w:w="0" w:type="dxa"/>
              <w:right w:w="108" w:type="dxa"/>
            </w:tcMar>
            <w:vAlign w:val="center"/>
          </w:tcPr>
          <w:p w14:paraId="13E38021" w14:textId="519D0185" w:rsidR="00947C58" w:rsidRPr="00947C58" w:rsidRDefault="00947C58" w:rsidP="00947C58">
            <w:pPr>
              <w:spacing w:after="0" w:line="240" w:lineRule="auto"/>
              <w:jc w:val="right"/>
              <w:rPr>
                <w:rFonts w:ascii="Times New Roman" w:hAnsi="Times New Roman" w:cs="Times New Roman"/>
                <w:sz w:val="24"/>
                <w:szCs w:val="24"/>
                <w:lang w:eastAsia="hu-HU"/>
              </w:rPr>
            </w:pPr>
            <w:r w:rsidRPr="00947C58">
              <w:rPr>
                <w:rFonts w:ascii="Times New Roman" w:hAnsi="Times New Roman" w:cs="Times New Roman"/>
              </w:rPr>
              <w:t>32,3</w:t>
            </w:r>
          </w:p>
        </w:tc>
      </w:tr>
      <w:tr w:rsidR="00947C58" w:rsidRPr="008E4041" w14:paraId="245CFEE2" w14:textId="77777777" w:rsidTr="28F9800E">
        <w:trPr>
          <w:trHeight w:val="283"/>
        </w:trPr>
        <w:tc>
          <w:tcPr>
            <w:tcW w:w="8251" w:type="dxa"/>
            <w:tcMar>
              <w:top w:w="0" w:type="dxa"/>
              <w:left w:w="108" w:type="dxa"/>
              <w:bottom w:w="0" w:type="dxa"/>
              <w:right w:w="108" w:type="dxa"/>
            </w:tcMar>
            <w:vAlign w:val="center"/>
          </w:tcPr>
          <w:p w14:paraId="575A9507" w14:textId="120451D1" w:rsidR="00947C58" w:rsidRPr="00947C58" w:rsidRDefault="00947C58" w:rsidP="00947C58">
            <w:pPr>
              <w:spacing w:after="0" w:line="240" w:lineRule="auto"/>
              <w:jc w:val="both"/>
              <w:rPr>
                <w:rFonts w:ascii="Times New Roman" w:hAnsi="Times New Roman" w:cs="Times New Roman"/>
                <w:sz w:val="24"/>
                <w:szCs w:val="24"/>
                <w:lang w:eastAsia="hu-HU"/>
              </w:rPr>
            </w:pPr>
            <w:r w:rsidRPr="00947C58">
              <w:rPr>
                <w:rFonts w:ascii="Times New Roman" w:hAnsi="Times New Roman" w:cs="Times New Roman"/>
              </w:rPr>
              <w:t>HUN-REN Magyar Kutatási Hálózat támogatása</w:t>
            </w:r>
          </w:p>
        </w:tc>
        <w:tc>
          <w:tcPr>
            <w:tcW w:w="992" w:type="dxa"/>
            <w:noWrap/>
            <w:tcMar>
              <w:top w:w="0" w:type="dxa"/>
              <w:left w:w="108" w:type="dxa"/>
              <w:bottom w:w="0" w:type="dxa"/>
              <w:right w:w="108" w:type="dxa"/>
            </w:tcMar>
            <w:vAlign w:val="center"/>
          </w:tcPr>
          <w:p w14:paraId="491421AE" w14:textId="48367D83" w:rsidR="00947C58" w:rsidRPr="00947C58" w:rsidRDefault="00947C58" w:rsidP="00947C58">
            <w:pPr>
              <w:spacing w:after="0" w:line="240" w:lineRule="auto"/>
              <w:jc w:val="right"/>
              <w:rPr>
                <w:rFonts w:ascii="Times New Roman" w:hAnsi="Times New Roman" w:cs="Times New Roman"/>
                <w:sz w:val="24"/>
                <w:szCs w:val="24"/>
                <w:lang w:eastAsia="hu-HU"/>
              </w:rPr>
            </w:pPr>
            <w:r w:rsidRPr="00947C58">
              <w:rPr>
                <w:rFonts w:ascii="Times New Roman" w:hAnsi="Times New Roman" w:cs="Times New Roman"/>
              </w:rPr>
              <w:t>27,8</w:t>
            </w:r>
          </w:p>
        </w:tc>
      </w:tr>
    </w:tbl>
    <w:p w14:paraId="032A8560" w14:textId="1151BE9C" w:rsidR="00484365" w:rsidRPr="00A61DE1" w:rsidRDefault="5E04AD7D" w:rsidP="5E04AD7D">
      <w:pPr>
        <w:spacing w:before="160" w:after="0"/>
        <w:jc w:val="both"/>
        <w:rPr>
          <w:rFonts w:ascii="Times New Roman" w:eastAsia="Times New Roman" w:hAnsi="Times New Roman" w:cs="Times New Roman"/>
          <w:sz w:val="26"/>
          <w:szCs w:val="26"/>
          <w:lang w:eastAsia="hu-HU"/>
        </w:rPr>
      </w:pPr>
      <w:r w:rsidRPr="5E04AD7D">
        <w:rPr>
          <w:rFonts w:ascii="Times New Roman" w:eastAsia="Times New Roman" w:hAnsi="Times New Roman" w:cs="Times New Roman"/>
          <w:sz w:val="26"/>
          <w:szCs w:val="26"/>
          <w:lang w:eastAsia="hu-HU"/>
        </w:rPr>
        <w:t xml:space="preserve">A 2026. év első </w:t>
      </w:r>
      <w:r w:rsidR="00947C58" w:rsidRPr="00947C58">
        <w:rPr>
          <w:rFonts w:ascii="Times New Roman" w:eastAsia="Times New Roman" w:hAnsi="Times New Roman" w:cs="Times New Roman"/>
          <w:sz w:val="26"/>
          <w:szCs w:val="26"/>
          <w:lang w:eastAsia="hu-HU"/>
        </w:rPr>
        <w:t>háromhavi, 5492,9 milliárd forint összegű kiadásának megoszlását a</w:t>
      </w:r>
      <w:r w:rsidR="00947C58">
        <w:rPr>
          <w:rFonts w:ascii="Times New Roman" w:eastAsia="Times New Roman" w:hAnsi="Times New Roman" w:cs="Times New Roman"/>
          <w:sz w:val="26"/>
          <w:szCs w:val="26"/>
          <w:lang w:eastAsia="hu-HU"/>
        </w:rPr>
        <w:t> </w:t>
      </w:r>
      <w:r w:rsidR="00947C58" w:rsidRPr="00947C58">
        <w:rPr>
          <w:rFonts w:ascii="Times New Roman" w:eastAsia="Times New Roman" w:hAnsi="Times New Roman" w:cs="Times New Roman"/>
          <w:sz w:val="26"/>
          <w:szCs w:val="26"/>
          <w:lang w:eastAsia="hu-HU"/>
        </w:rPr>
        <w:t>következő grafikon szemlélteti</w:t>
      </w:r>
      <w:r w:rsidRPr="5E04AD7D">
        <w:rPr>
          <w:rFonts w:ascii="Times New Roman" w:eastAsia="Times New Roman" w:hAnsi="Times New Roman" w:cs="Times New Roman"/>
          <w:sz w:val="26"/>
          <w:szCs w:val="26"/>
          <w:lang w:eastAsia="hu-HU"/>
        </w:rPr>
        <w:t>:</w:t>
      </w:r>
    </w:p>
    <w:p w14:paraId="3599A16D" w14:textId="6C571AB8" w:rsidR="00B056CC" w:rsidRDefault="00902461" w:rsidP="009C33A4">
      <w:pPr>
        <w:spacing w:before="240"/>
        <w:jc w:val="center"/>
        <w:rPr>
          <w:rFonts w:ascii="Times New Roman" w:eastAsia="Times New Roman" w:hAnsi="Times New Roman" w:cs="Times New Roman"/>
          <w:b/>
          <w:sz w:val="26"/>
          <w:szCs w:val="26"/>
        </w:rPr>
      </w:pPr>
      <w:r w:rsidRPr="00902461">
        <w:rPr>
          <w:rFonts w:ascii="Times New Roman" w:eastAsia="Times New Roman" w:hAnsi="Times New Roman" w:cs="Times New Roman"/>
          <w:b/>
          <w:noProof/>
          <w:sz w:val="26"/>
          <w:szCs w:val="26"/>
        </w:rPr>
        <w:drawing>
          <wp:inline distT="0" distB="0" distL="0" distR="0" wp14:anchorId="64A8FB27" wp14:editId="5998C8D5">
            <wp:extent cx="5940425" cy="3427730"/>
            <wp:effectExtent l="0" t="0" r="3175" b="1270"/>
            <wp:docPr id="709801711" name="Kép 1" descr="A képen szöveg, képernyőkép, sor, Diagram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801711" name="Kép 1" descr="A képen szöveg, képernyőkép, sor, Diagram látható&#10;&#10;Előfordulhat, hogy a mesterséges intelligencia által létrehozott tartalom helytelen."/>
                    <pic:cNvPicPr/>
                  </pic:nvPicPr>
                  <pic:blipFill>
                    <a:blip r:embed="rId25"/>
                    <a:stretch>
                      <a:fillRect/>
                    </a:stretch>
                  </pic:blipFill>
                  <pic:spPr>
                    <a:xfrm>
                      <a:off x="0" y="0"/>
                      <a:ext cx="5940425" cy="3427730"/>
                    </a:xfrm>
                    <a:prstGeom prst="rect">
                      <a:avLst/>
                    </a:prstGeom>
                  </pic:spPr>
                </pic:pic>
              </a:graphicData>
            </a:graphic>
          </wp:inline>
        </w:drawing>
      </w:r>
    </w:p>
    <w:p w14:paraId="7B768C4E" w14:textId="3E063542" w:rsidR="00B155FE" w:rsidRPr="00377D59" w:rsidRDefault="5E04AD7D" w:rsidP="5E04AD7D">
      <w:pPr>
        <w:keepNext/>
        <w:numPr>
          <w:ilvl w:val="0"/>
          <w:numId w:val="3"/>
        </w:numPr>
        <w:ind w:left="714" w:hanging="357"/>
        <w:jc w:val="both"/>
        <w:outlineLvl w:val="2"/>
        <w:rPr>
          <w:rFonts w:ascii="Times New Roman" w:eastAsia="Times New Roman" w:hAnsi="Times New Roman" w:cs="Times New Roman"/>
          <w:b/>
          <w:bCs/>
          <w:smallCaps/>
          <w:sz w:val="28"/>
          <w:szCs w:val="28"/>
          <w:lang w:eastAsia="hu-HU"/>
        </w:rPr>
      </w:pPr>
      <w:r w:rsidRPr="5E04AD7D">
        <w:rPr>
          <w:rFonts w:ascii="Times New Roman" w:eastAsia="Times New Roman" w:hAnsi="Times New Roman" w:cs="Times New Roman"/>
          <w:b/>
          <w:bCs/>
          <w:smallCaps/>
          <w:sz w:val="28"/>
          <w:szCs w:val="28"/>
          <w:lang w:eastAsia="hu-HU"/>
        </w:rPr>
        <w:t>Kamategyenleg</w:t>
      </w:r>
    </w:p>
    <w:p w14:paraId="0047F521" w14:textId="418525E9" w:rsidR="003F3151" w:rsidRDefault="5E04AD7D" w:rsidP="5E04AD7D">
      <w:pPr>
        <w:jc w:val="both"/>
        <w:rPr>
          <w:rFonts w:ascii="Times New Roman" w:hAnsi="Times New Roman" w:cs="Times New Roman"/>
          <w:sz w:val="26"/>
          <w:szCs w:val="26"/>
        </w:rPr>
      </w:pPr>
      <w:bookmarkStart w:id="6" w:name="_Hlk211416201"/>
      <w:r w:rsidRPr="5E04AD7D">
        <w:rPr>
          <w:rFonts w:ascii="Times New Roman" w:hAnsi="Times New Roman" w:cs="Times New Roman"/>
          <w:sz w:val="26"/>
          <w:szCs w:val="26"/>
          <w:lang w:eastAsia="hu-HU"/>
        </w:rPr>
        <w:t xml:space="preserve">A bevételek és kiadások egyenlegeként adódó </w:t>
      </w:r>
      <w:r w:rsidR="00902461" w:rsidRPr="00902461">
        <w:rPr>
          <w:rFonts w:ascii="Times New Roman" w:hAnsi="Times New Roman" w:cs="Times New Roman"/>
          <w:sz w:val="26"/>
          <w:szCs w:val="26"/>
          <w:lang w:eastAsia="hu-HU"/>
        </w:rPr>
        <w:t>669,5 milliárd forint összegű nettó kamatkiadás 2026</w:t>
      </w:r>
      <w:r w:rsidR="00753677">
        <w:rPr>
          <w:rFonts w:ascii="Times New Roman" w:hAnsi="Times New Roman" w:cs="Times New Roman"/>
          <w:sz w:val="26"/>
          <w:szCs w:val="26"/>
          <w:lang w:eastAsia="hu-HU"/>
        </w:rPr>
        <w:t>.</w:t>
      </w:r>
      <w:r w:rsidR="00902461" w:rsidRPr="00902461">
        <w:rPr>
          <w:rFonts w:ascii="Times New Roman" w:hAnsi="Times New Roman" w:cs="Times New Roman"/>
          <w:sz w:val="26"/>
          <w:szCs w:val="26"/>
          <w:lang w:eastAsia="hu-HU"/>
        </w:rPr>
        <w:t xml:space="preserve"> március végéig 786,1 milliárd forinttal lett alacsonyabb az előző évhez képest, mely az eltérő hozamokkal és finanszírozási szerkezettel magyarázható</w:t>
      </w:r>
      <w:r w:rsidRPr="5E04AD7D">
        <w:rPr>
          <w:rFonts w:ascii="Times New Roman" w:hAnsi="Times New Roman" w:cs="Times New Roman"/>
          <w:sz w:val="26"/>
          <w:szCs w:val="26"/>
        </w:rPr>
        <w:t>.</w:t>
      </w:r>
    </w:p>
    <w:bookmarkEnd w:id="6"/>
    <w:p w14:paraId="1475120F" w14:textId="77777777" w:rsidR="00224E67" w:rsidRDefault="00224E67" w:rsidP="716D41F4">
      <w:pPr>
        <w:jc w:val="both"/>
        <w:rPr>
          <w:rFonts w:ascii="Times New Roman" w:hAnsi="Times New Roman" w:cs="Times New Roman"/>
          <w:sz w:val="26"/>
          <w:szCs w:val="26"/>
        </w:rPr>
      </w:pPr>
    </w:p>
    <w:p w14:paraId="12833000" w14:textId="77777777" w:rsidR="00224E67" w:rsidRDefault="00224E67" w:rsidP="716D41F4">
      <w:pPr>
        <w:jc w:val="both"/>
        <w:rPr>
          <w:rFonts w:ascii="Times New Roman" w:hAnsi="Times New Roman" w:cs="Times New Roman"/>
          <w:sz w:val="26"/>
          <w:szCs w:val="26"/>
        </w:rPr>
      </w:pPr>
    </w:p>
    <w:p w14:paraId="7B768C50" w14:textId="77777777" w:rsidR="00B155FE" w:rsidRPr="00377D59" w:rsidRDefault="00B155FE" w:rsidP="00B155FE">
      <w:pPr>
        <w:tabs>
          <w:tab w:val="left" w:pos="550"/>
        </w:tabs>
        <w:spacing w:before="120" w:after="120" w:line="240" w:lineRule="auto"/>
        <w:jc w:val="both"/>
        <w:rPr>
          <w:rFonts w:ascii="Times New Roman" w:eastAsia="Times New Roman" w:hAnsi="Times New Roman" w:cs="Times New Roman"/>
          <w:caps/>
          <w:sz w:val="26"/>
          <w:szCs w:val="20"/>
          <w:lang w:eastAsia="hu-HU"/>
        </w:rPr>
      </w:pPr>
      <w:r w:rsidRPr="00377D59">
        <w:rPr>
          <w:rFonts w:ascii="Times New Roman" w:eastAsia="Times New Roman" w:hAnsi="Times New Roman" w:cs="Times New Roman"/>
          <w:caps/>
          <w:sz w:val="26"/>
          <w:szCs w:val="20"/>
          <w:lang w:eastAsia="hu-HU"/>
        </w:rPr>
        <w:br w:type="page"/>
      </w:r>
    </w:p>
    <w:p w14:paraId="688B9DA7" w14:textId="77777777" w:rsidR="00C9408B" w:rsidRDefault="5E04AD7D" w:rsidP="5E04AD7D">
      <w:pPr>
        <w:keepNext/>
        <w:spacing w:after="120" w:line="240" w:lineRule="auto"/>
        <w:jc w:val="center"/>
        <w:outlineLvl w:val="3"/>
        <w:rPr>
          <w:rFonts w:ascii="Times New Roman" w:eastAsia="Times New Roman" w:hAnsi="Times New Roman" w:cs="Times New Roman"/>
          <w:b/>
          <w:bCs/>
          <w:caps/>
          <w:sz w:val="26"/>
          <w:szCs w:val="26"/>
          <w:lang w:eastAsia="hu-HU"/>
        </w:rPr>
      </w:pPr>
      <w:r w:rsidRPr="5E04AD7D">
        <w:rPr>
          <w:rFonts w:ascii="Times New Roman" w:eastAsia="Times New Roman" w:hAnsi="Times New Roman" w:cs="Times New Roman"/>
          <w:b/>
          <w:bCs/>
          <w:caps/>
          <w:sz w:val="26"/>
          <w:szCs w:val="26"/>
          <w:lang w:eastAsia="hu-HU"/>
        </w:rPr>
        <w:lastRenderedPageBreak/>
        <w:t>II.</w:t>
      </w:r>
    </w:p>
    <w:p w14:paraId="7B768C51" w14:textId="63BB059C" w:rsidR="00B155FE" w:rsidRPr="00377D59" w:rsidRDefault="5E04AD7D" w:rsidP="5E04AD7D">
      <w:pPr>
        <w:keepNext/>
        <w:spacing w:after="240" w:line="240" w:lineRule="auto"/>
        <w:jc w:val="center"/>
        <w:outlineLvl w:val="3"/>
        <w:rPr>
          <w:rFonts w:ascii="Times New Roman" w:eastAsia="Times New Roman" w:hAnsi="Times New Roman" w:cs="Times New Roman"/>
          <w:b/>
          <w:bCs/>
          <w:caps/>
          <w:sz w:val="26"/>
          <w:szCs w:val="26"/>
          <w:lang w:eastAsia="hu-HU"/>
        </w:rPr>
      </w:pPr>
      <w:r w:rsidRPr="5E04AD7D">
        <w:rPr>
          <w:rFonts w:ascii="Times New Roman" w:eastAsia="Times New Roman" w:hAnsi="Times New Roman" w:cs="Times New Roman"/>
          <w:b/>
          <w:bCs/>
          <w:caps/>
          <w:sz w:val="26"/>
          <w:szCs w:val="26"/>
          <w:lang w:eastAsia="hu-HU"/>
        </w:rPr>
        <w:t>Az államháztartás központi alrendszerének finanszírozása</w:t>
      </w:r>
    </w:p>
    <w:p w14:paraId="401A33AB" w14:textId="2DE8BBE1" w:rsidR="00D424B8" w:rsidRPr="008E6DF0" w:rsidRDefault="5E04AD7D" w:rsidP="5E04AD7D">
      <w:pPr>
        <w:ind w:right="23"/>
        <w:jc w:val="both"/>
        <w:rPr>
          <w:rFonts w:ascii="Times New Roman" w:eastAsia="Times New Roman" w:hAnsi="Times New Roman" w:cs="Times New Roman"/>
          <w:b/>
          <w:bCs/>
          <w:sz w:val="26"/>
          <w:szCs w:val="26"/>
          <w:lang w:eastAsia="hu-HU"/>
        </w:rPr>
      </w:pPr>
      <w:r w:rsidRPr="5E04AD7D">
        <w:rPr>
          <w:rFonts w:ascii="Times New Roman" w:eastAsia="Times New Roman" w:hAnsi="Times New Roman" w:cs="Times New Roman"/>
          <w:sz w:val="26"/>
          <w:szCs w:val="26"/>
          <w:lang w:eastAsia="hu-HU"/>
        </w:rPr>
        <w:t xml:space="preserve">A központi költségvetés adóssága 2026. </w:t>
      </w:r>
      <w:r w:rsidR="00902461" w:rsidRPr="00902461">
        <w:rPr>
          <w:rFonts w:ascii="Times New Roman" w:eastAsia="Times New Roman" w:hAnsi="Times New Roman" w:cs="Times New Roman"/>
          <w:sz w:val="26"/>
          <w:szCs w:val="26"/>
          <w:lang w:eastAsia="hu-HU"/>
        </w:rPr>
        <w:t>március végéig 3977,6</w:t>
      </w:r>
      <w:r w:rsidR="00902461">
        <w:rPr>
          <w:rFonts w:ascii="Times New Roman" w:eastAsia="Times New Roman" w:hAnsi="Times New Roman" w:cs="Times New Roman"/>
          <w:sz w:val="26"/>
          <w:szCs w:val="26"/>
          <w:lang w:eastAsia="hu-HU"/>
        </w:rPr>
        <w:t> </w:t>
      </w:r>
      <w:r w:rsidR="00902461" w:rsidRPr="00902461">
        <w:rPr>
          <w:rFonts w:ascii="Times New Roman" w:eastAsia="Times New Roman" w:hAnsi="Times New Roman" w:cs="Times New Roman"/>
          <w:sz w:val="26"/>
          <w:szCs w:val="26"/>
          <w:lang w:eastAsia="hu-HU"/>
        </w:rPr>
        <w:t>milliárd forinttal növekedett a következő négy tényező eredményeképpen</w:t>
      </w:r>
      <w:r w:rsidRPr="5E04AD7D">
        <w:rPr>
          <w:rFonts w:ascii="Times New Roman" w:eastAsia="Times New Roman" w:hAnsi="Times New Roman" w:cs="Times New Roman"/>
          <w:sz w:val="26"/>
          <w:szCs w:val="26"/>
          <w:lang w:eastAsia="hu-HU"/>
        </w:rPr>
        <w:t>:</w:t>
      </w:r>
    </w:p>
    <w:p w14:paraId="4C985735" w14:textId="77777777" w:rsidR="00902461" w:rsidRPr="00902461" w:rsidRDefault="00902461" w:rsidP="00902461">
      <w:pPr>
        <w:pStyle w:val="Listaszerbekezds"/>
        <w:numPr>
          <w:ilvl w:val="0"/>
          <w:numId w:val="2"/>
        </w:numPr>
        <w:jc w:val="both"/>
        <w:rPr>
          <w:rFonts w:ascii="Times New Roman" w:eastAsia="Times New Roman" w:hAnsi="Times New Roman" w:cs="Times New Roman"/>
          <w:b/>
          <w:bCs/>
          <w:sz w:val="26"/>
          <w:szCs w:val="26"/>
          <w:lang w:eastAsia="hu-HU"/>
        </w:rPr>
      </w:pPr>
      <w:r w:rsidRPr="00902461">
        <w:rPr>
          <w:rFonts w:ascii="Times New Roman" w:eastAsia="Times New Roman" w:hAnsi="Times New Roman" w:cs="Times New Roman"/>
          <w:b/>
          <w:bCs/>
          <w:sz w:val="26"/>
          <w:szCs w:val="26"/>
          <w:lang w:eastAsia="hu-HU"/>
        </w:rPr>
        <w:t xml:space="preserve">Az első tényező a nettó forintkibocsátás, </w:t>
      </w:r>
      <w:r w:rsidRPr="00CC7EB9">
        <w:rPr>
          <w:rFonts w:ascii="Times New Roman" w:eastAsia="Times New Roman" w:hAnsi="Times New Roman" w:cs="Times New Roman"/>
          <w:sz w:val="26"/>
          <w:szCs w:val="26"/>
          <w:lang w:eastAsia="hu-HU"/>
        </w:rPr>
        <w:t>amely 2266,3 milliárd forinttal növelte</w:t>
      </w:r>
      <w:r w:rsidRPr="00902461">
        <w:rPr>
          <w:rFonts w:ascii="Times New Roman" w:eastAsia="Times New Roman" w:hAnsi="Times New Roman" w:cs="Times New Roman"/>
          <w:b/>
          <w:bCs/>
          <w:sz w:val="26"/>
          <w:szCs w:val="26"/>
          <w:lang w:eastAsia="hu-HU"/>
        </w:rPr>
        <w:t xml:space="preserve"> </w:t>
      </w:r>
      <w:r w:rsidRPr="00902461">
        <w:rPr>
          <w:rFonts w:ascii="Times New Roman" w:eastAsia="Times New Roman" w:hAnsi="Times New Roman" w:cs="Times New Roman"/>
          <w:sz w:val="26"/>
          <w:szCs w:val="26"/>
          <w:lang w:eastAsia="hu-HU"/>
        </w:rPr>
        <w:t>az adósságot, így segítette a költségvetési hiány egy részének finanszírozását.</w:t>
      </w:r>
    </w:p>
    <w:p w14:paraId="0B566366" w14:textId="145AE3C3" w:rsidR="00902461" w:rsidRPr="00902461" w:rsidRDefault="00902461" w:rsidP="00902461">
      <w:pPr>
        <w:pStyle w:val="Listaszerbekezds"/>
        <w:numPr>
          <w:ilvl w:val="0"/>
          <w:numId w:val="2"/>
        </w:numPr>
        <w:jc w:val="both"/>
        <w:rPr>
          <w:rFonts w:ascii="Times New Roman" w:eastAsia="Times New Roman" w:hAnsi="Times New Roman" w:cs="Times New Roman"/>
          <w:sz w:val="26"/>
          <w:szCs w:val="26"/>
          <w:lang w:eastAsia="hu-HU"/>
        </w:rPr>
      </w:pPr>
      <w:r w:rsidRPr="00902461">
        <w:rPr>
          <w:rFonts w:ascii="Times New Roman" w:eastAsia="Times New Roman" w:hAnsi="Times New Roman" w:cs="Times New Roman"/>
          <w:b/>
          <w:bCs/>
          <w:sz w:val="26"/>
          <w:szCs w:val="26"/>
          <w:lang w:eastAsia="hu-HU"/>
        </w:rPr>
        <w:t xml:space="preserve">A második – növelő hatású – tényező a nettó devizakibocsátás, </w:t>
      </w:r>
      <w:r w:rsidRPr="00902461">
        <w:rPr>
          <w:rFonts w:ascii="Times New Roman" w:eastAsia="Times New Roman" w:hAnsi="Times New Roman" w:cs="Times New Roman"/>
          <w:sz w:val="26"/>
          <w:szCs w:val="26"/>
          <w:lang w:eastAsia="hu-HU"/>
        </w:rPr>
        <w:t>amely 1683,</w:t>
      </w:r>
      <w:r w:rsidR="00CC7EB9">
        <w:rPr>
          <w:rFonts w:ascii="Times New Roman" w:eastAsia="Times New Roman" w:hAnsi="Times New Roman" w:cs="Times New Roman"/>
          <w:sz w:val="26"/>
          <w:szCs w:val="26"/>
          <w:lang w:eastAsia="hu-HU"/>
        </w:rPr>
        <w:t>4</w:t>
      </w:r>
      <w:r>
        <w:rPr>
          <w:rFonts w:ascii="Times New Roman" w:eastAsia="Times New Roman" w:hAnsi="Times New Roman" w:cs="Times New Roman"/>
          <w:sz w:val="26"/>
          <w:szCs w:val="26"/>
          <w:lang w:eastAsia="hu-HU"/>
        </w:rPr>
        <w:t> </w:t>
      </w:r>
      <w:r w:rsidRPr="00902461">
        <w:rPr>
          <w:rFonts w:ascii="Times New Roman" w:eastAsia="Times New Roman" w:hAnsi="Times New Roman" w:cs="Times New Roman"/>
          <w:sz w:val="26"/>
          <w:szCs w:val="26"/>
          <w:lang w:eastAsia="hu-HU"/>
        </w:rPr>
        <w:t>milliárd forint összegben hozzájárul a hiány finanszírozásához és a</w:t>
      </w:r>
      <w:r>
        <w:rPr>
          <w:rFonts w:ascii="Times New Roman" w:eastAsia="Times New Roman" w:hAnsi="Times New Roman" w:cs="Times New Roman"/>
          <w:sz w:val="26"/>
          <w:szCs w:val="26"/>
          <w:lang w:eastAsia="hu-HU"/>
        </w:rPr>
        <w:t> </w:t>
      </w:r>
      <w:r w:rsidRPr="00902461">
        <w:rPr>
          <w:rFonts w:ascii="Times New Roman" w:eastAsia="Times New Roman" w:hAnsi="Times New Roman" w:cs="Times New Roman"/>
          <w:sz w:val="26"/>
          <w:szCs w:val="26"/>
          <w:lang w:eastAsia="hu-HU"/>
        </w:rPr>
        <w:t>devizabetétállomány növekedéséhez.</w:t>
      </w:r>
    </w:p>
    <w:p w14:paraId="0C2FFD0D" w14:textId="77777777" w:rsidR="00902461" w:rsidRPr="00902461" w:rsidRDefault="00902461" w:rsidP="00902461">
      <w:pPr>
        <w:pStyle w:val="Listaszerbekezds"/>
        <w:numPr>
          <w:ilvl w:val="0"/>
          <w:numId w:val="2"/>
        </w:numPr>
        <w:jc w:val="both"/>
        <w:rPr>
          <w:rFonts w:ascii="Times New Roman" w:eastAsia="Times New Roman" w:hAnsi="Times New Roman" w:cs="Times New Roman"/>
          <w:b/>
          <w:bCs/>
          <w:sz w:val="26"/>
          <w:szCs w:val="26"/>
          <w:lang w:eastAsia="hu-HU"/>
        </w:rPr>
      </w:pPr>
      <w:r w:rsidRPr="00902461">
        <w:rPr>
          <w:rFonts w:ascii="Times New Roman" w:eastAsia="Times New Roman" w:hAnsi="Times New Roman" w:cs="Times New Roman"/>
          <w:b/>
          <w:bCs/>
          <w:sz w:val="26"/>
          <w:szCs w:val="26"/>
          <w:lang w:eastAsia="hu-HU"/>
        </w:rPr>
        <w:t xml:space="preserve">A harmadik – szintén növelő hatású – tényező </w:t>
      </w:r>
      <w:r w:rsidRPr="00902461">
        <w:rPr>
          <w:rFonts w:ascii="Times New Roman" w:eastAsia="Times New Roman" w:hAnsi="Times New Roman" w:cs="Times New Roman"/>
          <w:sz w:val="26"/>
          <w:szCs w:val="26"/>
          <w:lang w:eastAsia="hu-HU"/>
        </w:rPr>
        <w:t>a deviza-keresztárfolyamok változása és az egyéb tényezők miatt bekövetkezett mark-to-market betétállományok emelkedése 14,4 milliárd forint összegben</w:t>
      </w:r>
      <w:r w:rsidRPr="00902461">
        <w:rPr>
          <w:rFonts w:ascii="Times New Roman" w:eastAsia="Times New Roman" w:hAnsi="Times New Roman" w:cs="Times New Roman"/>
          <w:b/>
          <w:bCs/>
          <w:sz w:val="26"/>
          <w:szCs w:val="26"/>
          <w:lang w:eastAsia="hu-HU"/>
        </w:rPr>
        <w:t>.</w:t>
      </w:r>
    </w:p>
    <w:p w14:paraId="111568C6" w14:textId="280B89A8" w:rsidR="007B0B76" w:rsidRPr="002756E3" w:rsidRDefault="00902461" w:rsidP="00902461">
      <w:pPr>
        <w:pStyle w:val="Listaszerbekezds"/>
        <w:numPr>
          <w:ilvl w:val="0"/>
          <w:numId w:val="2"/>
        </w:numPr>
        <w:jc w:val="both"/>
        <w:rPr>
          <w:rFonts w:ascii="Times New Roman" w:eastAsia="Times New Roman" w:hAnsi="Times New Roman" w:cs="Times New Roman"/>
          <w:sz w:val="26"/>
          <w:szCs w:val="26"/>
          <w:lang w:eastAsia="hu-HU"/>
        </w:rPr>
      </w:pPr>
      <w:r w:rsidRPr="00902461">
        <w:rPr>
          <w:rFonts w:ascii="Times New Roman" w:eastAsia="Times New Roman" w:hAnsi="Times New Roman" w:cs="Times New Roman"/>
          <w:b/>
          <w:bCs/>
          <w:sz w:val="26"/>
          <w:szCs w:val="26"/>
          <w:lang w:eastAsia="hu-HU"/>
        </w:rPr>
        <w:t xml:space="preserve">A negyedik – további növelő hatású – tényező </w:t>
      </w:r>
      <w:r w:rsidRPr="00902461">
        <w:rPr>
          <w:rFonts w:ascii="Times New Roman" w:eastAsia="Times New Roman" w:hAnsi="Times New Roman" w:cs="Times New Roman"/>
          <w:sz w:val="26"/>
          <w:szCs w:val="26"/>
          <w:lang w:eastAsia="hu-HU"/>
        </w:rPr>
        <w:t>a forint árfolyamának az elmúlt év végéhez képest bekövetkezett gyengülése, amely az adósság devizában fennálló részének forintban számított nyilvántartási értékét 13,5 milliárd forinttal növelte</w:t>
      </w:r>
      <w:r w:rsidR="5E04AD7D" w:rsidRPr="5E04AD7D">
        <w:rPr>
          <w:rFonts w:ascii="Times New Roman" w:eastAsia="Times New Roman" w:hAnsi="Times New Roman" w:cs="Times New Roman"/>
          <w:sz w:val="26"/>
          <w:szCs w:val="26"/>
          <w:lang w:eastAsia="hu-HU"/>
        </w:rPr>
        <w:t>.</w:t>
      </w:r>
    </w:p>
    <w:p w14:paraId="157CBCF7" w14:textId="192A582E" w:rsidR="007B0B76" w:rsidRPr="007B0B76" w:rsidRDefault="007B0B76" w:rsidP="007B0B76">
      <w:pPr>
        <w:jc w:val="both"/>
        <w:rPr>
          <w:rFonts w:ascii="Times New Roman" w:eastAsia="Times New Roman" w:hAnsi="Times New Roman" w:cs="Times New Roman"/>
          <w:sz w:val="26"/>
          <w:szCs w:val="26"/>
          <w:lang w:eastAsia="hu-HU"/>
        </w:rPr>
        <w:sectPr w:rsidR="007B0B76" w:rsidRPr="007B0B76" w:rsidSect="00AB17FF">
          <w:headerReference w:type="default" r:id="rId26"/>
          <w:footerReference w:type="default" r:id="rId27"/>
          <w:footnotePr>
            <w:numRestart w:val="eachPage"/>
          </w:footnotePr>
          <w:pgSz w:w="11907" w:h="16840" w:code="9"/>
          <w:pgMar w:top="1134" w:right="1134" w:bottom="1418" w:left="1418" w:header="709" w:footer="709" w:gutter="0"/>
          <w:cols w:space="708"/>
          <w:docGrid w:linePitch="354"/>
        </w:sectPr>
      </w:pPr>
    </w:p>
    <w:p w14:paraId="7B768C5C" w14:textId="6267674B" w:rsidR="00B155FE" w:rsidRPr="00377D59" w:rsidRDefault="5E04AD7D" w:rsidP="5E04AD7D">
      <w:pPr>
        <w:spacing w:after="120" w:line="240" w:lineRule="auto"/>
        <w:ind w:right="23"/>
        <w:jc w:val="both"/>
        <w:rPr>
          <w:rFonts w:ascii="Times New Roman" w:eastAsia="Times New Roman" w:hAnsi="Times New Roman" w:cs="Times New Roman"/>
          <w:sz w:val="26"/>
          <w:szCs w:val="26"/>
          <w:lang w:eastAsia="hu-HU"/>
        </w:rPr>
      </w:pPr>
      <w:r w:rsidRPr="5E04AD7D">
        <w:rPr>
          <w:rFonts w:ascii="Times New Roman" w:eastAsia="Times New Roman" w:hAnsi="Times New Roman" w:cs="Times New Roman"/>
          <w:sz w:val="26"/>
          <w:szCs w:val="26"/>
          <w:lang w:eastAsia="hu-HU"/>
        </w:rPr>
        <w:lastRenderedPageBreak/>
        <w:t xml:space="preserve">Az előzetes adatok szerint 2026. </w:t>
      </w:r>
      <w:r w:rsidR="00902461">
        <w:rPr>
          <w:rFonts w:ascii="Times New Roman" w:eastAsia="Times New Roman" w:hAnsi="Times New Roman" w:cs="Times New Roman"/>
          <w:sz w:val="26"/>
          <w:szCs w:val="26"/>
          <w:lang w:eastAsia="hu-HU"/>
        </w:rPr>
        <w:t>március</w:t>
      </w:r>
      <w:r w:rsidRPr="5E04AD7D">
        <w:rPr>
          <w:rFonts w:ascii="Times New Roman" w:eastAsia="Times New Roman" w:hAnsi="Times New Roman" w:cs="Times New Roman"/>
          <w:sz w:val="26"/>
          <w:szCs w:val="26"/>
          <w:lang w:eastAsia="hu-HU"/>
        </w:rPr>
        <w:t xml:space="preserve"> végén a </w:t>
      </w:r>
      <w:r w:rsidRPr="5E04AD7D">
        <w:rPr>
          <w:rFonts w:ascii="Times New Roman" w:eastAsia="Times New Roman" w:hAnsi="Times New Roman" w:cs="Times New Roman"/>
          <w:b/>
          <w:bCs/>
          <w:sz w:val="26"/>
          <w:szCs w:val="26"/>
          <w:lang w:eastAsia="hu-HU"/>
        </w:rPr>
        <w:t xml:space="preserve">központi költségvetés forint- és devizaadóssága </w:t>
      </w:r>
      <w:r w:rsidRPr="5E04AD7D">
        <w:rPr>
          <w:rFonts w:ascii="Times New Roman" w:eastAsia="Times New Roman" w:hAnsi="Times New Roman" w:cs="Times New Roman"/>
          <w:sz w:val="26"/>
          <w:szCs w:val="26"/>
          <w:lang w:eastAsia="hu-HU"/>
        </w:rPr>
        <w:t>az alábbiak szerint alakult:</w:t>
      </w:r>
    </w:p>
    <w:p w14:paraId="7B768C5D" w14:textId="228E6358" w:rsidR="00B155FE" w:rsidRDefault="5E04AD7D" w:rsidP="5E04AD7D">
      <w:pPr>
        <w:overflowPunct w:val="0"/>
        <w:autoSpaceDE w:val="0"/>
        <w:autoSpaceDN w:val="0"/>
        <w:adjustRightInd w:val="0"/>
        <w:spacing w:after="120" w:line="240" w:lineRule="auto"/>
        <w:ind w:right="23"/>
        <w:jc w:val="center"/>
        <w:textAlignment w:val="baseline"/>
        <w:rPr>
          <w:rFonts w:ascii="Times New Roman" w:eastAsia="Times New Roman" w:hAnsi="Times New Roman" w:cs="Times New Roman"/>
          <w:sz w:val="26"/>
          <w:szCs w:val="26"/>
          <w:lang w:eastAsia="hu-HU"/>
        </w:rPr>
      </w:pPr>
      <w:r w:rsidRPr="5E04AD7D">
        <w:rPr>
          <w:rFonts w:ascii="Times New Roman" w:eastAsia="Times New Roman" w:hAnsi="Times New Roman" w:cs="Times New Roman"/>
          <w:sz w:val="26"/>
          <w:szCs w:val="26"/>
          <w:lang w:eastAsia="hu-HU"/>
        </w:rPr>
        <w:t>A központi költségvetés adósságának alakulása 2026-ban, milliárd forint</w:t>
      </w:r>
    </w:p>
    <w:p w14:paraId="31C86ED1" w14:textId="1A5B68E2" w:rsidR="007B0B76" w:rsidRDefault="00432BDD" w:rsidP="13E847AC">
      <w:pPr>
        <w:overflowPunct w:val="0"/>
        <w:autoSpaceDE w:val="0"/>
        <w:autoSpaceDN w:val="0"/>
        <w:adjustRightInd w:val="0"/>
        <w:spacing w:after="120" w:line="240" w:lineRule="auto"/>
        <w:ind w:right="23"/>
        <w:jc w:val="center"/>
        <w:textAlignment w:val="baseline"/>
        <w:rPr>
          <w:rFonts w:ascii="Times New Roman" w:eastAsia="Times New Roman" w:hAnsi="Times New Roman" w:cs="Times New Roman"/>
          <w:sz w:val="26"/>
          <w:szCs w:val="26"/>
          <w:lang w:eastAsia="hu-HU"/>
        </w:rPr>
      </w:pPr>
      <w:r w:rsidRPr="0000132E">
        <w:rPr>
          <w:noProof/>
        </w:rPr>
        <w:drawing>
          <wp:inline distT="0" distB="0" distL="0" distR="0" wp14:anchorId="3FD3536F" wp14:editId="1058E52F">
            <wp:extent cx="9072880" cy="4376928"/>
            <wp:effectExtent l="0" t="0" r="0" b="5080"/>
            <wp:docPr id="1415057388"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080190" cy="4380454"/>
                    </a:xfrm>
                    <a:prstGeom prst="rect">
                      <a:avLst/>
                    </a:prstGeom>
                    <a:noFill/>
                    <a:ln>
                      <a:noFill/>
                    </a:ln>
                  </pic:spPr>
                </pic:pic>
              </a:graphicData>
            </a:graphic>
          </wp:inline>
        </w:drawing>
      </w:r>
    </w:p>
    <w:p w14:paraId="7B768C5F" w14:textId="77777777" w:rsidR="00B155FE" w:rsidRPr="00377D59" w:rsidRDefault="5E04AD7D" w:rsidP="5E04AD7D">
      <w:pPr>
        <w:spacing w:after="120" w:line="240" w:lineRule="auto"/>
        <w:jc w:val="both"/>
        <w:rPr>
          <w:rFonts w:ascii="Times New Roman" w:eastAsia="Times New Roman" w:hAnsi="Times New Roman" w:cs="Times New Roman"/>
          <w:sz w:val="24"/>
          <w:szCs w:val="24"/>
          <w:lang w:eastAsia="hu-HU"/>
        </w:rPr>
      </w:pPr>
      <w:r w:rsidRPr="5E04AD7D">
        <w:rPr>
          <w:rFonts w:ascii="Times New Roman" w:eastAsia="Times New Roman" w:hAnsi="Times New Roman" w:cs="Times New Roman"/>
          <w:i/>
          <w:iCs/>
          <w:sz w:val="24"/>
          <w:szCs w:val="24"/>
          <w:lang w:eastAsia="hu-HU"/>
        </w:rPr>
        <w:t>Megjegyzés: a táblában szereplő tizedes eltérések kerekítésből adódnak.</w:t>
      </w:r>
    </w:p>
    <w:p w14:paraId="612D5E01" w14:textId="247C2A7A" w:rsidR="00617877" w:rsidRPr="00377D59" w:rsidRDefault="00617877" w:rsidP="00617877">
      <w:pPr>
        <w:rPr>
          <w:rFonts w:ascii="Times New Roman" w:eastAsia="Times New Roman" w:hAnsi="Times New Roman" w:cs="Times New Roman"/>
          <w:sz w:val="26"/>
          <w:szCs w:val="26"/>
          <w:lang w:eastAsia="hu-HU"/>
        </w:rPr>
      </w:pPr>
    </w:p>
    <w:p w14:paraId="3C11BC0D" w14:textId="77777777" w:rsidR="008D26E2" w:rsidRDefault="008D26E2" w:rsidP="008D26E2">
      <w:pPr>
        <w:rPr>
          <w:rFonts w:ascii="Times New Roman" w:eastAsia="Times New Roman" w:hAnsi="Times New Roman" w:cs="Times New Roman"/>
          <w:sz w:val="26"/>
          <w:szCs w:val="26"/>
          <w:lang w:eastAsia="hu-HU"/>
        </w:rPr>
      </w:pPr>
    </w:p>
    <w:p w14:paraId="4A764331" w14:textId="77777777" w:rsidR="008D26E2" w:rsidRPr="008D26E2" w:rsidRDefault="008D26E2" w:rsidP="008D26E2">
      <w:pPr>
        <w:rPr>
          <w:rFonts w:ascii="Times New Roman" w:eastAsia="Times New Roman" w:hAnsi="Times New Roman" w:cs="Times New Roman"/>
          <w:sz w:val="26"/>
          <w:szCs w:val="26"/>
          <w:lang w:eastAsia="hu-HU"/>
        </w:rPr>
        <w:sectPr w:rsidR="008D26E2" w:rsidRPr="008D26E2" w:rsidSect="007449BF">
          <w:headerReference w:type="default" r:id="rId29"/>
          <w:headerReference w:type="first" r:id="rId30"/>
          <w:footnotePr>
            <w:numRestart w:val="eachPage"/>
          </w:footnotePr>
          <w:pgSz w:w="16840" w:h="11907" w:orient="landscape" w:code="9"/>
          <w:pgMar w:top="993" w:right="1134" w:bottom="1134" w:left="1418" w:header="709" w:footer="709" w:gutter="0"/>
          <w:pgNumType w:start="19"/>
          <w:cols w:space="708"/>
          <w:titlePg/>
          <w:docGrid w:linePitch="299"/>
        </w:sectPr>
      </w:pPr>
    </w:p>
    <w:p w14:paraId="08287618" w14:textId="6B9C6E38" w:rsidR="00432BDD" w:rsidRPr="0000132E" w:rsidRDefault="00432BDD" w:rsidP="00432BDD">
      <w:pPr>
        <w:jc w:val="both"/>
        <w:rPr>
          <w:rFonts w:ascii="Times New Roman" w:eastAsia="Times New Roman" w:hAnsi="Times New Roman" w:cs="Times New Roman"/>
          <w:sz w:val="26"/>
          <w:szCs w:val="26"/>
          <w:lang w:eastAsia="hu-HU"/>
        </w:rPr>
      </w:pPr>
      <w:r w:rsidRPr="0000132E">
        <w:rPr>
          <w:rFonts w:ascii="Times New Roman" w:eastAsia="Times New Roman" w:hAnsi="Times New Roman" w:cs="Times New Roman"/>
          <w:b/>
          <w:bCs/>
          <w:sz w:val="26"/>
          <w:szCs w:val="26"/>
          <w:lang w:eastAsia="hu-HU"/>
        </w:rPr>
        <w:lastRenderedPageBreak/>
        <w:t>A központi költségvetés</w:t>
      </w:r>
      <w:r w:rsidRPr="0000132E">
        <w:rPr>
          <w:rFonts w:ascii="Times New Roman" w:eastAsia="Times New Roman" w:hAnsi="Times New Roman" w:cs="Times New Roman"/>
          <w:sz w:val="26"/>
          <w:szCs w:val="26"/>
          <w:lang w:eastAsia="hu-HU"/>
        </w:rPr>
        <w:t xml:space="preserve"> devizaadóssága 2026-ban 1696,8</w:t>
      </w:r>
      <w:r>
        <w:rPr>
          <w:rFonts w:ascii="Times New Roman" w:eastAsia="Times New Roman" w:hAnsi="Times New Roman" w:cs="Times New Roman"/>
          <w:sz w:val="26"/>
          <w:szCs w:val="26"/>
          <w:lang w:eastAsia="hu-HU"/>
        </w:rPr>
        <w:t> milliárd</w:t>
      </w:r>
      <w:r w:rsidRPr="0000132E">
        <w:rPr>
          <w:rFonts w:ascii="Times New Roman" w:eastAsia="Times New Roman" w:hAnsi="Times New Roman" w:cs="Times New Roman"/>
          <w:sz w:val="26"/>
          <w:szCs w:val="26"/>
          <w:lang w:eastAsia="hu-HU"/>
        </w:rPr>
        <w:t xml:space="preserve"> forinttal 19</w:t>
      </w:r>
      <w:r>
        <w:rPr>
          <w:rFonts w:ascii="Times New Roman" w:eastAsia="Times New Roman" w:hAnsi="Times New Roman" w:cs="Times New Roman"/>
          <w:sz w:val="26"/>
          <w:szCs w:val="26"/>
          <w:lang w:eastAsia="hu-HU"/>
        </w:rPr>
        <w:t> </w:t>
      </w:r>
      <w:r w:rsidRPr="0000132E">
        <w:rPr>
          <w:rFonts w:ascii="Times New Roman" w:eastAsia="Times New Roman" w:hAnsi="Times New Roman" w:cs="Times New Roman"/>
          <w:sz w:val="26"/>
          <w:szCs w:val="26"/>
          <w:lang w:eastAsia="hu-HU"/>
        </w:rPr>
        <w:t>506,5</w:t>
      </w:r>
      <w:r>
        <w:rPr>
          <w:rFonts w:ascii="Times New Roman" w:eastAsia="Times New Roman" w:hAnsi="Times New Roman" w:cs="Times New Roman"/>
          <w:sz w:val="26"/>
          <w:szCs w:val="26"/>
          <w:lang w:eastAsia="hu-HU"/>
        </w:rPr>
        <w:t> milliárd</w:t>
      </w:r>
      <w:r w:rsidRPr="0000132E">
        <w:rPr>
          <w:rFonts w:ascii="Times New Roman" w:eastAsia="Times New Roman" w:hAnsi="Times New Roman" w:cs="Times New Roman"/>
          <w:sz w:val="26"/>
          <w:szCs w:val="26"/>
          <w:lang w:eastAsia="hu-HU"/>
        </w:rPr>
        <w:t xml:space="preserve"> forintra növekedett az elmúlt év végéhez képest. A devizaadósság részaránya a 2025. év végi 29,4%-os szintről 30,2%-os szintre emelkedett a teljes adósságon belül</w:t>
      </w:r>
      <w:r w:rsidR="5E04AD7D" w:rsidRPr="5E04AD7D">
        <w:rPr>
          <w:rFonts w:ascii="Times New Roman" w:eastAsia="Times New Roman" w:hAnsi="Times New Roman" w:cs="Times New Roman"/>
          <w:sz w:val="26"/>
          <w:szCs w:val="26"/>
          <w:lang w:eastAsia="hu-HU"/>
        </w:rPr>
        <w:t>.</w:t>
      </w:r>
      <w:r w:rsidR="0023586E">
        <w:rPr>
          <w:rFonts w:ascii="Times New Roman" w:eastAsia="Times New Roman" w:hAnsi="Times New Roman" w:cs="Times New Roman"/>
          <w:sz w:val="26"/>
          <w:szCs w:val="26"/>
          <w:lang w:eastAsia="hu-HU"/>
        </w:rPr>
        <w:t xml:space="preserve"> </w:t>
      </w:r>
      <w:r w:rsidRPr="0000132E">
        <w:rPr>
          <w:rFonts w:ascii="Times New Roman" w:eastAsia="Times New Roman" w:hAnsi="Times New Roman" w:cs="Times New Roman"/>
          <w:sz w:val="26"/>
          <w:szCs w:val="26"/>
          <w:lang w:eastAsia="hu-HU"/>
        </w:rPr>
        <w:t>A növekedés hátterében döntően a devizakötvény-kibocsátások állnak. 2026 január 7-én került sor az idei év első nemzetközi eurókötvény-kibocsátására összesen 1157,9</w:t>
      </w:r>
      <w:r>
        <w:rPr>
          <w:rFonts w:ascii="Times New Roman" w:eastAsia="Times New Roman" w:hAnsi="Times New Roman" w:cs="Times New Roman"/>
          <w:sz w:val="26"/>
          <w:szCs w:val="26"/>
          <w:lang w:eastAsia="hu-HU"/>
        </w:rPr>
        <w:t> milliárd</w:t>
      </w:r>
      <w:r w:rsidRPr="0000132E">
        <w:rPr>
          <w:rFonts w:ascii="Times New Roman" w:eastAsia="Times New Roman" w:hAnsi="Times New Roman" w:cs="Times New Roman"/>
          <w:sz w:val="26"/>
          <w:szCs w:val="26"/>
          <w:lang w:eastAsia="hu-HU"/>
        </w:rPr>
        <w:t xml:space="preserve"> forint (3,0</w:t>
      </w:r>
      <w:r>
        <w:rPr>
          <w:rFonts w:ascii="Times New Roman" w:eastAsia="Times New Roman" w:hAnsi="Times New Roman" w:cs="Times New Roman"/>
          <w:sz w:val="26"/>
          <w:szCs w:val="26"/>
          <w:lang w:eastAsia="hu-HU"/>
        </w:rPr>
        <w:t> milliárd</w:t>
      </w:r>
      <w:r w:rsidRPr="0000132E">
        <w:rPr>
          <w:rFonts w:ascii="Times New Roman" w:eastAsia="Times New Roman" w:hAnsi="Times New Roman" w:cs="Times New Roman"/>
          <w:sz w:val="26"/>
          <w:szCs w:val="26"/>
          <w:lang w:eastAsia="hu-HU"/>
        </w:rPr>
        <w:t xml:space="preserve"> euró) összegben. Két sorozat piacra vitele történt meg, egy 7 éves futamidejű hagyományos sorozat 771,9</w:t>
      </w:r>
      <w:r>
        <w:rPr>
          <w:rFonts w:ascii="Times New Roman" w:eastAsia="Times New Roman" w:hAnsi="Times New Roman" w:cs="Times New Roman"/>
          <w:sz w:val="26"/>
          <w:szCs w:val="26"/>
          <w:lang w:eastAsia="hu-HU"/>
        </w:rPr>
        <w:t> milliárd</w:t>
      </w:r>
      <w:r w:rsidRPr="0000132E">
        <w:rPr>
          <w:rFonts w:ascii="Times New Roman" w:eastAsia="Times New Roman" w:hAnsi="Times New Roman" w:cs="Times New Roman"/>
          <w:sz w:val="26"/>
          <w:szCs w:val="26"/>
          <w:lang w:eastAsia="hu-HU"/>
        </w:rPr>
        <w:t xml:space="preserve"> forint (2,0</w:t>
      </w:r>
      <w:r>
        <w:rPr>
          <w:rFonts w:ascii="Times New Roman" w:eastAsia="Times New Roman" w:hAnsi="Times New Roman" w:cs="Times New Roman"/>
          <w:sz w:val="26"/>
          <w:szCs w:val="26"/>
          <w:lang w:eastAsia="hu-HU"/>
        </w:rPr>
        <w:t> milliárd</w:t>
      </w:r>
      <w:r w:rsidRPr="0000132E">
        <w:rPr>
          <w:rFonts w:ascii="Times New Roman" w:eastAsia="Times New Roman" w:hAnsi="Times New Roman" w:cs="Times New Roman"/>
          <w:sz w:val="26"/>
          <w:szCs w:val="26"/>
          <w:lang w:eastAsia="hu-HU"/>
        </w:rPr>
        <w:t xml:space="preserve"> EUR) összegben és egy 12 éves futamidejű zöld sorozat 386,0</w:t>
      </w:r>
      <w:r>
        <w:rPr>
          <w:rFonts w:ascii="Times New Roman" w:eastAsia="Times New Roman" w:hAnsi="Times New Roman" w:cs="Times New Roman"/>
          <w:sz w:val="26"/>
          <w:szCs w:val="26"/>
          <w:lang w:eastAsia="hu-HU"/>
        </w:rPr>
        <w:t> milliárd</w:t>
      </w:r>
      <w:r w:rsidRPr="0000132E">
        <w:rPr>
          <w:rFonts w:ascii="Times New Roman" w:eastAsia="Times New Roman" w:hAnsi="Times New Roman" w:cs="Times New Roman"/>
          <w:sz w:val="26"/>
          <w:szCs w:val="26"/>
          <w:lang w:eastAsia="hu-HU"/>
        </w:rPr>
        <w:t xml:space="preserve"> forint (1,0</w:t>
      </w:r>
      <w:r>
        <w:rPr>
          <w:rFonts w:ascii="Times New Roman" w:eastAsia="Times New Roman" w:hAnsi="Times New Roman" w:cs="Times New Roman"/>
          <w:sz w:val="26"/>
          <w:szCs w:val="26"/>
          <w:lang w:eastAsia="hu-HU"/>
        </w:rPr>
        <w:t> milliárd</w:t>
      </w:r>
      <w:r w:rsidRPr="0000132E">
        <w:rPr>
          <w:rFonts w:ascii="Times New Roman" w:eastAsia="Times New Roman" w:hAnsi="Times New Roman" w:cs="Times New Roman"/>
          <w:sz w:val="26"/>
          <w:szCs w:val="26"/>
          <w:lang w:eastAsia="hu-HU"/>
        </w:rPr>
        <w:t xml:space="preserve"> EUR) összegben. 2026.</w:t>
      </w:r>
      <w:r w:rsidR="0002125B">
        <w:rPr>
          <w:rFonts w:ascii="Times New Roman" w:eastAsia="Times New Roman" w:hAnsi="Times New Roman" w:cs="Times New Roman"/>
          <w:sz w:val="26"/>
          <w:szCs w:val="26"/>
          <w:lang w:eastAsia="hu-HU"/>
        </w:rPr>
        <w:t> </w:t>
      </w:r>
      <w:r w:rsidRPr="0000132E">
        <w:rPr>
          <w:rFonts w:ascii="Times New Roman" w:eastAsia="Times New Roman" w:hAnsi="Times New Roman" w:cs="Times New Roman"/>
          <w:sz w:val="26"/>
          <w:szCs w:val="26"/>
          <w:lang w:eastAsia="hu-HU"/>
        </w:rPr>
        <w:t>március 3-án került jóváírásra a zárt körben, befektetői megkeresésre kibocsátott, 2035.</w:t>
      </w:r>
      <w:r w:rsidR="0002125B">
        <w:rPr>
          <w:rFonts w:ascii="Times New Roman" w:eastAsia="Times New Roman" w:hAnsi="Times New Roman" w:cs="Times New Roman"/>
          <w:sz w:val="26"/>
          <w:szCs w:val="26"/>
          <w:lang w:eastAsia="hu-HU"/>
        </w:rPr>
        <w:t> </w:t>
      </w:r>
      <w:r w:rsidRPr="0000132E">
        <w:rPr>
          <w:rFonts w:ascii="Times New Roman" w:eastAsia="Times New Roman" w:hAnsi="Times New Roman" w:cs="Times New Roman"/>
          <w:sz w:val="26"/>
          <w:szCs w:val="26"/>
          <w:lang w:eastAsia="hu-HU"/>
        </w:rPr>
        <w:t>szeptember 26-án lejáró dollárkötvény 382,3</w:t>
      </w:r>
      <w:r>
        <w:rPr>
          <w:rFonts w:ascii="Times New Roman" w:eastAsia="Times New Roman" w:hAnsi="Times New Roman" w:cs="Times New Roman"/>
          <w:sz w:val="26"/>
          <w:szCs w:val="26"/>
          <w:lang w:eastAsia="hu-HU"/>
        </w:rPr>
        <w:t> milliárd</w:t>
      </w:r>
      <w:r w:rsidRPr="0000132E">
        <w:rPr>
          <w:rFonts w:ascii="Times New Roman" w:eastAsia="Times New Roman" w:hAnsi="Times New Roman" w:cs="Times New Roman"/>
          <w:sz w:val="26"/>
          <w:szCs w:val="26"/>
          <w:lang w:eastAsia="hu-HU"/>
        </w:rPr>
        <w:t xml:space="preserve"> forint (1,2</w:t>
      </w:r>
      <w:r>
        <w:rPr>
          <w:rFonts w:ascii="Times New Roman" w:eastAsia="Times New Roman" w:hAnsi="Times New Roman" w:cs="Times New Roman"/>
          <w:sz w:val="26"/>
          <w:szCs w:val="26"/>
          <w:lang w:eastAsia="hu-HU"/>
        </w:rPr>
        <w:t> milliárd</w:t>
      </w:r>
      <w:r w:rsidRPr="0000132E">
        <w:rPr>
          <w:rFonts w:ascii="Times New Roman" w:eastAsia="Times New Roman" w:hAnsi="Times New Roman" w:cs="Times New Roman"/>
          <w:sz w:val="26"/>
          <w:szCs w:val="26"/>
          <w:lang w:eastAsia="hu-HU"/>
        </w:rPr>
        <w:t xml:space="preserve"> USD) összegű megemelése. A további devizahitel lehívások és az árfolyamgyengülés összege szintén emelte a devizaadósság részarányát.</w:t>
      </w:r>
    </w:p>
    <w:p w14:paraId="134725B4" w14:textId="36F8D3B2" w:rsidR="00432BDD" w:rsidRPr="0000132E" w:rsidRDefault="00432BDD" w:rsidP="00432BDD">
      <w:pPr>
        <w:jc w:val="both"/>
        <w:rPr>
          <w:rFonts w:ascii="Times New Roman" w:eastAsia="Times New Roman" w:hAnsi="Times New Roman" w:cs="Times New Roman"/>
          <w:sz w:val="26"/>
          <w:szCs w:val="26"/>
          <w:lang w:eastAsia="hu-HU"/>
        </w:rPr>
      </w:pPr>
      <w:r w:rsidRPr="0000132E">
        <w:rPr>
          <w:rFonts w:ascii="Times New Roman" w:eastAsia="Times New Roman" w:hAnsi="Times New Roman" w:cs="Times New Roman"/>
          <w:b/>
          <w:bCs/>
          <w:sz w:val="26"/>
          <w:szCs w:val="26"/>
          <w:lang w:eastAsia="hu-HU"/>
        </w:rPr>
        <w:t>A költségvetés forintadóssága</w:t>
      </w:r>
      <w:r w:rsidRPr="0000132E">
        <w:rPr>
          <w:rFonts w:ascii="Times New Roman" w:eastAsia="Times New Roman" w:hAnsi="Times New Roman" w:cs="Times New Roman"/>
          <w:sz w:val="26"/>
          <w:szCs w:val="26"/>
          <w:lang w:eastAsia="hu-HU"/>
        </w:rPr>
        <w:t xml:space="preserve"> március végéig 2266,3</w:t>
      </w:r>
      <w:r>
        <w:rPr>
          <w:rFonts w:ascii="Times New Roman" w:eastAsia="Times New Roman" w:hAnsi="Times New Roman" w:cs="Times New Roman"/>
          <w:sz w:val="26"/>
          <w:szCs w:val="26"/>
          <w:lang w:eastAsia="hu-HU"/>
        </w:rPr>
        <w:t> milliárd</w:t>
      </w:r>
      <w:r w:rsidRPr="0000132E">
        <w:rPr>
          <w:rFonts w:ascii="Times New Roman" w:eastAsia="Times New Roman" w:hAnsi="Times New Roman" w:cs="Times New Roman"/>
          <w:sz w:val="26"/>
          <w:szCs w:val="26"/>
          <w:lang w:eastAsia="hu-HU"/>
        </w:rPr>
        <w:t xml:space="preserve"> forinttal növekedett és 44</w:t>
      </w:r>
      <w:r>
        <w:rPr>
          <w:rFonts w:ascii="Times New Roman" w:eastAsia="Times New Roman" w:hAnsi="Times New Roman" w:cs="Times New Roman"/>
          <w:sz w:val="26"/>
          <w:szCs w:val="26"/>
          <w:lang w:eastAsia="hu-HU"/>
        </w:rPr>
        <w:t> </w:t>
      </w:r>
      <w:r w:rsidRPr="0000132E">
        <w:rPr>
          <w:rFonts w:ascii="Times New Roman" w:eastAsia="Times New Roman" w:hAnsi="Times New Roman" w:cs="Times New Roman"/>
          <w:sz w:val="26"/>
          <w:szCs w:val="26"/>
          <w:lang w:eastAsia="hu-HU"/>
        </w:rPr>
        <w:t>842,3</w:t>
      </w:r>
      <w:r>
        <w:rPr>
          <w:rFonts w:ascii="Times New Roman" w:eastAsia="Times New Roman" w:hAnsi="Times New Roman" w:cs="Times New Roman"/>
          <w:sz w:val="26"/>
          <w:szCs w:val="26"/>
          <w:lang w:eastAsia="hu-HU"/>
        </w:rPr>
        <w:t> milliárd</w:t>
      </w:r>
      <w:r w:rsidRPr="0000132E">
        <w:rPr>
          <w:rFonts w:ascii="Times New Roman" w:eastAsia="Times New Roman" w:hAnsi="Times New Roman" w:cs="Times New Roman"/>
          <w:sz w:val="26"/>
          <w:szCs w:val="26"/>
          <w:lang w:eastAsia="hu-HU"/>
        </w:rPr>
        <w:t xml:space="preserve"> forintot ért el, a forint adósság a teljes államadósság 69,5%-át teszi ki. 2025</w:t>
      </w:r>
      <w:r w:rsidR="0002125B">
        <w:rPr>
          <w:rFonts w:ascii="Times New Roman" w:eastAsia="Times New Roman" w:hAnsi="Times New Roman" w:cs="Times New Roman"/>
          <w:sz w:val="26"/>
          <w:szCs w:val="26"/>
          <w:lang w:eastAsia="hu-HU"/>
        </w:rPr>
        <w:t> </w:t>
      </w:r>
      <w:r w:rsidRPr="0000132E">
        <w:rPr>
          <w:rFonts w:ascii="Times New Roman" w:eastAsia="Times New Roman" w:hAnsi="Times New Roman" w:cs="Times New Roman"/>
          <w:sz w:val="26"/>
          <w:szCs w:val="26"/>
          <w:lang w:eastAsia="hu-HU"/>
        </w:rPr>
        <w:t xml:space="preserve">decemberében ez az arány 70,3% volt. </w:t>
      </w:r>
    </w:p>
    <w:p w14:paraId="2B7E1999" w14:textId="77777777" w:rsidR="00432BDD" w:rsidRPr="0000132E" w:rsidRDefault="00432BDD" w:rsidP="00432BDD">
      <w:pPr>
        <w:jc w:val="both"/>
        <w:rPr>
          <w:rFonts w:ascii="Times New Roman" w:eastAsia="Times New Roman" w:hAnsi="Times New Roman" w:cs="Times New Roman"/>
          <w:sz w:val="26"/>
          <w:szCs w:val="26"/>
          <w:lang w:eastAsia="hu-HU"/>
        </w:rPr>
      </w:pPr>
      <w:r w:rsidRPr="0000132E">
        <w:rPr>
          <w:rFonts w:ascii="Times New Roman" w:eastAsia="Times New Roman" w:hAnsi="Times New Roman" w:cs="Times New Roman"/>
          <w:sz w:val="26"/>
          <w:szCs w:val="26"/>
          <w:lang w:eastAsia="hu-HU"/>
        </w:rPr>
        <w:t>2026. március végén a forint lakossági állampapírok állománya 12</w:t>
      </w:r>
      <w:r>
        <w:rPr>
          <w:rFonts w:ascii="Times New Roman" w:eastAsia="Times New Roman" w:hAnsi="Times New Roman" w:cs="Times New Roman"/>
          <w:sz w:val="26"/>
          <w:szCs w:val="26"/>
          <w:lang w:eastAsia="hu-HU"/>
        </w:rPr>
        <w:t> </w:t>
      </w:r>
      <w:r w:rsidRPr="0000132E">
        <w:rPr>
          <w:rFonts w:ascii="Times New Roman" w:eastAsia="Times New Roman" w:hAnsi="Times New Roman" w:cs="Times New Roman"/>
          <w:sz w:val="26"/>
          <w:szCs w:val="26"/>
          <w:lang w:eastAsia="hu-HU"/>
        </w:rPr>
        <w:t>144,5</w:t>
      </w:r>
      <w:r>
        <w:rPr>
          <w:rFonts w:ascii="Times New Roman" w:eastAsia="Times New Roman" w:hAnsi="Times New Roman" w:cs="Times New Roman"/>
          <w:sz w:val="26"/>
          <w:szCs w:val="26"/>
          <w:lang w:eastAsia="hu-HU"/>
        </w:rPr>
        <w:t> milliárd</w:t>
      </w:r>
      <w:r w:rsidRPr="0000132E">
        <w:rPr>
          <w:rFonts w:ascii="Times New Roman" w:eastAsia="Times New Roman" w:hAnsi="Times New Roman" w:cs="Times New Roman"/>
          <w:sz w:val="26"/>
          <w:szCs w:val="26"/>
          <w:lang w:eastAsia="hu-HU"/>
        </w:rPr>
        <w:t xml:space="preserve"> forintot tett ki, ami 418,4</w:t>
      </w:r>
      <w:r>
        <w:rPr>
          <w:rFonts w:ascii="Times New Roman" w:eastAsia="Times New Roman" w:hAnsi="Times New Roman" w:cs="Times New Roman"/>
          <w:sz w:val="26"/>
          <w:szCs w:val="26"/>
          <w:lang w:eastAsia="hu-HU"/>
        </w:rPr>
        <w:t> milliárd</w:t>
      </w:r>
      <w:r w:rsidRPr="0000132E">
        <w:rPr>
          <w:rFonts w:ascii="Times New Roman" w:eastAsia="Times New Roman" w:hAnsi="Times New Roman" w:cs="Times New Roman"/>
          <w:sz w:val="26"/>
          <w:szCs w:val="26"/>
          <w:lang w:eastAsia="hu-HU"/>
        </w:rPr>
        <w:t xml:space="preserve"> forint növekedést jelent 2025. december vége óta. A Fix Magyar Állampapír állománya 659,6</w:t>
      </w:r>
      <w:r>
        <w:rPr>
          <w:rFonts w:ascii="Times New Roman" w:eastAsia="Times New Roman" w:hAnsi="Times New Roman" w:cs="Times New Roman"/>
          <w:sz w:val="26"/>
          <w:szCs w:val="26"/>
          <w:lang w:eastAsia="hu-HU"/>
        </w:rPr>
        <w:t> milliárd</w:t>
      </w:r>
      <w:r w:rsidRPr="0000132E">
        <w:rPr>
          <w:rFonts w:ascii="Times New Roman" w:eastAsia="Times New Roman" w:hAnsi="Times New Roman" w:cs="Times New Roman"/>
          <w:sz w:val="26"/>
          <w:szCs w:val="26"/>
          <w:lang w:eastAsia="hu-HU"/>
        </w:rPr>
        <w:t xml:space="preserve"> forinttal növekedett és elérte a 4311,5</w:t>
      </w:r>
      <w:r>
        <w:rPr>
          <w:rFonts w:ascii="Times New Roman" w:eastAsia="Times New Roman" w:hAnsi="Times New Roman" w:cs="Times New Roman"/>
          <w:sz w:val="26"/>
          <w:szCs w:val="26"/>
          <w:lang w:eastAsia="hu-HU"/>
        </w:rPr>
        <w:t> milliárd</w:t>
      </w:r>
      <w:r w:rsidRPr="0000132E">
        <w:rPr>
          <w:rFonts w:ascii="Times New Roman" w:eastAsia="Times New Roman" w:hAnsi="Times New Roman" w:cs="Times New Roman"/>
          <w:sz w:val="26"/>
          <w:szCs w:val="26"/>
          <w:lang w:eastAsia="hu-HU"/>
        </w:rPr>
        <w:t xml:space="preserve"> forintot hó végén. A Magyar Állampapír Plusz állománya, a nyomdai kibocsátású és a korábban értékesített papírokkal együtt, 215,4</w:t>
      </w:r>
      <w:r>
        <w:rPr>
          <w:rFonts w:ascii="Times New Roman" w:eastAsia="Times New Roman" w:hAnsi="Times New Roman" w:cs="Times New Roman"/>
          <w:sz w:val="26"/>
          <w:szCs w:val="26"/>
          <w:lang w:eastAsia="hu-HU"/>
        </w:rPr>
        <w:t> milliárd</w:t>
      </w:r>
      <w:r w:rsidRPr="0000132E">
        <w:rPr>
          <w:rFonts w:ascii="Times New Roman" w:eastAsia="Times New Roman" w:hAnsi="Times New Roman" w:cs="Times New Roman"/>
          <w:sz w:val="26"/>
          <w:szCs w:val="26"/>
          <w:lang w:eastAsia="hu-HU"/>
        </w:rPr>
        <w:t xml:space="preserve"> forinttal emelkedett, így hó végén 1363,6</w:t>
      </w:r>
      <w:r>
        <w:rPr>
          <w:rFonts w:ascii="Times New Roman" w:eastAsia="Times New Roman" w:hAnsi="Times New Roman" w:cs="Times New Roman"/>
          <w:sz w:val="26"/>
          <w:szCs w:val="26"/>
          <w:lang w:eastAsia="hu-HU"/>
        </w:rPr>
        <w:t> milliárd</w:t>
      </w:r>
      <w:r w:rsidRPr="0000132E">
        <w:rPr>
          <w:rFonts w:ascii="Times New Roman" w:eastAsia="Times New Roman" w:hAnsi="Times New Roman" w:cs="Times New Roman"/>
          <w:sz w:val="26"/>
          <w:szCs w:val="26"/>
          <w:lang w:eastAsia="hu-HU"/>
        </w:rPr>
        <w:t xml:space="preserve"> forint volt. A Bónusz Magyar Állampapír állománya is emelkedett 8,8</w:t>
      </w:r>
      <w:r>
        <w:rPr>
          <w:rFonts w:ascii="Times New Roman" w:eastAsia="Times New Roman" w:hAnsi="Times New Roman" w:cs="Times New Roman"/>
          <w:sz w:val="26"/>
          <w:szCs w:val="26"/>
          <w:lang w:eastAsia="hu-HU"/>
        </w:rPr>
        <w:t> milliárd</w:t>
      </w:r>
      <w:r w:rsidRPr="0000132E">
        <w:rPr>
          <w:rFonts w:ascii="Times New Roman" w:eastAsia="Times New Roman" w:hAnsi="Times New Roman" w:cs="Times New Roman"/>
          <w:sz w:val="26"/>
          <w:szCs w:val="26"/>
          <w:lang w:eastAsia="hu-HU"/>
        </w:rPr>
        <w:t xml:space="preserve"> forinttal, ezért hó végén 2079,4</w:t>
      </w:r>
      <w:r>
        <w:rPr>
          <w:rFonts w:ascii="Times New Roman" w:eastAsia="Times New Roman" w:hAnsi="Times New Roman" w:cs="Times New Roman"/>
          <w:sz w:val="26"/>
          <w:szCs w:val="26"/>
          <w:lang w:eastAsia="hu-HU"/>
        </w:rPr>
        <w:t> milliárd</w:t>
      </w:r>
      <w:r w:rsidRPr="0000132E">
        <w:rPr>
          <w:rFonts w:ascii="Times New Roman" w:eastAsia="Times New Roman" w:hAnsi="Times New Roman" w:cs="Times New Roman"/>
          <w:sz w:val="26"/>
          <w:szCs w:val="26"/>
          <w:lang w:eastAsia="hu-HU"/>
        </w:rPr>
        <w:t xml:space="preserve"> forintot tett ki. A Prémium Magyar Állampapír állománya 2026. március végére 514,5</w:t>
      </w:r>
      <w:r>
        <w:rPr>
          <w:rFonts w:ascii="Times New Roman" w:eastAsia="Times New Roman" w:hAnsi="Times New Roman" w:cs="Times New Roman"/>
          <w:sz w:val="26"/>
          <w:szCs w:val="26"/>
          <w:lang w:eastAsia="hu-HU"/>
        </w:rPr>
        <w:t> milliárd</w:t>
      </w:r>
      <w:r w:rsidRPr="0000132E">
        <w:rPr>
          <w:rFonts w:ascii="Times New Roman" w:eastAsia="Times New Roman" w:hAnsi="Times New Roman" w:cs="Times New Roman"/>
          <w:sz w:val="26"/>
          <w:szCs w:val="26"/>
          <w:lang w:eastAsia="hu-HU"/>
        </w:rPr>
        <w:t xml:space="preserve"> forinttal csökkent, amelynek következtében 3 195,3</w:t>
      </w:r>
      <w:r>
        <w:rPr>
          <w:rFonts w:ascii="Times New Roman" w:eastAsia="Times New Roman" w:hAnsi="Times New Roman" w:cs="Times New Roman"/>
          <w:sz w:val="26"/>
          <w:szCs w:val="26"/>
          <w:lang w:eastAsia="hu-HU"/>
        </w:rPr>
        <w:t> milliárd</w:t>
      </w:r>
      <w:r w:rsidRPr="0000132E">
        <w:rPr>
          <w:rFonts w:ascii="Times New Roman" w:eastAsia="Times New Roman" w:hAnsi="Times New Roman" w:cs="Times New Roman"/>
          <w:sz w:val="26"/>
          <w:szCs w:val="26"/>
          <w:lang w:eastAsia="hu-HU"/>
        </w:rPr>
        <w:t xml:space="preserve"> forintot tett ki. A lakossági állampapírok közül a Fix Magyar Állampapír értékesítése volt a legmagasabb márciusban.</w:t>
      </w:r>
    </w:p>
    <w:p w14:paraId="1FA8C6B2" w14:textId="77777777" w:rsidR="00432BDD" w:rsidRPr="0000132E" w:rsidRDefault="00432BDD" w:rsidP="00432BDD">
      <w:pPr>
        <w:jc w:val="both"/>
        <w:rPr>
          <w:rFonts w:ascii="Times New Roman" w:eastAsia="Times New Roman" w:hAnsi="Times New Roman" w:cs="Times New Roman"/>
          <w:sz w:val="26"/>
          <w:szCs w:val="26"/>
          <w:lang w:eastAsia="hu-HU"/>
        </w:rPr>
      </w:pPr>
      <w:r w:rsidRPr="0000132E">
        <w:rPr>
          <w:rFonts w:ascii="Times New Roman" w:eastAsia="Times New Roman" w:hAnsi="Times New Roman" w:cs="Times New Roman"/>
          <w:sz w:val="26"/>
          <w:szCs w:val="26"/>
          <w:lang w:eastAsia="hu-HU"/>
        </w:rPr>
        <w:t>Az ÁKK Zrt. március hó folyamán összesen 13,5</w:t>
      </w:r>
      <w:r>
        <w:rPr>
          <w:rFonts w:ascii="Times New Roman" w:eastAsia="Times New Roman" w:hAnsi="Times New Roman" w:cs="Times New Roman"/>
          <w:sz w:val="26"/>
          <w:szCs w:val="26"/>
          <w:lang w:eastAsia="hu-HU"/>
        </w:rPr>
        <w:t> milliárd</w:t>
      </w:r>
      <w:r w:rsidRPr="0000132E">
        <w:rPr>
          <w:rFonts w:ascii="Times New Roman" w:eastAsia="Times New Roman" w:hAnsi="Times New Roman" w:cs="Times New Roman"/>
          <w:sz w:val="26"/>
          <w:szCs w:val="26"/>
          <w:lang w:eastAsia="hu-HU"/>
        </w:rPr>
        <w:t xml:space="preserve"> forint összegben vásárolt vissza lakossági állampapírokat a forgalmazó bankoktól. A forgalmazóknak lehetősége van saját számlájukra került lakossági állampapírok cseréjére, amelynek keretében a lakossági állampapírokat az épp értékesítés alatt álló sorozatokra válthatják be, majd a másodpiacon tovább értékesíthetik a lakosság számára. Ennek keretében márciusban 35,7</w:t>
      </w:r>
      <w:r>
        <w:rPr>
          <w:rFonts w:ascii="Times New Roman" w:eastAsia="Times New Roman" w:hAnsi="Times New Roman" w:cs="Times New Roman"/>
          <w:sz w:val="26"/>
          <w:szCs w:val="26"/>
          <w:lang w:eastAsia="hu-HU"/>
        </w:rPr>
        <w:t> milliárd</w:t>
      </w:r>
      <w:r w:rsidRPr="0000132E">
        <w:rPr>
          <w:rFonts w:ascii="Times New Roman" w:eastAsia="Times New Roman" w:hAnsi="Times New Roman" w:cs="Times New Roman"/>
          <w:sz w:val="26"/>
          <w:szCs w:val="26"/>
          <w:lang w:eastAsia="hu-HU"/>
        </w:rPr>
        <w:t xml:space="preserve"> forint összegben váltották be a forgalmazók a saját számlájukra került lakossági állampapírokat.</w:t>
      </w:r>
    </w:p>
    <w:p w14:paraId="2F84FBFA" w14:textId="628B6E07" w:rsidR="002756E3" w:rsidRPr="002756E3" w:rsidRDefault="00432BDD" w:rsidP="00432BDD">
      <w:pPr>
        <w:jc w:val="both"/>
        <w:rPr>
          <w:rFonts w:ascii="Times New Roman" w:eastAsia="Times New Roman" w:hAnsi="Times New Roman" w:cs="Times New Roman"/>
          <w:sz w:val="26"/>
          <w:szCs w:val="26"/>
          <w:lang w:eastAsia="hu-HU"/>
        </w:rPr>
      </w:pPr>
      <w:r w:rsidRPr="0000132E">
        <w:rPr>
          <w:rFonts w:ascii="Times New Roman" w:eastAsia="Times New Roman" w:hAnsi="Times New Roman" w:cs="Times New Roman"/>
          <w:b/>
          <w:bCs/>
          <w:sz w:val="26"/>
          <w:szCs w:val="26"/>
          <w:lang w:eastAsia="hu-HU"/>
        </w:rPr>
        <w:t>A külföldi befektetők állampapír állománya</w:t>
      </w:r>
      <w:r w:rsidRPr="0000132E">
        <w:rPr>
          <w:rFonts w:ascii="Times New Roman" w:eastAsia="Times New Roman" w:hAnsi="Times New Roman" w:cs="Times New Roman"/>
          <w:sz w:val="26"/>
          <w:szCs w:val="26"/>
          <w:lang w:eastAsia="hu-HU"/>
        </w:rPr>
        <w:t xml:space="preserve"> márciusban 770,5</w:t>
      </w:r>
      <w:r>
        <w:rPr>
          <w:rFonts w:ascii="Times New Roman" w:eastAsia="Times New Roman" w:hAnsi="Times New Roman" w:cs="Times New Roman"/>
          <w:sz w:val="26"/>
          <w:szCs w:val="26"/>
          <w:lang w:eastAsia="hu-HU"/>
        </w:rPr>
        <w:t> milliárd</w:t>
      </w:r>
      <w:r w:rsidRPr="0000132E">
        <w:rPr>
          <w:rFonts w:ascii="Times New Roman" w:eastAsia="Times New Roman" w:hAnsi="Times New Roman" w:cs="Times New Roman"/>
          <w:sz w:val="26"/>
          <w:szCs w:val="26"/>
          <w:lang w:eastAsia="hu-HU"/>
        </w:rPr>
        <w:t xml:space="preserve"> forinttal 7550,2</w:t>
      </w:r>
      <w:r>
        <w:rPr>
          <w:rFonts w:ascii="Times New Roman" w:eastAsia="Times New Roman" w:hAnsi="Times New Roman" w:cs="Times New Roman"/>
          <w:sz w:val="26"/>
          <w:szCs w:val="26"/>
          <w:lang w:eastAsia="hu-HU"/>
        </w:rPr>
        <w:t> milliárd</w:t>
      </w:r>
      <w:r w:rsidRPr="0000132E">
        <w:rPr>
          <w:rFonts w:ascii="Times New Roman" w:eastAsia="Times New Roman" w:hAnsi="Times New Roman" w:cs="Times New Roman"/>
          <w:sz w:val="26"/>
          <w:szCs w:val="26"/>
          <w:lang w:eastAsia="hu-HU"/>
        </w:rPr>
        <w:t xml:space="preserve"> forintra csökkent az előző hónaphoz képest. A külföldi állomány 99,2%-a, 7492,9</w:t>
      </w:r>
      <w:r>
        <w:rPr>
          <w:rFonts w:ascii="Times New Roman" w:eastAsia="Times New Roman" w:hAnsi="Times New Roman" w:cs="Times New Roman"/>
          <w:sz w:val="26"/>
          <w:szCs w:val="26"/>
          <w:lang w:eastAsia="hu-HU"/>
        </w:rPr>
        <w:t> milliárd</w:t>
      </w:r>
      <w:r w:rsidRPr="0000132E">
        <w:rPr>
          <w:rFonts w:ascii="Times New Roman" w:eastAsia="Times New Roman" w:hAnsi="Times New Roman" w:cs="Times New Roman"/>
          <w:sz w:val="26"/>
          <w:szCs w:val="26"/>
          <w:lang w:eastAsia="hu-HU"/>
        </w:rPr>
        <w:t xml:space="preserve"> forint államkötvény, 0,8%-a, 57,3</w:t>
      </w:r>
      <w:r>
        <w:rPr>
          <w:rFonts w:ascii="Times New Roman" w:eastAsia="Times New Roman" w:hAnsi="Times New Roman" w:cs="Times New Roman"/>
          <w:sz w:val="26"/>
          <w:szCs w:val="26"/>
          <w:lang w:eastAsia="hu-HU"/>
        </w:rPr>
        <w:t> milliárd</w:t>
      </w:r>
      <w:r w:rsidRPr="0000132E">
        <w:rPr>
          <w:rFonts w:ascii="Times New Roman" w:eastAsia="Times New Roman" w:hAnsi="Times New Roman" w:cs="Times New Roman"/>
          <w:sz w:val="26"/>
          <w:szCs w:val="26"/>
          <w:lang w:eastAsia="hu-HU"/>
        </w:rPr>
        <w:t xml:space="preserve"> forint diszkontkincstárjegy. </w:t>
      </w:r>
      <w:r w:rsidR="0023586E">
        <w:rPr>
          <w:rFonts w:ascii="Times New Roman" w:eastAsia="Times New Roman" w:hAnsi="Times New Roman" w:cs="Times New Roman"/>
          <w:sz w:val="26"/>
          <w:szCs w:val="26"/>
          <w:lang w:eastAsia="hu-HU"/>
        </w:rPr>
        <w:br/>
      </w:r>
      <w:r w:rsidRPr="0000132E">
        <w:rPr>
          <w:rFonts w:ascii="Times New Roman" w:eastAsia="Times New Roman" w:hAnsi="Times New Roman" w:cs="Times New Roman"/>
          <w:sz w:val="26"/>
          <w:szCs w:val="26"/>
          <w:lang w:eastAsia="hu-HU"/>
        </w:rPr>
        <w:t>A</w:t>
      </w:r>
      <w:r w:rsidR="0023586E">
        <w:rPr>
          <w:rFonts w:ascii="Times New Roman" w:eastAsia="Times New Roman" w:hAnsi="Times New Roman" w:cs="Times New Roman"/>
          <w:sz w:val="26"/>
          <w:szCs w:val="26"/>
          <w:lang w:eastAsia="hu-HU"/>
        </w:rPr>
        <w:t xml:space="preserve"> </w:t>
      </w:r>
      <w:r w:rsidRPr="0000132E">
        <w:rPr>
          <w:rFonts w:ascii="Times New Roman" w:eastAsia="Times New Roman" w:hAnsi="Times New Roman" w:cs="Times New Roman"/>
          <w:sz w:val="26"/>
          <w:szCs w:val="26"/>
          <w:lang w:eastAsia="hu-HU"/>
        </w:rPr>
        <w:t>külföldi állomány átlagos hátralévő futamideje március végén 6,0 év volt.</w:t>
      </w:r>
      <w:r w:rsidR="0023586E">
        <w:rPr>
          <w:rFonts w:ascii="Times New Roman" w:eastAsia="Times New Roman" w:hAnsi="Times New Roman" w:cs="Times New Roman"/>
          <w:sz w:val="26"/>
          <w:szCs w:val="26"/>
          <w:lang w:eastAsia="hu-HU"/>
        </w:rPr>
        <w:t xml:space="preserve"> </w:t>
      </w:r>
      <w:r w:rsidR="0023586E">
        <w:rPr>
          <w:rFonts w:ascii="Times New Roman" w:eastAsia="Times New Roman" w:hAnsi="Times New Roman" w:cs="Times New Roman"/>
          <w:sz w:val="26"/>
          <w:szCs w:val="26"/>
          <w:lang w:eastAsia="hu-HU"/>
        </w:rPr>
        <w:br/>
      </w:r>
      <w:r w:rsidRPr="0000132E">
        <w:rPr>
          <w:rFonts w:ascii="Times New Roman" w:eastAsia="Times New Roman" w:hAnsi="Times New Roman" w:cs="Times New Roman"/>
          <w:sz w:val="26"/>
          <w:szCs w:val="26"/>
          <w:lang w:eastAsia="hu-HU"/>
        </w:rPr>
        <w:t>A devizaállamadósság kockázatainak mérséklése érdekében az ÁKK Zrt. swapügyleteket köt. Ezen ügyletekhez kapcsolódóan az ÁKK Zrt.-nél elhelyezett fedezeti összegek (ún. mark-to-market betétek) az adósságállomány részét képezik, és az „egyéb kötelezettségek” soron kerülnek kimutatásra. A vizsgált időszakban az egyéb kötelezettségek állománya 14,4</w:t>
      </w:r>
      <w:r>
        <w:rPr>
          <w:rFonts w:ascii="Times New Roman" w:eastAsia="Times New Roman" w:hAnsi="Times New Roman" w:cs="Times New Roman"/>
          <w:sz w:val="26"/>
          <w:szCs w:val="26"/>
          <w:lang w:eastAsia="hu-HU"/>
        </w:rPr>
        <w:t> milliárd</w:t>
      </w:r>
      <w:r w:rsidRPr="0000132E">
        <w:rPr>
          <w:rFonts w:ascii="Times New Roman" w:eastAsia="Times New Roman" w:hAnsi="Times New Roman" w:cs="Times New Roman"/>
          <w:sz w:val="26"/>
          <w:szCs w:val="26"/>
          <w:lang w:eastAsia="hu-HU"/>
        </w:rPr>
        <w:t xml:space="preserve"> forinttal emelkedett. Március végén az állomány 168,5</w:t>
      </w:r>
      <w:r>
        <w:rPr>
          <w:rFonts w:ascii="Times New Roman" w:eastAsia="Times New Roman" w:hAnsi="Times New Roman" w:cs="Times New Roman"/>
          <w:sz w:val="26"/>
          <w:szCs w:val="26"/>
          <w:lang w:eastAsia="hu-HU"/>
        </w:rPr>
        <w:t> milliárd</w:t>
      </w:r>
      <w:r w:rsidRPr="0000132E">
        <w:rPr>
          <w:rFonts w:ascii="Times New Roman" w:eastAsia="Times New Roman" w:hAnsi="Times New Roman" w:cs="Times New Roman"/>
          <w:sz w:val="26"/>
          <w:szCs w:val="26"/>
          <w:lang w:eastAsia="hu-HU"/>
        </w:rPr>
        <w:t xml:space="preserve"> forintot tett ki, ami a teljes államadósság 0,3%-át jelenti</w:t>
      </w:r>
      <w:r w:rsidRPr="28F9800E">
        <w:rPr>
          <w:rFonts w:ascii="Times New Roman" w:eastAsia="Times New Roman" w:hAnsi="Times New Roman" w:cs="Times New Roman"/>
          <w:sz w:val="26"/>
          <w:szCs w:val="26"/>
          <w:lang w:eastAsia="hu-HU"/>
        </w:rPr>
        <w:t>.</w:t>
      </w:r>
    </w:p>
    <w:sectPr w:rsidR="002756E3" w:rsidRPr="002756E3" w:rsidSect="007449BF">
      <w:headerReference w:type="even" r:id="rId31"/>
      <w:footerReference w:type="default" r:id="rId32"/>
      <w:footerReference w:type="first" r:id="rId33"/>
      <w:pgSz w:w="11906" w:h="16838"/>
      <w:pgMar w:top="1418" w:right="1134" w:bottom="1418" w:left="1134" w:header="708" w:footer="68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E043E" w14:textId="77777777" w:rsidR="00482CC1" w:rsidRDefault="00482CC1" w:rsidP="00B155FE">
      <w:pPr>
        <w:spacing w:after="0" w:line="240" w:lineRule="auto"/>
      </w:pPr>
      <w:r>
        <w:separator/>
      </w:r>
    </w:p>
  </w:endnote>
  <w:endnote w:type="continuationSeparator" w:id="0">
    <w:p w14:paraId="320DAFF2" w14:textId="77777777" w:rsidR="00482CC1" w:rsidRDefault="00482CC1" w:rsidP="00B155FE">
      <w:pPr>
        <w:spacing w:after="0" w:line="240" w:lineRule="auto"/>
      </w:pPr>
      <w:r>
        <w:continuationSeparator/>
      </w:r>
    </w:p>
  </w:endnote>
  <w:endnote w:type="continuationNotice" w:id="1">
    <w:p w14:paraId="3B696E81" w14:textId="77777777" w:rsidR="00482CC1" w:rsidRDefault="00482C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22D1F" w14:textId="4DE2DC1D" w:rsidR="00473AC1" w:rsidRDefault="00473AC1">
    <w:pPr>
      <w:pStyle w:val="llb"/>
      <w:jc w:val="center"/>
    </w:pPr>
  </w:p>
  <w:p w14:paraId="41773F2F" w14:textId="77777777" w:rsidR="00473AC1" w:rsidRDefault="00473AC1">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04736" w14:textId="0BDF3ABB" w:rsidR="00473AC1" w:rsidRDefault="00E02619" w:rsidP="00E02619">
    <w:pPr>
      <w:pStyle w:val="llb"/>
      <w:jc w:val="center"/>
    </w:pPr>
    <w:r>
      <w:rPr>
        <w:rFonts w:ascii="Times New Roman" w:hAnsi="Times New Roman" w:cs="Times New Roman"/>
        <w:sz w:val="24"/>
        <w:szCs w:val="24"/>
      </w:rPr>
      <w:t>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1558895"/>
      <w:docPartObj>
        <w:docPartGallery w:val="Page Numbers (Bottom of Page)"/>
        <w:docPartUnique/>
      </w:docPartObj>
    </w:sdtPr>
    <w:sdtEndPr>
      <w:rPr>
        <w:rFonts w:ascii="Times New Roman" w:hAnsi="Times New Roman" w:cs="Times New Roman"/>
        <w:sz w:val="24"/>
      </w:rPr>
    </w:sdtEndPr>
    <w:sdtContent>
      <w:p w14:paraId="10FD5F29" w14:textId="5A7BA186" w:rsidR="00473AC1" w:rsidRPr="00470868" w:rsidRDefault="00473AC1">
        <w:pPr>
          <w:pStyle w:val="llb"/>
          <w:jc w:val="center"/>
          <w:rPr>
            <w:rFonts w:ascii="Times New Roman" w:hAnsi="Times New Roman" w:cs="Times New Roman"/>
            <w:sz w:val="24"/>
          </w:rPr>
        </w:pPr>
        <w:r w:rsidRPr="00470868">
          <w:rPr>
            <w:rFonts w:ascii="Times New Roman" w:hAnsi="Times New Roman" w:cs="Times New Roman"/>
            <w:sz w:val="24"/>
          </w:rPr>
          <w:fldChar w:fldCharType="begin"/>
        </w:r>
        <w:r w:rsidRPr="00470868">
          <w:rPr>
            <w:rFonts w:ascii="Times New Roman" w:hAnsi="Times New Roman" w:cs="Times New Roman"/>
            <w:sz w:val="24"/>
          </w:rPr>
          <w:instrText>PAGE   \* MERGEFORMAT</w:instrText>
        </w:r>
        <w:r w:rsidRPr="00470868">
          <w:rPr>
            <w:rFonts w:ascii="Times New Roman" w:hAnsi="Times New Roman" w:cs="Times New Roman"/>
            <w:sz w:val="24"/>
          </w:rPr>
          <w:fldChar w:fldCharType="separate"/>
        </w:r>
        <w:r w:rsidR="00A948A8">
          <w:rPr>
            <w:rFonts w:ascii="Times New Roman" w:hAnsi="Times New Roman" w:cs="Times New Roman"/>
            <w:noProof/>
            <w:sz w:val="24"/>
          </w:rPr>
          <w:t>8</w:t>
        </w:r>
        <w:r w:rsidRPr="00470868">
          <w:rPr>
            <w:rFonts w:ascii="Times New Roman" w:hAnsi="Times New Roman" w:cs="Times New Roman"/>
            <w:sz w:val="24"/>
          </w:rPr>
          <w:fldChar w:fldCharType="end"/>
        </w:r>
      </w:p>
    </w:sdtContent>
  </w:sdt>
  <w:p w14:paraId="17329691" w14:textId="773A5D5E" w:rsidR="00473AC1" w:rsidRPr="00556984" w:rsidRDefault="00473AC1" w:rsidP="00556984">
    <w:pPr>
      <w:pStyle w:val="ll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218299"/>
      <w:docPartObj>
        <w:docPartGallery w:val="Page Numbers (Bottom of Page)"/>
        <w:docPartUnique/>
      </w:docPartObj>
    </w:sdtPr>
    <w:sdtEndPr>
      <w:rPr>
        <w:rFonts w:ascii="Times New Roman" w:hAnsi="Times New Roman" w:cs="Times New Roman"/>
        <w:sz w:val="24"/>
      </w:rPr>
    </w:sdtEndPr>
    <w:sdtContent>
      <w:p w14:paraId="7ADCE6C8" w14:textId="1E2D2D65" w:rsidR="00473AC1" w:rsidRPr="00D4148C" w:rsidRDefault="00473AC1">
        <w:pPr>
          <w:pStyle w:val="llb"/>
          <w:jc w:val="center"/>
          <w:rPr>
            <w:rFonts w:ascii="Times New Roman" w:hAnsi="Times New Roman" w:cs="Times New Roman"/>
            <w:sz w:val="24"/>
          </w:rPr>
        </w:pPr>
        <w:r>
          <w:rPr>
            <w:rFonts w:ascii="Times New Roman" w:hAnsi="Times New Roman" w:cs="Times New Roman"/>
            <w:sz w:val="24"/>
          </w:rPr>
          <w:t>2</w:t>
        </w:r>
        <w:r w:rsidR="00432BDD">
          <w:rPr>
            <w:rFonts w:ascii="Times New Roman" w:hAnsi="Times New Roman" w:cs="Times New Roman"/>
            <w:sz w:val="24"/>
          </w:rPr>
          <w:t>2</w:t>
        </w:r>
      </w:p>
    </w:sdtContent>
  </w:sdt>
  <w:p w14:paraId="078E8FA1" w14:textId="77777777" w:rsidR="00473AC1" w:rsidRDefault="00473AC1" w:rsidP="00C74E0F">
    <w:pPr>
      <w:pStyle w:val="llb"/>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40D1" w14:textId="583E2A93" w:rsidR="00473AC1" w:rsidRDefault="28F9800E" w:rsidP="004A3001">
    <w:pPr>
      <w:pStyle w:val="llb"/>
      <w:jc w:val="center"/>
    </w:pPr>
    <w:r w:rsidRPr="28F9800E">
      <w:rPr>
        <w:rFonts w:ascii="Times New Roman" w:hAnsi="Times New Roman" w:cs="Times New Roman"/>
        <w:sz w:val="24"/>
        <w:szCs w:val="24"/>
      </w:rPr>
      <w:t>2</w:t>
    </w:r>
    <w:r w:rsidR="00E02619">
      <w:rPr>
        <w:rFonts w:ascii="Times New Roman" w:hAnsi="Times New Roman" w:cs="Times New Roman"/>
        <w:sz w:val="24"/>
        <w:szCs w:val="24"/>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7C081" w14:textId="77777777" w:rsidR="00482CC1" w:rsidRDefault="00482CC1" w:rsidP="00B155FE">
      <w:pPr>
        <w:spacing w:after="0" w:line="240" w:lineRule="auto"/>
      </w:pPr>
      <w:r>
        <w:separator/>
      </w:r>
    </w:p>
  </w:footnote>
  <w:footnote w:type="continuationSeparator" w:id="0">
    <w:p w14:paraId="023B5D0F" w14:textId="77777777" w:rsidR="00482CC1" w:rsidRDefault="00482CC1" w:rsidP="00B155FE">
      <w:pPr>
        <w:spacing w:after="0" w:line="240" w:lineRule="auto"/>
      </w:pPr>
      <w:r>
        <w:continuationSeparator/>
      </w:r>
    </w:p>
  </w:footnote>
  <w:footnote w:type="continuationNotice" w:id="1">
    <w:p w14:paraId="1CDB1B47" w14:textId="77777777" w:rsidR="00482CC1" w:rsidRDefault="00482C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18"/>
      <w:gridCol w:w="3118"/>
      <w:gridCol w:w="3118"/>
    </w:tblGrid>
    <w:tr w:rsidR="00473AC1" w14:paraId="1027336C" w14:textId="77777777" w:rsidTr="75E7E8C2">
      <w:tc>
        <w:tcPr>
          <w:tcW w:w="3118" w:type="dxa"/>
        </w:tcPr>
        <w:p w14:paraId="4C837DDD" w14:textId="79A8EEFC" w:rsidR="00473AC1" w:rsidRDefault="00473AC1" w:rsidP="75E7E8C2">
          <w:pPr>
            <w:pStyle w:val="lfej"/>
            <w:ind w:left="-115"/>
          </w:pPr>
        </w:p>
      </w:tc>
      <w:tc>
        <w:tcPr>
          <w:tcW w:w="3118" w:type="dxa"/>
        </w:tcPr>
        <w:p w14:paraId="215A5B55" w14:textId="4B5EFC16" w:rsidR="00473AC1" w:rsidRDefault="00473AC1" w:rsidP="75E7E8C2">
          <w:pPr>
            <w:pStyle w:val="lfej"/>
            <w:jc w:val="center"/>
          </w:pPr>
        </w:p>
      </w:tc>
      <w:tc>
        <w:tcPr>
          <w:tcW w:w="3118" w:type="dxa"/>
        </w:tcPr>
        <w:p w14:paraId="08CD3A76" w14:textId="283AC16D" w:rsidR="00473AC1" w:rsidRDefault="00473AC1" w:rsidP="75E7E8C2">
          <w:pPr>
            <w:pStyle w:val="lfej"/>
            <w:ind w:right="-115"/>
            <w:jc w:val="right"/>
          </w:pPr>
        </w:p>
      </w:tc>
    </w:tr>
  </w:tbl>
  <w:p w14:paraId="4176297E" w14:textId="7CD13837" w:rsidR="00473AC1" w:rsidRDefault="00473AC1" w:rsidP="75E7E8C2">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F47D1" w14:textId="3D0DDD49" w:rsidR="00473AC1" w:rsidRDefault="00473AC1" w:rsidP="75E7E8C2">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68C96" w14:textId="77777777" w:rsidR="00473AC1" w:rsidRPr="00881044" w:rsidRDefault="00473AC1" w:rsidP="00C74E0F">
    <w:pPr>
      <w:pStyle w:val="lfej"/>
      <w:rPr>
        <w:rStyle w:val="Oldalszm"/>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68C97" w14:textId="77777777" w:rsidR="00473AC1" w:rsidRPr="00FE4DD1" w:rsidRDefault="00473AC1" w:rsidP="00C74E0F">
    <w:pPr>
      <w:pStyle w:val="lfej"/>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7009518"/>
      <w:docPartObj>
        <w:docPartGallery w:val="Page Numbers (Top of Page)"/>
        <w:docPartUnique/>
      </w:docPartObj>
    </w:sdtPr>
    <w:sdtEndPr>
      <w:rPr>
        <w:noProof/>
      </w:rPr>
    </w:sdtEndPr>
    <w:sdtContent>
      <w:p w14:paraId="2CB15785" w14:textId="77777777" w:rsidR="00473AC1" w:rsidRDefault="00473AC1">
        <w:pPr>
          <w:pStyle w:val="lfej"/>
          <w:jc w:val="center"/>
        </w:pPr>
        <w:r>
          <w:fldChar w:fldCharType="begin"/>
        </w:r>
        <w:r>
          <w:instrText xml:space="preserve"> PAGE   \* MERGEFORMAT </w:instrText>
        </w:r>
        <w:r>
          <w:fldChar w:fldCharType="separate"/>
        </w:r>
        <w:r>
          <w:rPr>
            <w:noProof/>
          </w:rPr>
          <w:t>20</w:t>
        </w:r>
        <w:r>
          <w:rPr>
            <w:noProof/>
          </w:rPr>
          <w:fldChar w:fldCharType="end"/>
        </w:r>
      </w:p>
    </w:sdtContent>
  </w:sdt>
  <w:p w14:paraId="2A775F7D" w14:textId="77777777" w:rsidR="00473AC1" w:rsidRDefault="00473AC1">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7298"/>
    <w:multiLevelType w:val="hybridMultilevel"/>
    <w:tmpl w:val="44CCC2AC"/>
    <w:lvl w:ilvl="0" w:tplc="08783BEC">
      <w:start w:val="1"/>
      <w:numFmt w:val="decimal"/>
      <w:lvlText w:val="%1."/>
      <w:lvlJc w:val="left"/>
      <w:pPr>
        <w:ind w:left="720" w:hanging="360"/>
      </w:pPr>
      <w:rPr>
        <w:rFonts w:hint="default"/>
        <w:u w:val="no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36602D43"/>
    <w:multiLevelType w:val="hybridMultilevel"/>
    <w:tmpl w:val="390E53F2"/>
    <w:lvl w:ilvl="0" w:tplc="F872D380">
      <w:start w:val="1"/>
      <w:numFmt w:val="bullet"/>
      <w:lvlText w:val=""/>
      <w:lvlJc w:val="left"/>
      <w:pPr>
        <w:ind w:left="720" w:hanging="360"/>
      </w:pPr>
      <w:rPr>
        <w:rFonts w:ascii="Symbol" w:hAnsi="Symbol" w:hint="default"/>
      </w:rPr>
    </w:lvl>
    <w:lvl w:ilvl="1" w:tplc="86BC4448">
      <w:start w:val="1"/>
      <w:numFmt w:val="bullet"/>
      <w:lvlText w:val="o"/>
      <w:lvlJc w:val="left"/>
      <w:pPr>
        <w:ind w:left="1440" w:hanging="360"/>
      </w:pPr>
      <w:rPr>
        <w:rFonts w:ascii="Courier New" w:hAnsi="Courier New" w:hint="default"/>
      </w:rPr>
    </w:lvl>
    <w:lvl w:ilvl="2" w:tplc="F05C9352">
      <w:start w:val="1"/>
      <w:numFmt w:val="bullet"/>
      <w:lvlText w:val=""/>
      <w:lvlJc w:val="left"/>
      <w:pPr>
        <w:ind w:left="2160" w:hanging="360"/>
      </w:pPr>
      <w:rPr>
        <w:rFonts w:ascii="Wingdings" w:hAnsi="Wingdings" w:hint="default"/>
      </w:rPr>
    </w:lvl>
    <w:lvl w:ilvl="3" w:tplc="232EF98C">
      <w:start w:val="1"/>
      <w:numFmt w:val="bullet"/>
      <w:lvlText w:val=""/>
      <w:lvlJc w:val="left"/>
      <w:pPr>
        <w:ind w:left="2880" w:hanging="360"/>
      </w:pPr>
      <w:rPr>
        <w:rFonts w:ascii="Symbol" w:hAnsi="Symbol" w:hint="default"/>
      </w:rPr>
    </w:lvl>
    <w:lvl w:ilvl="4" w:tplc="03066B72">
      <w:start w:val="1"/>
      <w:numFmt w:val="bullet"/>
      <w:lvlText w:val="o"/>
      <w:lvlJc w:val="left"/>
      <w:pPr>
        <w:ind w:left="3600" w:hanging="360"/>
      </w:pPr>
      <w:rPr>
        <w:rFonts w:ascii="Courier New" w:hAnsi="Courier New" w:hint="default"/>
      </w:rPr>
    </w:lvl>
    <w:lvl w:ilvl="5" w:tplc="7A906010">
      <w:start w:val="1"/>
      <w:numFmt w:val="bullet"/>
      <w:lvlText w:val=""/>
      <w:lvlJc w:val="left"/>
      <w:pPr>
        <w:ind w:left="4320" w:hanging="360"/>
      </w:pPr>
      <w:rPr>
        <w:rFonts w:ascii="Wingdings" w:hAnsi="Wingdings" w:hint="default"/>
      </w:rPr>
    </w:lvl>
    <w:lvl w:ilvl="6" w:tplc="9F6A3F04">
      <w:start w:val="1"/>
      <w:numFmt w:val="bullet"/>
      <w:lvlText w:val=""/>
      <w:lvlJc w:val="left"/>
      <w:pPr>
        <w:ind w:left="5040" w:hanging="360"/>
      </w:pPr>
      <w:rPr>
        <w:rFonts w:ascii="Symbol" w:hAnsi="Symbol" w:hint="default"/>
      </w:rPr>
    </w:lvl>
    <w:lvl w:ilvl="7" w:tplc="D5603E42">
      <w:start w:val="1"/>
      <w:numFmt w:val="bullet"/>
      <w:lvlText w:val="o"/>
      <w:lvlJc w:val="left"/>
      <w:pPr>
        <w:ind w:left="5760" w:hanging="360"/>
      </w:pPr>
      <w:rPr>
        <w:rFonts w:ascii="Courier New" w:hAnsi="Courier New" w:hint="default"/>
      </w:rPr>
    </w:lvl>
    <w:lvl w:ilvl="8" w:tplc="F1D4D0F8">
      <w:start w:val="1"/>
      <w:numFmt w:val="bullet"/>
      <w:lvlText w:val=""/>
      <w:lvlJc w:val="left"/>
      <w:pPr>
        <w:ind w:left="6480" w:hanging="360"/>
      </w:pPr>
      <w:rPr>
        <w:rFonts w:ascii="Wingdings" w:hAnsi="Wingdings" w:hint="default"/>
      </w:rPr>
    </w:lvl>
  </w:abstractNum>
  <w:abstractNum w:abstractNumId="2" w15:restartNumberingAfterBreak="0">
    <w:nsid w:val="3CC7670D"/>
    <w:multiLevelType w:val="hybridMultilevel"/>
    <w:tmpl w:val="FDDC7674"/>
    <w:lvl w:ilvl="0" w:tplc="9120DF1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51033469"/>
    <w:multiLevelType w:val="hybridMultilevel"/>
    <w:tmpl w:val="D612FE54"/>
    <w:lvl w:ilvl="0" w:tplc="85BCE940">
      <w:start w:val="1"/>
      <w:numFmt w:val="bullet"/>
      <w:lvlText w:val=""/>
      <w:lvlJc w:val="left"/>
      <w:pPr>
        <w:ind w:left="720" w:hanging="360"/>
      </w:pPr>
      <w:rPr>
        <w:rFonts w:ascii="Symbol" w:hAnsi="Symbol" w:hint="default"/>
      </w:rPr>
    </w:lvl>
    <w:lvl w:ilvl="1" w:tplc="EDE89D4A">
      <w:start w:val="1"/>
      <w:numFmt w:val="bullet"/>
      <w:lvlText w:val="o"/>
      <w:lvlJc w:val="left"/>
      <w:pPr>
        <w:ind w:left="1440" w:hanging="360"/>
      </w:pPr>
      <w:rPr>
        <w:rFonts w:ascii="Courier New" w:hAnsi="Courier New" w:hint="default"/>
      </w:rPr>
    </w:lvl>
    <w:lvl w:ilvl="2" w:tplc="91061732">
      <w:start w:val="1"/>
      <w:numFmt w:val="bullet"/>
      <w:lvlText w:val=""/>
      <w:lvlJc w:val="left"/>
      <w:pPr>
        <w:ind w:left="2160" w:hanging="360"/>
      </w:pPr>
      <w:rPr>
        <w:rFonts w:ascii="Wingdings" w:hAnsi="Wingdings" w:hint="default"/>
      </w:rPr>
    </w:lvl>
    <w:lvl w:ilvl="3" w:tplc="5D04C974">
      <w:start w:val="1"/>
      <w:numFmt w:val="bullet"/>
      <w:lvlText w:val=""/>
      <w:lvlJc w:val="left"/>
      <w:pPr>
        <w:ind w:left="2880" w:hanging="360"/>
      </w:pPr>
      <w:rPr>
        <w:rFonts w:ascii="Symbol" w:hAnsi="Symbol" w:hint="default"/>
      </w:rPr>
    </w:lvl>
    <w:lvl w:ilvl="4" w:tplc="1C648E36">
      <w:start w:val="1"/>
      <w:numFmt w:val="bullet"/>
      <w:lvlText w:val="o"/>
      <w:lvlJc w:val="left"/>
      <w:pPr>
        <w:ind w:left="3600" w:hanging="360"/>
      </w:pPr>
      <w:rPr>
        <w:rFonts w:ascii="Courier New" w:hAnsi="Courier New" w:hint="default"/>
      </w:rPr>
    </w:lvl>
    <w:lvl w:ilvl="5" w:tplc="2DB00CB0">
      <w:start w:val="1"/>
      <w:numFmt w:val="bullet"/>
      <w:lvlText w:val=""/>
      <w:lvlJc w:val="left"/>
      <w:pPr>
        <w:ind w:left="4320" w:hanging="360"/>
      </w:pPr>
      <w:rPr>
        <w:rFonts w:ascii="Wingdings" w:hAnsi="Wingdings" w:hint="default"/>
      </w:rPr>
    </w:lvl>
    <w:lvl w:ilvl="6" w:tplc="3C9E0854">
      <w:start w:val="1"/>
      <w:numFmt w:val="bullet"/>
      <w:lvlText w:val=""/>
      <w:lvlJc w:val="left"/>
      <w:pPr>
        <w:ind w:left="5040" w:hanging="360"/>
      </w:pPr>
      <w:rPr>
        <w:rFonts w:ascii="Symbol" w:hAnsi="Symbol" w:hint="default"/>
      </w:rPr>
    </w:lvl>
    <w:lvl w:ilvl="7" w:tplc="EF2AE296">
      <w:start w:val="1"/>
      <w:numFmt w:val="bullet"/>
      <w:lvlText w:val="o"/>
      <w:lvlJc w:val="left"/>
      <w:pPr>
        <w:ind w:left="5760" w:hanging="360"/>
      </w:pPr>
      <w:rPr>
        <w:rFonts w:ascii="Courier New" w:hAnsi="Courier New" w:hint="default"/>
      </w:rPr>
    </w:lvl>
    <w:lvl w:ilvl="8" w:tplc="1B7CE0FC">
      <w:start w:val="1"/>
      <w:numFmt w:val="bullet"/>
      <w:lvlText w:val=""/>
      <w:lvlJc w:val="left"/>
      <w:pPr>
        <w:ind w:left="6480" w:hanging="360"/>
      </w:pPr>
      <w:rPr>
        <w:rFonts w:ascii="Wingdings" w:hAnsi="Wingdings" w:hint="default"/>
      </w:rPr>
    </w:lvl>
  </w:abstractNum>
  <w:abstractNum w:abstractNumId="4" w15:restartNumberingAfterBreak="0">
    <w:nsid w:val="5573523A"/>
    <w:multiLevelType w:val="hybridMultilevel"/>
    <w:tmpl w:val="92D45DA0"/>
    <w:lvl w:ilvl="0" w:tplc="5E42905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670F720B"/>
    <w:multiLevelType w:val="hybridMultilevel"/>
    <w:tmpl w:val="9D34690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266037878">
    <w:abstractNumId w:val="3"/>
  </w:num>
  <w:num w:numId="2" w16cid:durableId="1584029188">
    <w:abstractNumId w:val="4"/>
  </w:num>
  <w:num w:numId="3" w16cid:durableId="831068418">
    <w:abstractNumId w:val="0"/>
  </w:num>
  <w:num w:numId="4" w16cid:durableId="1692486892">
    <w:abstractNumId w:val="5"/>
  </w:num>
  <w:num w:numId="5" w16cid:durableId="347831722">
    <w:abstractNumId w:val="2"/>
  </w:num>
  <w:num w:numId="6" w16cid:durableId="1995450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5FE"/>
    <w:rsid w:val="00000517"/>
    <w:rsid w:val="0000169C"/>
    <w:rsid w:val="000017BD"/>
    <w:rsid w:val="00001DDD"/>
    <w:rsid w:val="00001F08"/>
    <w:rsid w:val="000044C3"/>
    <w:rsid w:val="00007D4A"/>
    <w:rsid w:val="00007DB5"/>
    <w:rsid w:val="000103E9"/>
    <w:rsid w:val="000118DE"/>
    <w:rsid w:val="000131DE"/>
    <w:rsid w:val="00015558"/>
    <w:rsid w:val="00015945"/>
    <w:rsid w:val="0001644C"/>
    <w:rsid w:val="00020D17"/>
    <w:rsid w:val="0002105A"/>
    <w:rsid w:val="0002125B"/>
    <w:rsid w:val="00022205"/>
    <w:rsid w:val="00022974"/>
    <w:rsid w:val="000237EA"/>
    <w:rsid w:val="00024158"/>
    <w:rsid w:val="0002586B"/>
    <w:rsid w:val="00025889"/>
    <w:rsid w:val="00026266"/>
    <w:rsid w:val="0002674A"/>
    <w:rsid w:val="000302F3"/>
    <w:rsid w:val="00031896"/>
    <w:rsid w:val="00031C82"/>
    <w:rsid w:val="00031C9D"/>
    <w:rsid w:val="00034760"/>
    <w:rsid w:val="000365DC"/>
    <w:rsid w:val="0003668B"/>
    <w:rsid w:val="0003701E"/>
    <w:rsid w:val="000401EE"/>
    <w:rsid w:val="0004032B"/>
    <w:rsid w:val="000407DB"/>
    <w:rsid w:val="00042512"/>
    <w:rsid w:val="00042C38"/>
    <w:rsid w:val="00043E49"/>
    <w:rsid w:val="00044042"/>
    <w:rsid w:val="000458BD"/>
    <w:rsid w:val="00045DF7"/>
    <w:rsid w:val="00046A69"/>
    <w:rsid w:val="000471E4"/>
    <w:rsid w:val="000512BB"/>
    <w:rsid w:val="00051E9B"/>
    <w:rsid w:val="0005236D"/>
    <w:rsid w:val="00052502"/>
    <w:rsid w:val="0005250F"/>
    <w:rsid w:val="00052554"/>
    <w:rsid w:val="00052E4F"/>
    <w:rsid w:val="00054358"/>
    <w:rsid w:val="00054CDA"/>
    <w:rsid w:val="00055632"/>
    <w:rsid w:val="00057916"/>
    <w:rsid w:val="000611EC"/>
    <w:rsid w:val="000617B7"/>
    <w:rsid w:val="00064521"/>
    <w:rsid w:val="000647BF"/>
    <w:rsid w:val="0006496D"/>
    <w:rsid w:val="00064D6A"/>
    <w:rsid w:val="00064E2A"/>
    <w:rsid w:val="00065E19"/>
    <w:rsid w:val="00067A57"/>
    <w:rsid w:val="00070EAC"/>
    <w:rsid w:val="00071FA3"/>
    <w:rsid w:val="00072A58"/>
    <w:rsid w:val="0007336F"/>
    <w:rsid w:val="0007525D"/>
    <w:rsid w:val="000770F3"/>
    <w:rsid w:val="00077440"/>
    <w:rsid w:val="0008062F"/>
    <w:rsid w:val="000809B3"/>
    <w:rsid w:val="00081A0C"/>
    <w:rsid w:val="00081A16"/>
    <w:rsid w:val="00081FF0"/>
    <w:rsid w:val="00082ADE"/>
    <w:rsid w:val="000846A7"/>
    <w:rsid w:val="00085B09"/>
    <w:rsid w:val="00085C37"/>
    <w:rsid w:val="00085DCC"/>
    <w:rsid w:val="000867D1"/>
    <w:rsid w:val="000874F4"/>
    <w:rsid w:val="00087C75"/>
    <w:rsid w:val="00090829"/>
    <w:rsid w:val="00090E70"/>
    <w:rsid w:val="00091B18"/>
    <w:rsid w:val="00091F16"/>
    <w:rsid w:val="00093C26"/>
    <w:rsid w:val="0009484D"/>
    <w:rsid w:val="00095983"/>
    <w:rsid w:val="00095C95"/>
    <w:rsid w:val="00096300"/>
    <w:rsid w:val="000A0A88"/>
    <w:rsid w:val="000A0C4E"/>
    <w:rsid w:val="000A18F9"/>
    <w:rsid w:val="000A19F4"/>
    <w:rsid w:val="000A1F24"/>
    <w:rsid w:val="000A2818"/>
    <w:rsid w:val="000A296F"/>
    <w:rsid w:val="000A2EAB"/>
    <w:rsid w:val="000A3AC0"/>
    <w:rsid w:val="000A4669"/>
    <w:rsid w:val="000A4732"/>
    <w:rsid w:val="000A4839"/>
    <w:rsid w:val="000A531B"/>
    <w:rsid w:val="000A7964"/>
    <w:rsid w:val="000A7B53"/>
    <w:rsid w:val="000B1235"/>
    <w:rsid w:val="000B1B99"/>
    <w:rsid w:val="000B2569"/>
    <w:rsid w:val="000B49AE"/>
    <w:rsid w:val="000B58F0"/>
    <w:rsid w:val="000B6723"/>
    <w:rsid w:val="000B6BE0"/>
    <w:rsid w:val="000B7018"/>
    <w:rsid w:val="000C1105"/>
    <w:rsid w:val="000C13F2"/>
    <w:rsid w:val="000C1781"/>
    <w:rsid w:val="000C1B6F"/>
    <w:rsid w:val="000C20F7"/>
    <w:rsid w:val="000C2BFE"/>
    <w:rsid w:val="000C31E5"/>
    <w:rsid w:val="000C3D4C"/>
    <w:rsid w:val="000C46F3"/>
    <w:rsid w:val="000C6AA1"/>
    <w:rsid w:val="000C7CC7"/>
    <w:rsid w:val="000D074C"/>
    <w:rsid w:val="000D1BA8"/>
    <w:rsid w:val="000D39EE"/>
    <w:rsid w:val="000D4A41"/>
    <w:rsid w:val="000D4E21"/>
    <w:rsid w:val="000D59E2"/>
    <w:rsid w:val="000D5A5C"/>
    <w:rsid w:val="000D6C88"/>
    <w:rsid w:val="000D76F4"/>
    <w:rsid w:val="000D7836"/>
    <w:rsid w:val="000D7C83"/>
    <w:rsid w:val="000D7EFD"/>
    <w:rsid w:val="000E08FE"/>
    <w:rsid w:val="000E3639"/>
    <w:rsid w:val="000E4202"/>
    <w:rsid w:val="000E4745"/>
    <w:rsid w:val="000E488F"/>
    <w:rsid w:val="000E4A68"/>
    <w:rsid w:val="000E4B01"/>
    <w:rsid w:val="000E4BA6"/>
    <w:rsid w:val="000E4F73"/>
    <w:rsid w:val="000E5868"/>
    <w:rsid w:val="000E5AA8"/>
    <w:rsid w:val="000E690A"/>
    <w:rsid w:val="000E78FE"/>
    <w:rsid w:val="000F046E"/>
    <w:rsid w:val="000F13BA"/>
    <w:rsid w:val="000F1F89"/>
    <w:rsid w:val="000F63B6"/>
    <w:rsid w:val="000F6EA5"/>
    <w:rsid w:val="000F765C"/>
    <w:rsid w:val="000F76C4"/>
    <w:rsid w:val="0010108E"/>
    <w:rsid w:val="00101618"/>
    <w:rsid w:val="001023AC"/>
    <w:rsid w:val="00103723"/>
    <w:rsid w:val="00103FE9"/>
    <w:rsid w:val="00104A6A"/>
    <w:rsid w:val="001074A1"/>
    <w:rsid w:val="0010753C"/>
    <w:rsid w:val="00110C6D"/>
    <w:rsid w:val="00113105"/>
    <w:rsid w:val="001135FA"/>
    <w:rsid w:val="001138B8"/>
    <w:rsid w:val="0011423A"/>
    <w:rsid w:val="00115834"/>
    <w:rsid w:val="00115AF5"/>
    <w:rsid w:val="00115B71"/>
    <w:rsid w:val="00117E64"/>
    <w:rsid w:val="001209E7"/>
    <w:rsid w:val="00120B53"/>
    <w:rsid w:val="001215DC"/>
    <w:rsid w:val="001229C6"/>
    <w:rsid w:val="0012490F"/>
    <w:rsid w:val="00125040"/>
    <w:rsid w:val="0012611D"/>
    <w:rsid w:val="001266D5"/>
    <w:rsid w:val="00126926"/>
    <w:rsid w:val="00126D53"/>
    <w:rsid w:val="00127579"/>
    <w:rsid w:val="00130472"/>
    <w:rsid w:val="00131103"/>
    <w:rsid w:val="00133EE6"/>
    <w:rsid w:val="0013421A"/>
    <w:rsid w:val="0013434A"/>
    <w:rsid w:val="00134BE6"/>
    <w:rsid w:val="00134EEA"/>
    <w:rsid w:val="001357E1"/>
    <w:rsid w:val="0013596C"/>
    <w:rsid w:val="00135EA3"/>
    <w:rsid w:val="00136087"/>
    <w:rsid w:val="001366F9"/>
    <w:rsid w:val="001378AC"/>
    <w:rsid w:val="00142F01"/>
    <w:rsid w:val="001436B9"/>
    <w:rsid w:val="00146517"/>
    <w:rsid w:val="00147C0E"/>
    <w:rsid w:val="00150CCD"/>
    <w:rsid w:val="0015200F"/>
    <w:rsid w:val="0015256A"/>
    <w:rsid w:val="00153722"/>
    <w:rsid w:val="0015385C"/>
    <w:rsid w:val="00153C19"/>
    <w:rsid w:val="00155283"/>
    <w:rsid w:val="001552F0"/>
    <w:rsid w:val="00155301"/>
    <w:rsid w:val="00155BD4"/>
    <w:rsid w:val="00156079"/>
    <w:rsid w:val="001615DE"/>
    <w:rsid w:val="00161C4F"/>
    <w:rsid w:val="00162178"/>
    <w:rsid w:val="00163233"/>
    <w:rsid w:val="00167874"/>
    <w:rsid w:val="00170E23"/>
    <w:rsid w:val="001722D8"/>
    <w:rsid w:val="00174A9A"/>
    <w:rsid w:val="001765F3"/>
    <w:rsid w:val="00180316"/>
    <w:rsid w:val="00180337"/>
    <w:rsid w:val="00180C20"/>
    <w:rsid w:val="00182D6E"/>
    <w:rsid w:val="00182EA1"/>
    <w:rsid w:val="00183D4C"/>
    <w:rsid w:val="001849A2"/>
    <w:rsid w:val="00184AA7"/>
    <w:rsid w:val="00185268"/>
    <w:rsid w:val="001855C0"/>
    <w:rsid w:val="0018560D"/>
    <w:rsid w:val="00186B09"/>
    <w:rsid w:val="0019060B"/>
    <w:rsid w:val="00190E21"/>
    <w:rsid w:val="0019257A"/>
    <w:rsid w:val="00193514"/>
    <w:rsid w:val="001936BE"/>
    <w:rsid w:val="00193DF7"/>
    <w:rsid w:val="00194065"/>
    <w:rsid w:val="001941D1"/>
    <w:rsid w:val="00194CD1"/>
    <w:rsid w:val="00194E8F"/>
    <w:rsid w:val="00194EEE"/>
    <w:rsid w:val="001962B3"/>
    <w:rsid w:val="001967FC"/>
    <w:rsid w:val="001970FB"/>
    <w:rsid w:val="00197516"/>
    <w:rsid w:val="001A025E"/>
    <w:rsid w:val="001A0C94"/>
    <w:rsid w:val="001A2835"/>
    <w:rsid w:val="001A36F0"/>
    <w:rsid w:val="001A4175"/>
    <w:rsid w:val="001A4E5E"/>
    <w:rsid w:val="001A57FD"/>
    <w:rsid w:val="001A5B43"/>
    <w:rsid w:val="001A5BE2"/>
    <w:rsid w:val="001A6222"/>
    <w:rsid w:val="001A7E0B"/>
    <w:rsid w:val="001B0DB1"/>
    <w:rsid w:val="001B1B58"/>
    <w:rsid w:val="001B307C"/>
    <w:rsid w:val="001B389C"/>
    <w:rsid w:val="001B3F56"/>
    <w:rsid w:val="001B4158"/>
    <w:rsid w:val="001B416B"/>
    <w:rsid w:val="001B4DF1"/>
    <w:rsid w:val="001B50D2"/>
    <w:rsid w:val="001B6F61"/>
    <w:rsid w:val="001C0209"/>
    <w:rsid w:val="001C0E26"/>
    <w:rsid w:val="001C1935"/>
    <w:rsid w:val="001C21CA"/>
    <w:rsid w:val="001C28BA"/>
    <w:rsid w:val="001C456C"/>
    <w:rsid w:val="001C4D5A"/>
    <w:rsid w:val="001C7BF2"/>
    <w:rsid w:val="001D04A8"/>
    <w:rsid w:val="001D04FF"/>
    <w:rsid w:val="001D17F4"/>
    <w:rsid w:val="001D1FEA"/>
    <w:rsid w:val="001D22D6"/>
    <w:rsid w:val="001D2DD6"/>
    <w:rsid w:val="001D42E6"/>
    <w:rsid w:val="001D4975"/>
    <w:rsid w:val="001D49AD"/>
    <w:rsid w:val="001D6BA0"/>
    <w:rsid w:val="001D701F"/>
    <w:rsid w:val="001D709B"/>
    <w:rsid w:val="001D7FB5"/>
    <w:rsid w:val="001E0CF6"/>
    <w:rsid w:val="001E2D1E"/>
    <w:rsid w:val="001E3BA9"/>
    <w:rsid w:val="001E4B4D"/>
    <w:rsid w:val="001E4C57"/>
    <w:rsid w:val="001E6717"/>
    <w:rsid w:val="001E6750"/>
    <w:rsid w:val="001E689B"/>
    <w:rsid w:val="001E7243"/>
    <w:rsid w:val="001E7C1C"/>
    <w:rsid w:val="001F0233"/>
    <w:rsid w:val="001F10C2"/>
    <w:rsid w:val="001F14EB"/>
    <w:rsid w:val="001F4D95"/>
    <w:rsid w:val="001F7400"/>
    <w:rsid w:val="001F7BB0"/>
    <w:rsid w:val="001F7CA7"/>
    <w:rsid w:val="00201050"/>
    <w:rsid w:val="00201886"/>
    <w:rsid w:val="00201D91"/>
    <w:rsid w:val="00202A40"/>
    <w:rsid w:val="00203266"/>
    <w:rsid w:val="0020367E"/>
    <w:rsid w:val="0020471C"/>
    <w:rsid w:val="00204D0A"/>
    <w:rsid w:val="00204EA6"/>
    <w:rsid w:val="0020759E"/>
    <w:rsid w:val="00210593"/>
    <w:rsid w:val="002107FF"/>
    <w:rsid w:val="00210B1E"/>
    <w:rsid w:val="00212111"/>
    <w:rsid w:val="00213E49"/>
    <w:rsid w:val="002147CD"/>
    <w:rsid w:val="00215359"/>
    <w:rsid w:val="00215B35"/>
    <w:rsid w:val="00215F73"/>
    <w:rsid w:val="00216DC3"/>
    <w:rsid w:val="00217D8B"/>
    <w:rsid w:val="0022104D"/>
    <w:rsid w:val="00221916"/>
    <w:rsid w:val="0022196A"/>
    <w:rsid w:val="00221A06"/>
    <w:rsid w:val="002223AF"/>
    <w:rsid w:val="00224466"/>
    <w:rsid w:val="0022447A"/>
    <w:rsid w:val="00224692"/>
    <w:rsid w:val="00224714"/>
    <w:rsid w:val="002247AD"/>
    <w:rsid w:val="00224E67"/>
    <w:rsid w:val="002260BF"/>
    <w:rsid w:val="002267D0"/>
    <w:rsid w:val="00226A85"/>
    <w:rsid w:val="002276A7"/>
    <w:rsid w:val="0022DF0C"/>
    <w:rsid w:val="00230666"/>
    <w:rsid w:val="002310C9"/>
    <w:rsid w:val="00232288"/>
    <w:rsid w:val="00232FCD"/>
    <w:rsid w:val="0023586E"/>
    <w:rsid w:val="00235F55"/>
    <w:rsid w:val="0023693F"/>
    <w:rsid w:val="00236BF8"/>
    <w:rsid w:val="0024009D"/>
    <w:rsid w:val="002400E5"/>
    <w:rsid w:val="0024065B"/>
    <w:rsid w:val="002409BB"/>
    <w:rsid w:val="00240D0F"/>
    <w:rsid w:val="00241A82"/>
    <w:rsid w:val="00241E69"/>
    <w:rsid w:val="0024232D"/>
    <w:rsid w:val="0024454E"/>
    <w:rsid w:val="00244786"/>
    <w:rsid w:val="0024586E"/>
    <w:rsid w:val="0025038B"/>
    <w:rsid w:val="00250E1F"/>
    <w:rsid w:val="0025229C"/>
    <w:rsid w:val="00252EE5"/>
    <w:rsid w:val="00255506"/>
    <w:rsid w:val="002564C4"/>
    <w:rsid w:val="00256C78"/>
    <w:rsid w:val="00257190"/>
    <w:rsid w:val="00261087"/>
    <w:rsid w:val="00261221"/>
    <w:rsid w:val="00261256"/>
    <w:rsid w:val="0026130A"/>
    <w:rsid w:val="00261F15"/>
    <w:rsid w:val="00262041"/>
    <w:rsid w:val="0026208D"/>
    <w:rsid w:val="002655BB"/>
    <w:rsid w:val="00265E51"/>
    <w:rsid w:val="00266768"/>
    <w:rsid w:val="002678FB"/>
    <w:rsid w:val="00271066"/>
    <w:rsid w:val="002725E9"/>
    <w:rsid w:val="00272765"/>
    <w:rsid w:val="00272CF0"/>
    <w:rsid w:val="002734B7"/>
    <w:rsid w:val="002736E9"/>
    <w:rsid w:val="0027381C"/>
    <w:rsid w:val="00274E1F"/>
    <w:rsid w:val="002756E3"/>
    <w:rsid w:val="00275CF5"/>
    <w:rsid w:val="002763AE"/>
    <w:rsid w:val="00280225"/>
    <w:rsid w:val="00280C09"/>
    <w:rsid w:val="00280E99"/>
    <w:rsid w:val="00281CE8"/>
    <w:rsid w:val="0028274C"/>
    <w:rsid w:val="002827DF"/>
    <w:rsid w:val="00282A85"/>
    <w:rsid w:val="00284631"/>
    <w:rsid w:val="00285866"/>
    <w:rsid w:val="00286170"/>
    <w:rsid w:val="0028671F"/>
    <w:rsid w:val="00290289"/>
    <w:rsid w:val="002910F0"/>
    <w:rsid w:val="0029176A"/>
    <w:rsid w:val="002921A1"/>
    <w:rsid w:val="0029251A"/>
    <w:rsid w:val="0029365F"/>
    <w:rsid w:val="00293965"/>
    <w:rsid w:val="00293BB0"/>
    <w:rsid w:val="00295391"/>
    <w:rsid w:val="002954AA"/>
    <w:rsid w:val="00295EBB"/>
    <w:rsid w:val="002975B9"/>
    <w:rsid w:val="002A11AD"/>
    <w:rsid w:val="002A1BCD"/>
    <w:rsid w:val="002A34E6"/>
    <w:rsid w:val="002A41A8"/>
    <w:rsid w:val="002A4B97"/>
    <w:rsid w:val="002A4F7A"/>
    <w:rsid w:val="002A6144"/>
    <w:rsid w:val="002B0545"/>
    <w:rsid w:val="002B09F4"/>
    <w:rsid w:val="002B1FE2"/>
    <w:rsid w:val="002B2235"/>
    <w:rsid w:val="002B2B83"/>
    <w:rsid w:val="002B39F8"/>
    <w:rsid w:val="002B3F6F"/>
    <w:rsid w:val="002B492B"/>
    <w:rsid w:val="002B4E58"/>
    <w:rsid w:val="002B5961"/>
    <w:rsid w:val="002B6AEE"/>
    <w:rsid w:val="002B7BB9"/>
    <w:rsid w:val="002B7C36"/>
    <w:rsid w:val="002C11E9"/>
    <w:rsid w:val="002C1531"/>
    <w:rsid w:val="002C25D3"/>
    <w:rsid w:val="002C32FF"/>
    <w:rsid w:val="002C34B8"/>
    <w:rsid w:val="002C4EE9"/>
    <w:rsid w:val="002C5F14"/>
    <w:rsid w:val="002C6300"/>
    <w:rsid w:val="002C688F"/>
    <w:rsid w:val="002C6917"/>
    <w:rsid w:val="002C6B74"/>
    <w:rsid w:val="002C6F14"/>
    <w:rsid w:val="002D04D3"/>
    <w:rsid w:val="002D0677"/>
    <w:rsid w:val="002D1B11"/>
    <w:rsid w:val="002D20E7"/>
    <w:rsid w:val="002D387C"/>
    <w:rsid w:val="002D4984"/>
    <w:rsid w:val="002D4BD2"/>
    <w:rsid w:val="002D56EC"/>
    <w:rsid w:val="002D6497"/>
    <w:rsid w:val="002D6802"/>
    <w:rsid w:val="002D7478"/>
    <w:rsid w:val="002D7CCE"/>
    <w:rsid w:val="002D7D55"/>
    <w:rsid w:val="002E08A7"/>
    <w:rsid w:val="002E1C57"/>
    <w:rsid w:val="002E2022"/>
    <w:rsid w:val="002E23EC"/>
    <w:rsid w:val="002E2D79"/>
    <w:rsid w:val="002E31EF"/>
    <w:rsid w:val="002E401D"/>
    <w:rsid w:val="002E4CE9"/>
    <w:rsid w:val="002E4E83"/>
    <w:rsid w:val="002E502E"/>
    <w:rsid w:val="002E589F"/>
    <w:rsid w:val="002E5FBF"/>
    <w:rsid w:val="002E70D5"/>
    <w:rsid w:val="002E75A7"/>
    <w:rsid w:val="002E7744"/>
    <w:rsid w:val="002E7EAD"/>
    <w:rsid w:val="002F0795"/>
    <w:rsid w:val="002F0E70"/>
    <w:rsid w:val="002F150D"/>
    <w:rsid w:val="002F2521"/>
    <w:rsid w:val="002F25C3"/>
    <w:rsid w:val="002F3D61"/>
    <w:rsid w:val="002F4854"/>
    <w:rsid w:val="002F4E3B"/>
    <w:rsid w:val="002F5E69"/>
    <w:rsid w:val="002F6126"/>
    <w:rsid w:val="002F6DDD"/>
    <w:rsid w:val="002F7F1A"/>
    <w:rsid w:val="00300C27"/>
    <w:rsid w:val="0030136A"/>
    <w:rsid w:val="003016AA"/>
    <w:rsid w:val="003018B0"/>
    <w:rsid w:val="00303306"/>
    <w:rsid w:val="003050ED"/>
    <w:rsid w:val="00306C97"/>
    <w:rsid w:val="00306EFA"/>
    <w:rsid w:val="00307C4F"/>
    <w:rsid w:val="003100A2"/>
    <w:rsid w:val="003112A9"/>
    <w:rsid w:val="0031139E"/>
    <w:rsid w:val="00311E85"/>
    <w:rsid w:val="003138FC"/>
    <w:rsid w:val="00313E8A"/>
    <w:rsid w:val="00314245"/>
    <w:rsid w:val="0031468F"/>
    <w:rsid w:val="0031479F"/>
    <w:rsid w:val="00315E40"/>
    <w:rsid w:val="00316788"/>
    <w:rsid w:val="00316DCC"/>
    <w:rsid w:val="003208C8"/>
    <w:rsid w:val="00322101"/>
    <w:rsid w:val="0032261D"/>
    <w:rsid w:val="00323B30"/>
    <w:rsid w:val="00324B1E"/>
    <w:rsid w:val="0032514C"/>
    <w:rsid w:val="00326644"/>
    <w:rsid w:val="00327378"/>
    <w:rsid w:val="00327D30"/>
    <w:rsid w:val="003310E3"/>
    <w:rsid w:val="00331938"/>
    <w:rsid w:val="00331B23"/>
    <w:rsid w:val="00331DCD"/>
    <w:rsid w:val="00333A2D"/>
    <w:rsid w:val="00334321"/>
    <w:rsid w:val="0033462C"/>
    <w:rsid w:val="00334D9F"/>
    <w:rsid w:val="00334DE1"/>
    <w:rsid w:val="00336470"/>
    <w:rsid w:val="00336B23"/>
    <w:rsid w:val="00336E30"/>
    <w:rsid w:val="00340008"/>
    <w:rsid w:val="0034134A"/>
    <w:rsid w:val="003415FE"/>
    <w:rsid w:val="0034232F"/>
    <w:rsid w:val="003434B6"/>
    <w:rsid w:val="00343A3D"/>
    <w:rsid w:val="00343F69"/>
    <w:rsid w:val="00345686"/>
    <w:rsid w:val="003458A2"/>
    <w:rsid w:val="00346073"/>
    <w:rsid w:val="00346908"/>
    <w:rsid w:val="0034721A"/>
    <w:rsid w:val="00347F4F"/>
    <w:rsid w:val="00350210"/>
    <w:rsid w:val="00350F76"/>
    <w:rsid w:val="00351743"/>
    <w:rsid w:val="003517A3"/>
    <w:rsid w:val="00351831"/>
    <w:rsid w:val="00351B39"/>
    <w:rsid w:val="00351D59"/>
    <w:rsid w:val="003524B0"/>
    <w:rsid w:val="003526BB"/>
    <w:rsid w:val="003550F2"/>
    <w:rsid w:val="003558B8"/>
    <w:rsid w:val="003559D3"/>
    <w:rsid w:val="00356959"/>
    <w:rsid w:val="0035701C"/>
    <w:rsid w:val="00360024"/>
    <w:rsid w:val="00362276"/>
    <w:rsid w:val="003632EE"/>
    <w:rsid w:val="00364745"/>
    <w:rsid w:val="0036497A"/>
    <w:rsid w:val="00366359"/>
    <w:rsid w:val="00366838"/>
    <w:rsid w:val="003676D3"/>
    <w:rsid w:val="00370B57"/>
    <w:rsid w:val="00370CD6"/>
    <w:rsid w:val="00371825"/>
    <w:rsid w:val="0037227B"/>
    <w:rsid w:val="00373612"/>
    <w:rsid w:val="0037378C"/>
    <w:rsid w:val="00374988"/>
    <w:rsid w:val="003754BF"/>
    <w:rsid w:val="00375C19"/>
    <w:rsid w:val="0037705D"/>
    <w:rsid w:val="003772C6"/>
    <w:rsid w:val="00377D59"/>
    <w:rsid w:val="003804A3"/>
    <w:rsid w:val="00380D8A"/>
    <w:rsid w:val="00381A54"/>
    <w:rsid w:val="003824FA"/>
    <w:rsid w:val="00382EE1"/>
    <w:rsid w:val="003847D8"/>
    <w:rsid w:val="00384AA3"/>
    <w:rsid w:val="00385EC8"/>
    <w:rsid w:val="003865FB"/>
    <w:rsid w:val="00387FF8"/>
    <w:rsid w:val="00390A19"/>
    <w:rsid w:val="00390D71"/>
    <w:rsid w:val="0039133A"/>
    <w:rsid w:val="00391ACC"/>
    <w:rsid w:val="003942C9"/>
    <w:rsid w:val="003943D5"/>
    <w:rsid w:val="003953C4"/>
    <w:rsid w:val="00395832"/>
    <w:rsid w:val="003979AE"/>
    <w:rsid w:val="00397C7F"/>
    <w:rsid w:val="003A0943"/>
    <w:rsid w:val="003A0BA1"/>
    <w:rsid w:val="003A2419"/>
    <w:rsid w:val="003A4B83"/>
    <w:rsid w:val="003A4D97"/>
    <w:rsid w:val="003A5C78"/>
    <w:rsid w:val="003A6B84"/>
    <w:rsid w:val="003A7E2F"/>
    <w:rsid w:val="003A7F3F"/>
    <w:rsid w:val="003B04CA"/>
    <w:rsid w:val="003B2E1F"/>
    <w:rsid w:val="003B356C"/>
    <w:rsid w:val="003B53B6"/>
    <w:rsid w:val="003B55AB"/>
    <w:rsid w:val="003B56F5"/>
    <w:rsid w:val="003B5A9A"/>
    <w:rsid w:val="003C09EA"/>
    <w:rsid w:val="003C1306"/>
    <w:rsid w:val="003C13C6"/>
    <w:rsid w:val="003C1F7C"/>
    <w:rsid w:val="003C20B2"/>
    <w:rsid w:val="003C2D6B"/>
    <w:rsid w:val="003C391B"/>
    <w:rsid w:val="003C501E"/>
    <w:rsid w:val="003C52F6"/>
    <w:rsid w:val="003C5470"/>
    <w:rsid w:val="003C57BB"/>
    <w:rsid w:val="003C6F64"/>
    <w:rsid w:val="003D0602"/>
    <w:rsid w:val="003D16B4"/>
    <w:rsid w:val="003D21B5"/>
    <w:rsid w:val="003D27F6"/>
    <w:rsid w:val="003D4300"/>
    <w:rsid w:val="003D5132"/>
    <w:rsid w:val="003D61A8"/>
    <w:rsid w:val="003D6AD3"/>
    <w:rsid w:val="003E05FC"/>
    <w:rsid w:val="003E2A67"/>
    <w:rsid w:val="003E3693"/>
    <w:rsid w:val="003E46ED"/>
    <w:rsid w:val="003E4A11"/>
    <w:rsid w:val="003E4A41"/>
    <w:rsid w:val="003E508C"/>
    <w:rsid w:val="003E5FD0"/>
    <w:rsid w:val="003E622C"/>
    <w:rsid w:val="003E634A"/>
    <w:rsid w:val="003E7547"/>
    <w:rsid w:val="003F0619"/>
    <w:rsid w:val="003F1571"/>
    <w:rsid w:val="003F15D4"/>
    <w:rsid w:val="003F18A4"/>
    <w:rsid w:val="003F267F"/>
    <w:rsid w:val="003F3149"/>
    <w:rsid w:val="003F3151"/>
    <w:rsid w:val="003F354B"/>
    <w:rsid w:val="003F417E"/>
    <w:rsid w:val="003F4F73"/>
    <w:rsid w:val="003F65BF"/>
    <w:rsid w:val="00400149"/>
    <w:rsid w:val="004003D1"/>
    <w:rsid w:val="00401009"/>
    <w:rsid w:val="00401229"/>
    <w:rsid w:val="004012A0"/>
    <w:rsid w:val="00401B4D"/>
    <w:rsid w:val="00402B47"/>
    <w:rsid w:val="00403D7E"/>
    <w:rsid w:val="00404793"/>
    <w:rsid w:val="0040704D"/>
    <w:rsid w:val="00411AC0"/>
    <w:rsid w:val="00411BDD"/>
    <w:rsid w:val="00414CDD"/>
    <w:rsid w:val="004163D7"/>
    <w:rsid w:val="004206D8"/>
    <w:rsid w:val="00421775"/>
    <w:rsid w:val="004220DE"/>
    <w:rsid w:val="00422213"/>
    <w:rsid w:val="00422A0B"/>
    <w:rsid w:val="0042380D"/>
    <w:rsid w:val="004269CF"/>
    <w:rsid w:val="00427EF9"/>
    <w:rsid w:val="00427F34"/>
    <w:rsid w:val="00427FBF"/>
    <w:rsid w:val="0043012E"/>
    <w:rsid w:val="00430812"/>
    <w:rsid w:val="00430D26"/>
    <w:rsid w:val="00432BDD"/>
    <w:rsid w:val="00433316"/>
    <w:rsid w:val="00433577"/>
    <w:rsid w:val="0043393D"/>
    <w:rsid w:val="00436C3A"/>
    <w:rsid w:val="004412D5"/>
    <w:rsid w:val="0044233D"/>
    <w:rsid w:val="00442993"/>
    <w:rsid w:val="0044396F"/>
    <w:rsid w:val="00444303"/>
    <w:rsid w:val="00444554"/>
    <w:rsid w:val="00444BD9"/>
    <w:rsid w:val="0044587B"/>
    <w:rsid w:val="00446026"/>
    <w:rsid w:val="004478CA"/>
    <w:rsid w:val="00451306"/>
    <w:rsid w:val="004523FE"/>
    <w:rsid w:val="00452639"/>
    <w:rsid w:val="00453786"/>
    <w:rsid w:val="00455A9C"/>
    <w:rsid w:val="004561EE"/>
    <w:rsid w:val="0045694E"/>
    <w:rsid w:val="00456EAE"/>
    <w:rsid w:val="00457124"/>
    <w:rsid w:val="00457711"/>
    <w:rsid w:val="00457918"/>
    <w:rsid w:val="00457950"/>
    <w:rsid w:val="004603AD"/>
    <w:rsid w:val="004605F2"/>
    <w:rsid w:val="00461216"/>
    <w:rsid w:val="00462EDD"/>
    <w:rsid w:val="00463BF1"/>
    <w:rsid w:val="00464ADF"/>
    <w:rsid w:val="00464B6D"/>
    <w:rsid w:val="00464D42"/>
    <w:rsid w:val="00465074"/>
    <w:rsid w:val="00465E07"/>
    <w:rsid w:val="00466164"/>
    <w:rsid w:val="00466390"/>
    <w:rsid w:val="00466A47"/>
    <w:rsid w:val="00466C80"/>
    <w:rsid w:val="00467A58"/>
    <w:rsid w:val="00467BD6"/>
    <w:rsid w:val="00470868"/>
    <w:rsid w:val="004726B3"/>
    <w:rsid w:val="004727C2"/>
    <w:rsid w:val="004730BE"/>
    <w:rsid w:val="00473AC1"/>
    <w:rsid w:val="00474AC8"/>
    <w:rsid w:val="00477B37"/>
    <w:rsid w:val="004816C1"/>
    <w:rsid w:val="00482908"/>
    <w:rsid w:val="00482CC1"/>
    <w:rsid w:val="0048361E"/>
    <w:rsid w:val="004837DC"/>
    <w:rsid w:val="00484365"/>
    <w:rsid w:val="0048484D"/>
    <w:rsid w:val="00485019"/>
    <w:rsid w:val="004854D3"/>
    <w:rsid w:val="00485E1E"/>
    <w:rsid w:val="004879B8"/>
    <w:rsid w:val="00490330"/>
    <w:rsid w:val="0049287F"/>
    <w:rsid w:val="00492CAB"/>
    <w:rsid w:val="00494B89"/>
    <w:rsid w:val="00494D4B"/>
    <w:rsid w:val="004951E8"/>
    <w:rsid w:val="004966FE"/>
    <w:rsid w:val="00496C75"/>
    <w:rsid w:val="00496EAA"/>
    <w:rsid w:val="004971F1"/>
    <w:rsid w:val="004A0A15"/>
    <w:rsid w:val="004A2974"/>
    <w:rsid w:val="004A3001"/>
    <w:rsid w:val="004A3258"/>
    <w:rsid w:val="004A6A8F"/>
    <w:rsid w:val="004A6DD1"/>
    <w:rsid w:val="004A6F31"/>
    <w:rsid w:val="004B03C5"/>
    <w:rsid w:val="004B0F31"/>
    <w:rsid w:val="004B1132"/>
    <w:rsid w:val="004B1AF1"/>
    <w:rsid w:val="004B2192"/>
    <w:rsid w:val="004B2CAC"/>
    <w:rsid w:val="004B2DC3"/>
    <w:rsid w:val="004B30A3"/>
    <w:rsid w:val="004B3295"/>
    <w:rsid w:val="004B33EA"/>
    <w:rsid w:val="004B3704"/>
    <w:rsid w:val="004B391E"/>
    <w:rsid w:val="004B60A5"/>
    <w:rsid w:val="004B7931"/>
    <w:rsid w:val="004B7DC9"/>
    <w:rsid w:val="004C0575"/>
    <w:rsid w:val="004C0F47"/>
    <w:rsid w:val="004C1AE7"/>
    <w:rsid w:val="004C1B57"/>
    <w:rsid w:val="004C2BB5"/>
    <w:rsid w:val="004C31EB"/>
    <w:rsid w:val="004C3A05"/>
    <w:rsid w:val="004C3E54"/>
    <w:rsid w:val="004C5206"/>
    <w:rsid w:val="004C5E84"/>
    <w:rsid w:val="004C64E7"/>
    <w:rsid w:val="004C6BF5"/>
    <w:rsid w:val="004C73AF"/>
    <w:rsid w:val="004C74F8"/>
    <w:rsid w:val="004D06BA"/>
    <w:rsid w:val="004D0EEC"/>
    <w:rsid w:val="004D1711"/>
    <w:rsid w:val="004D32C3"/>
    <w:rsid w:val="004D3C6E"/>
    <w:rsid w:val="004D50F6"/>
    <w:rsid w:val="004D5146"/>
    <w:rsid w:val="004D549E"/>
    <w:rsid w:val="004D72BB"/>
    <w:rsid w:val="004D7623"/>
    <w:rsid w:val="004E069E"/>
    <w:rsid w:val="004E12D4"/>
    <w:rsid w:val="004E13F6"/>
    <w:rsid w:val="004E141D"/>
    <w:rsid w:val="004E1DC8"/>
    <w:rsid w:val="004E1FF6"/>
    <w:rsid w:val="004E23DD"/>
    <w:rsid w:val="004E259E"/>
    <w:rsid w:val="004E504E"/>
    <w:rsid w:val="004E5F60"/>
    <w:rsid w:val="004E6B81"/>
    <w:rsid w:val="004E6FA2"/>
    <w:rsid w:val="004E7487"/>
    <w:rsid w:val="004F2496"/>
    <w:rsid w:val="004F25F4"/>
    <w:rsid w:val="004F277F"/>
    <w:rsid w:val="004F32A3"/>
    <w:rsid w:val="004F3641"/>
    <w:rsid w:val="004F3AFD"/>
    <w:rsid w:val="004F3B57"/>
    <w:rsid w:val="004F3F73"/>
    <w:rsid w:val="004F41FE"/>
    <w:rsid w:val="004F4571"/>
    <w:rsid w:val="004F6040"/>
    <w:rsid w:val="004F63CD"/>
    <w:rsid w:val="005019C9"/>
    <w:rsid w:val="00502998"/>
    <w:rsid w:val="00503BE6"/>
    <w:rsid w:val="00504A64"/>
    <w:rsid w:val="00504F0B"/>
    <w:rsid w:val="00505767"/>
    <w:rsid w:val="0050611B"/>
    <w:rsid w:val="0050640B"/>
    <w:rsid w:val="00507BC3"/>
    <w:rsid w:val="0051029C"/>
    <w:rsid w:val="00510390"/>
    <w:rsid w:val="00510655"/>
    <w:rsid w:val="005106CA"/>
    <w:rsid w:val="00512E06"/>
    <w:rsid w:val="00512F67"/>
    <w:rsid w:val="00515112"/>
    <w:rsid w:val="005171E0"/>
    <w:rsid w:val="005173AB"/>
    <w:rsid w:val="00520DE7"/>
    <w:rsid w:val="00521BEE"/>
    <w:rsid w:val="00522350"/>
    <w:rsid w:val="00523670"/>
    <w:rsid w:val="00523772"/>
    <w:rsid w:val="00523C26"/>
    <w:rsid w:val="005246B0"/>
    <w:rsid w:val="00525D74"/>
    <w:rsid w:val="00526D67"/>
    <w:rsid w:val="00527154"/>
    <w:rsid w:val="005271DC"/>
    <w:rsid w:val="005278BA"/>
    <w:rsid w:val="00527BF5"/>
    <w:rsid w:val="0053032B"/>
    <w:rsid w:val="00530561"/>
    <w:rsid w:val="00530DB0"/>
    <w:rsid w:val="0053190B"/>
    <w:rsid w:val="00531A41"/>
    <w:rsid w:val="00531E11"/>
    <w:rsid w:val="00533CAF"/>
    <w:rsid w:val="005349A5"/>
    <w:rsid w:val="00540FF8"/>
    <w:rsid w:val="00541866"/>
    <w:rsid w:val="00541988"/>
    <w:rsid w:val="00541D66"/>
    <w:rsid w:val="00543F6A"/>
    <w:rsid w:val="00545562"/>
    <w:rsid w:val="00545BAB"/>
    <w:rsid w:val="0054669C"/>
    <w:rsid w:val="00546DC0"/>
    <w:rsid w:val="00547A9D"/>
    <w:rsid w:val="00547E18"/>
    <w:rsid w:val="0055132B"/>
    <w:rsid w:val="005518E4"/>
    <w:rsid w:val="005521BE"/>
    <w:rsid w:val="00553319"/>
    <w:rsid w:val="005535B5"/>
    <w:rsid w:val="00556984"/>
    <w:rsid w:val="00556EC4"/>
    <w:rsid w:val="0055711F"/>
    <w:rsid w:val="00557FA3"/>
    <w:rsid w:val="0056020F"/>
    <w:rsid w:val="00560E0A"/>
    <w:rsid w:val="0056202F"/>
    <w:rsid w:val="005635A9"/>
    <w:rsid w:val="005652EE"/>
    <w:rsid w:val="00565662"/>
    <w:rsid w:val="00567CCD"/>
    <w:rsid w:val="00570628"/>
    <w:rsid w:val="005710F5"/>
    <w:rsid w:val="00572182"/>
    <w:rsid w:val="00577309"/>
    <w:rsid w:val="0057753A"/>
    <w:rsid w:val="00577BC5"/>
    <w:rsid w:val="00581259"/>
    <w:rsid w:val="005824F1"/>
    <w:rsid w:val="00584382"/>
    <w:rsid w:val="00584DFC"/>
    <w:rsid w:val="005854D3"/>
    <w:rsid w:val="00585F22"/>
    <w:rsid w:val="005861AE"/>
    <w:rsid w:val="005865EE"/>
    <w:rsid w:val="00587EF6"/>
    <w:rsid w:val="00590630"/>
    <w:rsid w:val="00590E73"/>
    <w:rsid w:val="005916AF"/>
    <w:rsid w:val="00591D8B"/>
    <w:rsid w:val="00591E27"/>
    <w:rsid w:val="005920CB"/>
    <w:rsid w:val="0059272E"/>
    <w:rsid w:val="00592E0B"/>
    <w:rsid w:val="005933D0"/>
    <w:rsid w:val="00595277"/>
    <w:rsid w:val="005961B9"/>
    <w:rsid w:val="00597117"/>
    <w:rsid w:val="005971AF"/>
    <w:rsid w:val="00597EA7"/>
    <w:rsid w:val="005A0706"/>
    <w:rsid w:val="005A0AFC"/>
    <w:rsid w:val="005A1631"/>
    <w:rsid w:val="005A1E0F"/>
    <w:rsid w:val="005A246F"/>
    <w:rsid w:val="005A29CC"/>
    <w:rsid w:val="005A2C54"/>
    <w:rsid w:val="005A2FAA"/>
    <w:rsid w:val="005A34A7"/>
    <w:rsid w:val="005A405E"/>
    <w:rsid w:val="005A684D"/>
    <w:rsid w:val="005A799B"/>
    <w:rsid w:val="005B053D"/>
    <w:rsid w:val="005B0833"/>
    <w:rsid w:val="005B0D1F"/>
    <w:rsid w:val="005B1180"/>
    <w:rsid w:val="005B2320"/>
    <w:rsid w:val="005B2606"/>
    <w:rsid w:val="005B269A"/>
    <w:rsid w:val="005B326D"/>
    <w:rsid w:val="005B3CDC"/>
    <w:rsid w:val="005B3D58"/>
    <w:rsid w:val="005B4611"/>
    <w:rsid w:val="005B4CA8"/>
    <w:rsid w:val="005B5A7D"/>
    <w:rsid w:val="005C0096"/>
    <w:rsid w:val="005C08A1"/>
    <w:rsid w:val="005C15F7"/>
    <w:rsid w:val="005C1AC5"/>
    <w:rsid w:val="005C32F3"/>
    <w:rsid w:val="005C34CA"/>
    <w:rsid w:val="005C3CF0"/>
    <w:rsid w:val="005C3E1F"/>
    <w:rsid w:val="005C3ECD"/>
    <w:rsid w:val="005C4E5A"/>
    <w:rsid w:val="005C78B3"/>
    <w:rsid w:val="005D02FC"/>
    <w:rsid w:val="005D119B"/>
    <w:rsid w:val="005D2900"/>
    <w:rsid w:val="005D3512"/>
    <w:rsid w:val="005D3B78"/>
    <w:rsid w:val="005D3E59"/>
    <w:rsid w:val="005D42A9"/>
    <w:rsid w:val="005D513C"/>
    <w:rsid w:val="005D5304"/>
    <w:rsid w:val="005D666F"/>
    <w:rsid w:val="005D6FA1"/>
    <w:rsid w:val="005E0C48"/>
    <w:rsid w:val="005E1651"/>
    <w:rsid w:val="005E1A83"/>
    <w:rsid w:val="005E31AC"/>
    <w:rsid w:val="005E34FD"/>
    <w:rsid w:val="005E45B0"/>
    <w:rsid w:val="005E5043"/>
    <w:rsid w:val="005E58C2"/>
    <w:rsid w:val="005E6443"/>
    <w:rsid w:val="005E6647"/>
    <w:rsid w:val="005F0581"/>
    <w:rsid w:val="005F1EEB"/>
    <w:rsid w:val="005F252F"/>
    <w:rsid w:val="005F5EDA"/>
    <w:rsid w:val="005F608E"/>
    <w:rsid w:val="005F7B25"/>
    <w:rsid w:val="005F7D0D"/>
    <w:rsid w:val="006013D2"/>
    <w:rsid w:val="00601C5A"/>
    <w:rsid w:val="00602E3C"/>
    <w:rsid w:val="00602EE4"/>
    <w:rsid w:val="00603461"/>
    <w:rsid w:val="006068B4"/>
    <w:rsid w:val="006079B4"/>
    <w:rsid w:val="00607B0F"/>
    <w:rsid w:val="00607C87"/>
    <w:rsid w:val="006106CD"/>
    <w:rsid w:val="006116FE"/>
    <w:rsid w:val="00611B90"/>
    <w:rsid w:val="00614293"/>
    <w:rsid w:val="00614FF0"/>
    <w:rsid w:val="00616AB4"/>
    <w:rsid w:val="00617877"/>
    <w:rsid w:val="00617ED1"/>
    <w:rsid w:val="006200F6"/>
    <w:rsid w:val="00620CC0"/>
    <w:rsid w:val="00621840"/>
    <w:rsid w:val="006222FA"/>
    <w:rsid w:val="006224FC"/>
    <w:rsid w:val="006244D6"/>
    <w:rsid w:val="006246EB"/>
    <w:rsid w:val="006254A4"/>
    <w:rsid w:val="00625A7C"/>
    <w:rsid w:val="006260BC"/>
    <w:rsid w:val="00626339"/>
    <w:rsid w:val="00626577"/>
    <w:rsid w:val="0063002E"/>
    <w:rsid w:val="006314BC"/>
    <w:rsid w:val="00631F76"/>
    <w:rsid w:val="006320E9"/>
    <w:rsid w:val="00632B6F"/>
    <w:rsid w:val="006330AD"/>
    <w:rsid w:val="00635CE2"/>
    <w:rsid w:val="00637245"/>
    <w:rsid w:val="0063782C"/>
    <w:rsid w:val="00637F9C"/>
    <w:rsid w:val="00640595"/>
    <w:rsid w:val="00641968"/>
    <w:rsid w:val="00644395"/>
    <w:rsid w:val="006449C9"/>
    <w:rsid w:val="006461FB"/>
    <w:rsid w:val="00646A42"/>
    <w:rsid w:val="006507F3"/>
    <w:rsid w:val="00650D65"/>
    <w:rsid w:val="00650D9E"/>
    <w:rsid w:val="00656077"/>
    <w:rsid w:val="006569D7"/>
    <w:rsid w:val="00656DFE"/>
    <w:rsid w:val="00656E38"/>
    <w:rsid w:val="00657D8D"/>
    <w:rsid w:val="00660576"/>
    <w:rsid w:val="0066185B"/>
    <w:rsid w:val="0066786F"/>
    <w:rsid w:val="00667FF1"/>
    <w:rsid w:val="00670A50"/>
    <w:rsid w:val="0067190E"/>
    <w:rsid w:val="00671F24"/>
    <w:rsid w:val="006737F6"/>
    <w:rsid w:val="00673E4A"/>
    <w:rsid w:val="006750CB"/>
    <w:rsid w:val="00675784"/>
    <w:rsid w:val="006757CD"/>
    <w:rsid w:val="00675EDE"/>
    <w:rsid w:val="00676F5C"/>
    <w:rsid w:val="0067747F"/>
    <w:rsid w:val="00677483"/>
    <w:rsid w:val="006777EF"/>
    <w:rsid w:val="006817A6"/>
    <w:rsid w:val="006818BE"/>
    <w:rsid w:val="0068195E"/>
    <w:rsid w:val="00681D20"/>
    <w:rsid w:val="00681D46"/>
    <w:rsid w:val="00681D62"/>
    <w:rsid w:val="00681ED2"/>
    <w:rsid w:val="006821C2"/>
    <w:rsid w:val="006829CF"/>
    <w:rsid w:val="00684395"/>
    <w:rsid w:val="006843D1"/>
    <w:rsid w:val="00684D06"/>
    <w:rsid w:val="0068535B"/>
    <w:rsid w:val="00685DCD"/>
    <w:rsid w:val="00686075"/>
    <w:rsid w:val="00686E44"/>
    <w:rsid w:val="0068706A"/>
    <w:rsid w:val="00687159"/>
    <w:rsid w:val="006879C8"/>
    <w:rsid w:val="0068D30D"/>
    <w:rsid w:val="006909E9"/>
    <w:rsid w:val="0069214F"/>
    <w:rsid w:val="006921DD"/>
    <w:rsid w:val="00692C42"/>
    <w:rsid w:val="00693114"/>
    <w:rsid w:val="00693693"/>
    <w:rsid w:val="0069385B"/>
    <w:rsid w:val="006949BB"/>
    <w:rsid w:val="00695394"/>
    <w:rsid w:val="00695B1B"/>
    <w:rsid w:val="0069615E"/>
    <w:rsid w:val="00696F46"/>
    <w:rsid w:val="006A0D78"/>
    <w:rsid w:val="006A18B3"/>
    <w:rsid w:val="006A36E4"/>
    <w:rsid w:val="006A38AE"/>
    <w:rsid w:val="006A486D"/>
    <w:rsid w:val="006A4AFD"/>
    <w:rsid w:val="006A624D"/>
    <w:rsid w:val="006A6F7F"/>
    <w:rsid w:val="006B0D06"/>
    <w:rsid w:val="006B0E36"/>
    <w:rsid w:val="006B0F2B"/>
    <w:rsid w:val="006B1170"/>
    <w:rsid w:val="006B2682"/>
    <w:rsid w:val="006B3F67"/>
    <w:rsid w:val="006B5076"/>
    <w:rsid w:val="006B50D4"/>
    <w:rsid w:val="006B6725"/>
    <w:rsid w:val="006B6C1C"/>
    <w:rsid w:val="006B710C"/>
    <w:rsid w:val="006B7816"/>
    <w:rsid w:val="006C0EAE"/>
    <w:rsid w:val="006C1AFA"/>
    <w:rsid w:val="006C240C"/>
    <w:rsid w:val="006C2769"/>
    <w:rsid w:val="006C2DF5"/>
    <w:rsid w:val="006C3879"/>
    <w:rsid w:val="006C5291"/>
    <w:rsid w:val="006C5426"/>
    <w:rsid w:val="006C7878"/>
    <w:rsid w:val="006C7960"/>
    <w:rsid w:val="006C7B4D"/>
    <w:rsid w:val="006D0DB6"/>
    <w:rsid w:val="006D25BB"/>
    <w:rsid w:val="006D304F"/>
    <w:rsid w:val="006D363A"/>
    <w:rsid w:val="006D3BF5"/>
    <w:rsid w:val="006D5492"/>
    <w:rsid w:val="006D57FF"/>
    <w:rsid w:val="006D626D"/>
    <w:rsid w:val="006D67B9"/>
    <w:rsid w:val="006D7645"/>
    <w:rsid w:val="006D7D00"/>
    <w:rsid w:val="006E045D"/>
    <w:rsid w:val="006E12D4"/>
    <w:rsid w:val="006E1380"/>
    <w:rsid w:val="006E1E70"/>
    <w:rsid w:val="006E311E"/>
    <w:rsid w:val="006E3762"/>
    <w:rsid w:val="006E3821"/>
    <w:rsid w:val="006E4416"/>
    <w:rsid w:val="006E5181"/>
    <w:rsid w:val="006E690D"/>
    <w:rsid w:val="006E789B"/>
    <w:rsid w:val="006E7C4E"/>
    <w:rsid w:val="006F0156"/>
    <w:rsid w:val="006F0DD1"/>
    <w:rsid w:val="006F1C22"/>
    <w:rsid w:val="006F1CEC"/>
    <w:rsid w:val="006F2528"/>
    <w:rsid w:val="006F263E"/>
    <w:rsid w:val="006F2787"/>
    <w:rsid w:val="006F2D56"/>
    <w:rsid w:val="006F326F"/>
    <w:rsid w:val="006F4A04"/>
    <w:rsid w:val="006F6237"/>
    <w:rsid w:val="006F6524"/>
    <w:rsid w:val="006F7D2B"/>
    <w:rsid w:val="0070016B"/>
    <w:rsid w:val="007007A3"/>
    <w:rsid w:val="00700FD8"/>
    <w:rsid w:val="007031B7"/>
    <w:rsid w:val="007046C5"/>
    <w:rsid w:val="0070715D"/>
    <w:rsid w:val="00710A26"/>
    <w:rsid w:val="00711674"/>
    <w:rsid w:val="00711792"/>
    <w:rsid w:val="00712607"/>
    <w:rsid w:val="00712EB6"/>
    <w:rsid w:val="00713E95"/>
    <w:rsid w:val="00714BC4"/>
    <w:rsid w:val="00715220"/>
    <w:rsid w:val="00715222"/>
    <w:rsid w:val="0071549A"/>
    <w:rsid w:val="00716A54"/>
    <w:rsid w:val="007173BC"/>
    <w:rsid w:val="007176FE"/>
    <w:rsid w:val="0072076F"/>
    <w:rsid w:val="007211BE"/>
    <w:rsid w:val="00721D27"/>
    <w:rsid w:val="007224D4"/>
    <w:rsid w:val="007225C9"/>
    <w:rsid w:val="007229B6"/>
    <w:rsid w:val="00723659"/>
    <w:rsid w:val="007247B7"/>
    <w:rsid w:val="00725531"/>
    <w:rsid w:val="00726F02"/>
    <w:rsid w:val="0072720E"/>
    <w:rsid w:val="00727AFB"/>
    <w:rsid w:val="00727F10"/>
    <w:rsid w:val="00727FE7"/>
    <w:rsid w:val="007308FE"/>
    <w:rsid w:val="007310D9"/>
    <w:rsid w:val="007316D3"/>
    <w:rsid w:val="00731A13"/>
    <w:rsid w:val="00733246"/>
    <w:rsid w:val="007342E3"/>
    <w:rsid w:val="0073467C"/>
    <w:rsid w:val="00734D72"/>
    <w:rsid w:val="00735480"/>
    <w:rsid w:val="007359C7"/>
    <w:rsid w:val="00736977"/>
    <w:rsid w:val="0073772C"/>
    <w:rsid w:val="007411B8"/>
    <w:rsid w:val="00741A5C"/>
    <w:rsid w:val="00742B4A"/>
    <w:rsid w:val="007449BF"/>
    <w:rsid w:val="00745FE6"/>
    <w:rsid w:val="0074788C"/>
    <w:rsid w:val="00751A9D"/>
    <w:rsid w:val="00752242"/>
    <w:rsid w:val="007535E7"/>
    <w:rsid w:val="00753677"/>
    <w:rsid w:val="00753A39"/>
    <w:rsid w:val="00755595"/>
    <w:rsid w:val="007557AF"/>
    <w:rsid w:val="00756037"/>
    <w:rsid w:val="00757FD8"/>
    <w:rsid w:val="007600C9"/>
    <w:rsid w:val="00760670"/>
    <w:rsid w:val="00761C71"/>
    <w:rsid w:val="007627B9"/>
    <w:rsid w:val="00762DDE"/>
    <w:rsid w:val="00763ED2"/>
    <w:rsid w:val="00763F5B"/>
    <w:rsid w:val="00766F20"/>
    <w:rsid w:val="00767112"/>
    <w:rsid w:val="00767472"/>
    <w:rsid w:val="00767A63"/>
    <w:rsid w:val="00767D38"/>
    <w:rsid w:val="00770976"/>
    <w:rsid w:val="00772B2E"/>
    <w:rsid w:val="007741C9"/>
    <w:rsid w:val="00775995"/>
    <w:rsid w:val="00776277"/>
    <w:rsid w:val="0077698F"/>
    <w:rsid w:val="007770BD"/>
    <w:rsid w:val="007804BF"/>
    <w:rsid w:val="00780E0D"/>
    <w:rsid w:val="0078168D"/>
    <w:rsid w:val="00781776"/>
    <w:rsid w:val="00783764"/>
    <w:rsid w:val="00783E66"/>
    <w:rsid w:val="007847A7"/>
    <w:rsid w:val="00785089"/>
    <w:rsid w:val="0078542D"/>
    <w:rsid w:val="00785DD9"/>
    <w:rsid w:val="007870CF"/>
    <w:rsid w:val="0078755A"/>
    <w:rsid w:val="00787E89"/>
    <w:rsid w:val="00791AF3"/>
    <w:rsid w:val="00793C75"/>
    <w:rsid w:val="007946EA"/>
    <w:rsid w:val="00794A5E"/>
    <w:rsid w:val="0079570B"/>
    <w:rsid w:val="00796589"/>
    <w:rsid w:val="00796D93"/>
    <w:rsid w:val="00797CE0"/>
    <w:rsid w:val="007A3FE5"/>
    <w:rsid w:val="007A45B7"/>
    <w:rsid w:val="007A4DC5"/>
    <w:rsid w:val="007A5167"/>
    <w:rsid w:val="007A649A"/>
    <w:rsid w:val="007A6AE5"/>
    <w:rsid w:val="007A6D89"/>
    <w:rsid w:val="007B0346"/>
    <w:rsid w:val="007B0B76"/>
    <w:rsid w:val="007B18F1"/>
    <w:rsid w:val="007B2A80"/>
    <w:rsid w:val="007B2B9E"/>
    <w:rsid w:val="007B2E0D"/>
    <w:rsid w:val="007B3143"/>
    <w:rsid w:val="007B3563"/>
    <w:rsid w:val="007B6DF2"/>
    <w:rsid w:val="007B6E5B"/>
    <w:rsid w:val="007C2B68"/>
    <w:rsid w:val="007C3544"/>
    <w:rsid w:val="007C4EF2"/>
    <w:rsid w:val="007C6787"/>
    <w:rsid w:val="007C7FEB"/>
    <w:rsid w:val="007D0565"/>
    <w:rsid w:val="007D310A"/>
    <w:rsid w:val="007D3F8F"/>
    <w:rsid w:val="007D418C"/>
    <w:rsid w:val="007D43AE"/>
    <w:rsid w:val="007D6F7D"/>
    <w:rsid w:val="007D7E03"/>
    <w:rsid w:val="007E1135"/>
    <w:rsid w:val="007E123A"/>
    <w:rsid w:val="007E13DB"/>
    <w:rsid w:val="007E22F7"/>
    <w:rsid w:val="007E2E82"/>
    <w:rsid w:val="007E4009"/>
    <w:rsid w:val="007E43EC"/>
    <w:rsid w:val="007E6FFE"/>
    <w:rsid w:val="007F0495"/>
    <w:rsid w:val="007F08CB"/>
    <w:rsid w:val="007F0DE2"/>
    <w:rsid w:val="007F11EA"/>
    <w:rsid w:val="007F131A"/>
    <w:rsid w:val="007F13C6"/>
    <w:rsid w:val="007F13D1"/>
    <w:rsid w:val="007F1E17"/>
    <w:rsid w:val="007F2661"/>
    <w:rsid w:val="007F3642"/>
    <w:rsid w:val="007F3648"/>
    <w:rsid w:val="007F3717"/>
    <w:rsid w:val="007F3D0C"/>
    <w:rsid w:val="007F418D"/>
    <w:rsid w:val="007F45B4"/>
    <w:rsid w:val="007F5DD2"/>
    <w:rsid w:val="007F6469"/>
    <w:rsid w:val="007F76C4"/>
    <w:rsid w:val="007F778F"/>
    <w:rsid w:val="00800328"/>
    <w:rsid w:val="0080136A"/>
    <w:rsid w:val="00801AAF"/>
    <w:rsid w:val="00801B64"/>
    <w:rsid w:val="0080295F"/>
    <w:rsid w:val="00802964"/>
    <w:rsid w:val="00802AA9"/>
    <w:rsid w:val="00803666"/>
    <w:rsid w:val="0080387B"/>
    <w:rsid w:val="00803A01"/>
    <w:rsid w:val="00804029"/>
    <w:rsid w:val="0080426C"/>
    <w:rsid w:val="008042C5"/>
    <w:rsid w:val="0080528F"/>
    <w:rsid w:val="00805D52"/>
    <w:rsid w:val="0080731D"/>
    <w:rsid w:val="00807A87"/>
    <w:rsid w:val="00812402"/>
    <w:rsid w:val="00812D11"/>
    <w:rsid w:val="00815AAA"/>
    <w:rsid w:val="00815E8F"/>
    <w:rsid w:val="008206F1"/>
    <w:rsid w:val="0082381D"/>
    <w:rsid w:val="008275C6"/>
    <w:rsid w:val="00827CAD"/>
    <w:rsid w:val="00827E74"/>
    <w:rsid w:val="008303AC"/>
    <w:rsid w:val="008307B1"/>
    <w:rsid w:val="008317C5"/>
    <w:rsid w:val="00831975"/>
    <w:rsid w:val="00832955"/>
    <w:rsid w:val="008343F0"/>
    <w:rsid w:val="00834482"/>
    <w:rsid w:val="00835E74"/>
    <w:rsid w:val="00836208"/>
    <w:rsid w:val="0083681E"/>
    <w:rsid w:val="00837F7C"/>
    <w:rsid w:val="008408B4"/>
    <w:rsid w:val="00841ABD"/>
    <w:rsid w:val="0084253B"/>
    <w:rsid w:val="0084330A"/>
    <w:rsid w:val="00843640"/>
    <w:rsid w:val="00844879"/>
    <w:rsid w:val="008467BD"/>
    <w:rsid w:val="00847DD0"/>
    <w:rsid w:val="008512FD"/>
    <w:rsid w:val="00852731"/>
    <w:rsid w:val="00856A6C"/>
    <w:rsid w:val="00856A91"/>
    <w:rsid w:val="00856DEE"/>
    <w:rsid w:val="0086123B"/>
    <w:rsid w:val="00861563"/>
    <w:rsid w:val="008618F5"/>
    <w:rsid w:val="00863CDD"/>
    <w:rsid w:val="008642C6"/>
    <w:rsid w:val="008647C5"/>
    <w:rsid w:val="00865224"/>
    <w:rsid w:val="008655FB"/>
    <w:rsid w:val="00865CA2"/>
    <w:rsid w:val="00867A22"/>
    <w:rsid w:val="00872377"/>
    <w:rsid w:val="008728FD"/>
    <w:rsid w:val="008735A6"/>
    <w:rsid w:val="00873644"/>
    <w:rsid w:val="00873BD8"/>
    <w:rsid w:val="00873F9F"/>
    <w:rsid w:val="00875487"/>
    <w:rsid w:val="008754B2"/>
    <w:rsid w:val="00877E09"/>
    <w:rsid w:val="00880C11"/>
    <w:rsid w:val="00880D1C"/>
    <w:rsid w:val="00884EDC"/>
    <w:rsid w:val="00885FCD"/>
    <w:rsid w:val="008877C7"/>
    <w:rsid w:val="00890030"/>
    <w:rsid w:val="00890B2A"/>
    <w:rsid w:val="00890C69"/>
    <w:rsid w:val="008916DB"/>
    <w:rsid w:val="00892166"/>
    <w:rsid w:val="0089371E"/>
    <w:rsid w:val="00893728"/>
    <w:rsid w:val="008961C9"/>
    <w:rsid w:val="00897EAF"/>
    <w:rsid w:val="008A20E7"/>
    <w:rsid w:val="008A223C"/>
    <w:rsid w:val="008A2877"/>
    <w:rsid w:val="008A3B0D"/>
    <w:rsid w:val="008A3B2A"/>
    <w:rsid w:val="008A3C12"/>
    <w:rsid w:val="008A4DB8"/>
    <w:rsid w:val="008A524B"/>
    <w:rsid w:val="008A5892"/>
    <w:rsid w:val="008A66DB"/>
    <w:rsid w:val="008A6C91"/>
    <w:rsid w:val="008A7027"/>
    <w:rsid w:val="008A7D1D"/>
    <w:rsid w:val="008A7E51"/>
    <w:rsid w:val="008B047F"/>
    <w:rsid w:val="008B0614"/>
    <w:rsid w:val="008B0BBD"/>
    <w:rsid w:val="008B14E9"/>
    <w:rsid w:val="008B2A36"/>
    <w:rsid w:val="008B2C27"/>
    <w:rsid w:val="008B2CFE"/>
    <w:rsid w:val="008B4734"/>
    <w:rsid w:val="008B5D03"/>
    <w:rsid w:val="008B6304"/>
    <w:rsid w:val="008B685D"/>
    <w:rsid w:val="008B75B5"/>
    <w:rsid w:val="008C06B6"/>
    <w:rsid w:val="008C1B69"/>
    <w:rsid w:val="008C22A1"/>
    <w:rsid w:val="008C2CFF"/>
    <w:rsid w:val="008C3359"/>
    <w:rsid w:val="008C355E"/>
    <w:rsid w:val="008C384A"/>
    <w:rsid w:val="008C3E79"/>
    <w:rsid w:val="008C6211"/>
    <w:rsid w:val="008C74F0"/>
    <w:rsid w:val="008D01C3"/>
    <w:rsid w:val="008D0B8A"/>
    <w:rsid w:val="008D1089"/>
    <w:rsid w:val="008D17C3"/>
    <w:rsid w:val="008D1D54"/>
    <w:rsid w:val="008D1FFF"/>
    <w:rsid w:val="008D26E2"/>
    <w:rsid w:val="008D26F8"/>
    <w:rsid w:val="008D2842"/>
    <w:rsid w:val="008D2C21"/>
    <w:rsid w:val="008D3E76"/>
    <w:rsid w:val="008D41C5"/>
    <w:rsid w:val="008D6609"/>
    <w:rsid w:val="008D7836"/>
    <w:rsid w:val="008E0260"/>
    <w:rsid w:val="008E0435"/>
    <w:rsid w:val="008E1174"/>
    <w:rsid w:val="008E1BBA"/>
    <w:rsid w:val="008E232B"/>
    <w:rsid w:val="008E2BC7"/>
    <w:rsid w:val="008E322E"/>
    <w:rsid w:val="008E34AF"/>
    <w:rsid w:val="008E5197"/>
    <w:rsid w:val="008E5513"/>
    <w:rsid w:val="008E5FE2"/>
    <w:rsid w:val="008E647E"/>
    <w:rsid w:val="008E6833"/>
    <w:rsid w:val="008E6A94"/>
    <w:rsid w:val="008E6DF0"/>
    <w:rsid w:val="008E727C"/>
    <w:rsid w:val="008F0603"/>
    <w:rsid w:val="008F124B"/>
    <w:rsid w:val="008F1384"/>
    <w:rsid w:val="008F18AC"/>
    <w:rsid w:val="008F2C57"/>
    <w:rsid w:val="008F3016"/>
    <w:rsid w:val="008F4B41"/>
    <w:rsid w:val="008F506C"/>
    <w:rsid w:val="008F511B"/>
    <w:rsid w:val="008F7D2C"/>
    <w:rsid w:val="009009EC"/>
    <w:rsid w:val="00901531"/>
    <w:rsid w:val="00901E7D"/>
    <w:rsid w:val="00902461"/>
    <w:rsid w:val="00902688"/>
    <w:rsid w:val="009033C0"/>
    <w:rsid w:val="00903806"/>
    <w:rsid w:val="00904BD8"/>
    <w:rsid w:val="00904CE2"/>
    <w:rsid w:val="00905E82"/>
    <w:rsid w:val="00906285"/>
    <w:rsid w:val="0090692A"/>
    <w:rsid w:val="0090700E"/>
    <w:rsid w:val="00907735"/>
    <w:rsid w:val="00907C31"/>
    <w:rsid w:val="00911ADC"/>
    <w:rsid w:val="00911D45"/>
    <w:rsid w:val="009120C5"/>
    <w:rsid w:val="00916791"/>
    <w:rsid w:val="00917632"/>
    <w:rsid w:val="00920A43"/>
    <w:rsid w:val="00920B37"/>
    <w:rsid w:val="00920F4D"/>
    <w:rsid w:val="009221A4"/>
    <w:rsid w:val="00922213"/>
    <w:rsid w:val="00924572"/>
    <w:rsid w:val="0092636F"/>
    <w:rsid w:val="009267C3"/>
    <w:rsid w:val="009278F9"/>
    <w:rsid w:val="00927CAB"/>
    <w:rsid w:val="00930092"/>
    <w:rsid w:val="0093390F"/>
    <w:rsid w:val="00933DA0"/>
    <w:rsid w:val="0093422D"/>
    <w:rsid w:val="00935118"/>
    <w:rsid w:val="009353CC"/>
    <w:rsid w:val="00935683"/>
    <w:rsid w:val="00936F84"/>
    <w:rsid w:val="009371F3"/>
    <w:rsid w:val="009422F9"/>
    <w:rsid w:val="009430F8"/>
    <w:rsid w:val="00943165"/>
    <w:rsid w:val="009440B1"/>
    <w:rsid w:val="00944F06"/>
    <w:rsid w:val="00945147"/>
    <w:rsid w:val="009454E1"/>
    <w:rsid w:val="00945CE5"/>
    <w:rsid w:val="00945E04"/>
    <w:rsid w:val="00946E3A"/>
    <w:rsid w:val="00947C58"/>
    <w:rsid w:val="00947C6B"/>
    <w:rsid w:val="00947DAB"/>
    <w:rsid w:val="0095149A"/>
    <w:rsid w:val="009521B4"/>
    <w:rsid w:val="0095373F"/>
    <w:rsid w:val="0095423E"/>
    <w:rsid w:val="00955BAE"/>
    <w:rsid w:val="00956B15"/>
    <w:rsid w:val="00960E81"/>
    <w:rsid w:val="009621AE"/>
    <w:rsid w:val="00964981"/>
    <w:rsid w:val="00964AB3"/>
    <w:rsid w:val="00964C0D"/>
    <w:rsid w:val="00964F0D"/>
    <w:rsid w:val="009657EE"/>
    <w:rsid w:val="00966B20"/>
    <w:rsid w:val="00970181"/>
    <w:rsid w:val="009704FA"/>
    <w:rsid w:val="00970EE4"/>
    <w:rsid w:val="00971B20"/>
    <w:rsid w:val="0097271E"/>
    <w:rsid w:val="0097327C"/>
    <w:rsid w:val="0097329F"/>
    <w:rsid w:val="0097449A"/>
    <w:rsid w:val="00974B63"/>
    <w:rsid w:val="009756D7"/>
    <w:rsid w:val="00975C2C"/>
    <w:rsid w:val="00976E1E"/>
    <w:rsid w:val="009778E0"/>
    <w:rsid w:val="00980084"/>
    <w:rsid w:val="00980E46"/>
    <w:rsid w:val="00980E56"/>
    <w:rsid w:val="0098157F"/>
    <w:rsid w:val="00984C17"/>
    <w:rsid w:val="009866E5"/>
    <w:rsid w:val="0098678C"/>
    <w:rsid w:val="00987B39"/>
    <w:rsid w:val="00990B2B"/>
    <w:rsid w:val="00990DE5"/>
    <w:rsid w:val="00990E48"/>
    <w:rsid w:val="00990E75"/>
    <w:rsid w:val="00991169"/>
    <w:rsid w:val="00991946"/>
    <w:rsid w:val="009926FC"/>
    <w:rsid w:val="00993321"/>
    <w:rsid w:val="00993967"/>
    <w:rsid w:val="009946F7"/>
    <w:rsid w:val="00994856"/>
    <w:rsid w:val="00995845"/>
    <w:rsid w:val="00996332"/>
    <w:rsid w:val="009969A9"/>
    <w:rsid w:val="00996A51"/>
    <w:rsid w:val="00996BA2"/>
    <w:rsid w:val="009A0101"/>
    <w:rsid w:val="009A069E"/>
    <w:rsid w:val="009A0B96"/>
    <w:rsid w:val="009A1018"/>
    <w:rsid w:val="009A1DD5"/>
    <w:rsid w:val="009A20F3"/>
    <w:rsid w:val="009A3D4A"/>
    <w:rsid w:val="009A65D0"/>
    <w:rsid w:val="009A7DCA"/>
    <w:rsid w:val="009A7F54"/>
    <w:rsid w:val="009B1108"/>
    <w:rsid w:val="009B115A"/>
    <w:rsid w:val="009B15B4"/>
    <w:rsid w:val="009B2CCB"/>
    <w:rsid w:val="009B5E5D"/>
    <w:rsid w:val="009B5E74"/>
    <w:rsid w:val="009B7BB9"/>
    <w:rsid w:val="009C33A4"/>
    <w:rsid w:val="009C40EA"/>
    <w:rsid w:val="009C49CC"/>
    <w:rsid w:val="009C4C6C"/>
    <w:rsid w:val="009C73F5"/>
    <w:rsid w:val="009C7BDF"/>
    <w:rsid w:val="009D0583"/>
    <w:rsid w:val="009D0F61"/>
    <w:rsid w:val="009D353C"/>
    <w:rsid w:val="009D533D"/>
    <w:rsid w:val="009D55B4"/>
    <w:rsid w:val="009D64CC"/>
    <w:rsid w:val="009D6E6F"/>
    <w:rsid w:val="009D7D92"/>
    <w:rsid w:val="009E34AE"/>
    <w:rsid w:val="009E3E8D"/>
    <w:rsid w:val="009E4399"/>
    <w:rsid w:val="009E48A8"/>
    <w:rsid w:val="009E49CA"/>
    <w:rsid w:val="009E4A66"/>
    <w:rsid w:val="009E60E7"/>
    <w:rsid w:val="009E65F5"/>
    <w:rsid w:val="009E6FFE"/>
    <w:rsid w:val="009F019D"/>
    <w:rsid w:val="009F0426"/>
    <w:rsid w:val="009F2815"/>
    <w:rsid w:val="009F4052"/>
    <w:rsid w:val="009F534A"/>
    <w:rsid w:val="009F5DC5"/>
    <w:rsid w:val="009F5EE4"/>
    <w:rsid w:val="009F665B"/>
    <w:rsid w:val="009F66DB"/>
    <w:rsid w:val="009F7C5E"/>
    <w:rsid w:val="00A00583"/>
    <w:rsid w:val="00A01580"/>
    <w:rsid w:val="00A01BFF"/>
    <w:rsid w:val="00A01D51"/>
    <w:rsid w:val="00A023F8"/>
    <w:rsid w:val="00A0268E"/>
    <w:rsid w:val="00A02DDD"/>
    <w:rsid w:val="00A035BA"/>
    <w:rsid w:val="00A0423B"/>
    <w:rsid w:val="00A0698F"/>
    <w:rsid w:val="00A069FE"/>
    <w:rsid w:val="00A07653"/>
    <w:rsid w:val="00A10571"/>
    <w:rsid w:val="00A1161C"/>
    <w:rsid w:val="00A12022"/>
    <w:rsid w:val="00A13316"/>
    <w:rsid w:val="00A136DD"/>
    <w:rsid w:val="00A14C8C"/>
    <w:rsid w:val="00A161A8"/>
    <w:rsid w:val="00A20692"/>
    <w:rsid w:val="00A23458"/>
    <w:rsid w:val="00A24316"/>
    <w:rsid w:val="00A24B83"/>
    <w:rsid w:val="00A25365"/>
    <w:rsid w:val="00A254CF"/>
    <w:rsid w:val="00A26E31"/>
    <w:rsid w:val="00A3167F"/>
    <w:rsid w:val="00A31F84"/>
    <w:rsid w:val="00A3350E"/>
    <w:rsid w:val="00A34948"/>
    <w:rsid w:val="00A349BC"/>
    <w:rsid w:val="00A34FE1"/>
    <w:rsid w:val="00A3501B"/>
    <w:rsid w:val="00A358EC"/>
    <w:rsid w:val="00A36579"/>
    <w:rsid w:val="00A36AD4"/>
    <w:rsid w:val="00A36ED5"/>
    <w:rsid w:val="00A37B00"/>
    <w:rsid w:val="00A37FE5"/>
    <w:rsid w:val="00A40C03"/>
    <w:rsid w:val="00A40F40"/>
    <w:rsid w:val="00A41272"/>
    <w:rsid w:val="00A42B5B"/>
    <w:rsid w:val="00A43A0F"/>
    <w:rsid w:val="00A47DF6"/>
    <w:rsid w:val="00A5012D"/>
    <w:rsid w:val="00A50271"/>
    <w:rsid w:val="00A5085A"/>
    <w:rsid w:val="00A50F8A"/>
    <w:rsid w:val="00A521C7"/>
    <w:rsid w:val="00A54466"/>
    <w:rsid w:val="00A54ACF"/>
    <w:rsid w:val="00A55AA0"/>
    <w:rsid w:val="00A601F9"/>
    <w:rsid w:val="00A60BB8"/>
    <w:rsid w:val="00A60C9D"/>
    <w:rsid w:val="00A61551"/>
    <w:rsid w:val="00A61775"/>
    <w:rsid w:val="00A61DE1"/>
    <w:rsid w:val="00A62128"/>
    <w:rsid w:val="00A623E0"/>
    <w:rsid w:val="00A62991"/>
    <w:rsid w:val="00A62B93"/>
    <w:rsid w:val="00A6446F"/>
    <w:rsid w:val="00A64CED"/>
    <w:rsid w:val="00A650E2"/>
    <w:rsid w:val="00A658A3"/>
    <w:rsid w:val="00A66196"/>
    <w:rsid w:val="00A66651"/>
    <w:rsid w:val="00A673CC"/>
    <w:rsid w:val="00A67AF0"/>
    <w:rsid w:val="00A67F78"/>
    <w:rsid w:val="00A70976"/>
    <w:rsid w:val="00A71CD2"/>
    <w:rsid w:val="00A7235E"/>
    <w:rsid w:val="00A724B2"/>
    <w:rsid w:val="00A734E7"/>
    <w:rsid w:val="00A76FE3"/>
    <w:rsid w:val="00A77FE7"/>
    <w:rsid w:val="00A80FCF"/>
    <w:rsid w:val="00A813D3"/>
    <w:rsid w:val="00A82B69"/>
    <w:rsid w:val="00A82F6B"/>
    <w:rsid w:val="00A8723E"/>
    <w:rsid w:val="00A8797E"/>
    <w:rsid w:val="00A90161"/>
    <w:rsid w:val="00A90970"/>
    <w:rsid w:val="00A928FF"/>
    <w:rsid w:val="00A94005"/>
    <w:rsid w:val="00A9433D"/>
    <w:rsid w:val="00A948A8"/>
    <w:rsid w:val="00A94EFE"/>
    <w:rsid w:val="00A95CB6"/>
    <w:rsid w:val="00A95D1D"/>
    <w:rsid w:val="00A966B1"/>
    <w:rsid w:val="00A96796"/>
    <w:rsid w:val="00A9789C"/>
    <w:rsid w:val="00AA038F"/>
    <w:rsid w:val="00AA137D"/>
    <w:rsid w:val="00AA1864"/>
    <w:rsid w:val="00AA21D3"/>
    <w:rsid w:val="00AA21F5"/>
    <w:rsid w:val="00AA22CB"/>
    <w:rsid w:val="00AA2D82"/>
    <w:rsid w:val="00AA3374"/>
    <w:rsid w:val="00AA3A5B"/>
    <w:rsid w:val="00AA5008"/>
    <w:rsid w:val="00AA5A9A"/>
    <w:rsid w:val="00AA7C1B"/>
    <w:rsid w:val="00AB083F"/>
    <w:rsid w:val="00AB0B81"/>
    <w:rsid w:val="00AB129C"/>
    <w:rsid w:val="00AB17FF"/>
    <w:rsid w:val="00AB3613"/>
    <w:rsid w:val="00AB3A4C"/>
    <w:rsid w:val="00AB56DC"/>
    <w:rsid w:val="00AB7A63"/>
    <w:rsid w:val="00AC0CBB"/>
    <w:rsid w:val="00AC2A80"/>
    <w:rsid w:val="00AC34DA"/>
    <w:rsid w:val="00AC5231"/>
    <w:rsid w:val="00AC5A5F"/>
    <w:rsid w:val="00AC5E67"/>
    <w:rsid w:val="00AC64A0"/>
    <w:rsid w:val="00AD034A"/>
    <w:rsid w:val="00AD1243"/>
    <w:rsid w:val="00AD14B4"/>
    <w:rsid w:val="00AD169C"/>
    <w:rsid w:val="00AD2450"/>
    <w:rsid w:val="00AD2E40"/>
    <w:rsid w:val="00AD5904"/>
    <w:rsid w:val="00AD65BE"/>
    <w:rsid w:val="00AD6A38"/>
    <w:rsid w:val="00AD72B4"/>
    <w:rsid w:val="00AD7AA1"/>
    <w:rsid w:val="00AE3104"/>
    <w:rsid w:val="00AE43AD"/>
    <w:rsid w:val="00AE43BB"/>
    <w:rsid w:val="00AE4815"/>
    <w:rsid w:val="00AE53A6"/>
    <w:rsid w:val="00AE6B64"/>
    <w:rsid w:val="00AE6BB5"/>
    <w:rsid w:val="00AE73DC"/>
    <w:rsid w:val="00AE7710"/>
    <w:rsid w:val="00AF189B"/>
    <w:rsid w:val="00AF2CE8"/>
    <w:rsid w:val="00AF2F5F"/>
    <w:rsid w:val="00AF5B4E"/>
    <w:rsid w:val="00AF704D"/>
    <w:rsid w:val="00AF70F9"/>
    <w:rsid w:val="00AF7CEE"/>
    <w:rsid w:val="00AF7E69"/>
    <w:rsid w:val="00AF7F6F"/>
    <w:rsid w:val="00B00CC3"/>
    <w:rsid w:val="00B0265A"/>
    <w:rsid w:val="00B03727"/>
    <w:rsid w:val="00B04A14"/>
    <w:rsid w:val="00B05053"/>
    <w:rsid w:val="00B056CC"/>
    <w:rsid w:val="00B058B6"/>
    <w:rsid w:val="00B075D7"/>
    <w:rsid w:val="00B13AB1"/>
    <w:rsid w:val="00B14AB5"/>
    <w:rsid w:val="00B14D9C"/>
    <w:rsid w:val="00B155FE"/>
    <w:rsid w:val="00B15A4C"/>
    <w:rsid w:val="00B15CA6"/>
    <w:rsid w:val="00B15F8D"/>
    <w:rsid w:val="00B17819"/>
    <w:rsid w:val="00B206C1"/>
    <w:rsid w:val="00B2202B"/>
    <w:rsid w:val="00B221B5"/>
    <w:rsid w:val="00B22BD9"/>
    <w:rsid w:val="00B2454C"/>
    <w:rsid w:val="00B247F2"/>
    <w:rsid w:val="00B2544B"/>
    <w:rsid w:val="00B26FCB"/>
    <w:rsid w:val="00B2734A"/>
    <w:rsid w:val="00B3244C"/>
    <w:rsid w:val="00B325C4"/>
    <w:rsid w:val="00B32682"/>
    <w:rsid w:val="00B33638"/>
    <w:rsid w:val="00B33C05"/>
    <w:rsid w:val="00B3469B"/>
    <w:rsid w:val="00B34A94"/>
    <w:rsid w:val="00B35B95"/>
    <w:rsid w:val="00B36150"/>
    <w:rsid w:val="00B37A83"/>
    <w:rsid w:val="00B40D0E"/>
    <w:rsid w:val="00B41B58"/>
    <w:rsid w:val="00B43A9F"/>
    <w:rsid w:val="00B44127"/>
    <w:rsid w:val="00B44CBF"/>
    <w:rsid w:val="00B44EBE"/>
    <w:rsid w:val="00B461A6"/>
    <w:rsid w:val="00B46352"/>
    <w:rsid w:val="00B46811"/>
    <w:rsid w:val="00B50B25"/>
    <w:rsid w:val="00B51261"/>
    <w:rsid w:val="00B54171"/>
    <w:rsid w:val="00B5600F"/>
    <w:rsid w:val="00B56CB1"/>
    <w:rsid w:val="00B60534"/>
    <w:rsid w:val="00B60C2E"/>
    <w:rsid w:val="00B6124E"/>
    <w:rsid w:val="00B622E5"/>
    <w:rsid w:val="00B624F6"/>
    <w:rsid w:val="00B62D08"/>
    <w:rsid w:val="00B63DA3"/>
    <w:rsid w:val="00B63EBC"/>
    <w:rsid w:val="00B64063"/>
    <w:rsid w:val="00B6763B"/>
    <w:rsid w:val="00B705F2"/>
    <w:rsid w:val="00B70AB8"/>
    <w:rsid w:val="00B70FE4"/>
    <w:rsid w:val="00B72569"/>
    <w:rsid w:val="00B728C5"/>
    <w:rsid w:val="00B72FDD"/>
    <w:rsid w:val="00B7456C"/>
    <w:rsid w:val="00B7458D"/>
    <w:rsid w:val="00B745F4"/>
    <w:rsid w:val="00B74F8E"/>
    <w:rsid w:val="00B75545"/>
    <w:rsid w:val="00B762E2"/>
    <w:rsid w:val="00B76645"/>
    <w:rsid w:val="00B771CD"/>
    <w:rsid w:val="00B81AB0"/>
    <w:rsid w:val="00B81C0A"/>
    <w:rsid w:val="00B8241D"/>
    <w:rsid w:val="00B83F74"/>
    <w:rsid w:val="00B843B9"/>
    <w:rsid w:val="00B8447F"/>
    <w:rsid w:val="00B844B7"/>
    <w:rsid w:val="00B84AD1"/>
    <w:rsid w:val="00B850B8"/>
    <w:rsid w:val="00B85AD1"/>
    <w:rsid w:val="00B91104"/>
    <w:rsid w:val="00B91ABD"/>
    <w:rsid w:val="00B92DCF"/>
    <w:rsid w:val="00B94CCA"/>
    <w:rsid w:val="00B95AD8"/>
    <w:rsid w:val="00B9640C"/>
    <w:rsid w:val="00B965D7"/>
    <w:rsid w:val="00B9670A"/>
    <w:rsid w:val="00B97040"/>
    <w:rsid w:val="00B9709B"/>
    <w:rsid w:val="00B9738E"/>
    <w:rsid w:val="00B97A62"/>
    <w:rsid w:val="00BA016E"/>
    <w:rsid w:val="00BA04EA"/>
    <w:rsid w:val="00BA246F"/>
    <w:rsid w:val="00BA35CC"/>
    <w:rsid w:val="00BA38F7"/>
    <w:rsid w:val="00BA3B98"/>
    <w:rsid w:val="00BA415E"/>
    <w:rsid w:val="00BA5D1C"/>
    <w:rsid w:val="00BA6020"/>
    <w:rsid w:val="00BA60BB"/>
    <w:rsid w:val="00BA6169"/>
    <w:rsid w:val="00BA62C3"/>
    <w:rsid w:val="00BA6D82"/>
    <w:rsid w:val="00BB0472"/>
    <w:rsid w:val="00BB10E1"/>
    <w:rsid w:val="00BB12FE"/>
    <w:rsid w:val="00BB1BA6"/>
    <w:rsid w:val="00BB259D"/>
    <w:rsid w:val="00BB2A34"/>
    <w:rsid w:val="00BB3002"/>
    <w:rsid w:val="00BB4D90"/>
    <w:rsid w:val="00BB5D94"/>
    <w:rsid w:val="00BB5DF6"/>
    <w:rsid w:val="00BB75BE"/>
    <w:rsid w:val="00BB79F6"/>
    <w:rsid w:val="00BC03B1"/>
    <w:rsid w:val="00BC19CC"/>
    <w:rsid w:val="00BC2001"/>
    <w:rsid w:val="00BC24BF"/>
    <w:rsid w:val="00BC33ED"/>
    <w:rsid w:val="00BC4B9F"/>
    <w:rsid w:val="00BC6D2B"/>
    <w:rsid w:val="00BC74C4"/>
    <w:rsid w:val="00BD0DD5"/>
    <w:rsid w:val="00BD1758"/>
    <w:rsid w:val="00BD2A9C"/>
    <w:rsid w:val="00BD2D3C"/>
    <w:rsid w:val="00BD2E25"/>
    <w:rsid w:val="00BD37C8"/>
    <w:rsid w:val="00BD3CEA"/>
    <w:rsid w:val="00BD4776"/>
    <w:rsid w:val="00BD63FF"/>
    <w:rsid w:val="00BD6602"/>
    <w:rsid w:val="00BD6AF3"/>
    <w:rsid w:val="00BD70ED"/>
    <w:rsid w:val="00BD7229"/>
    <w:rsid w:val="00BD7C49"/>
    <w:rsid w:val="00BD7F31"/>
    <w:rsid w:val="00BE00CC"/>
    <w:rsid w:val="00BE055D"/>
    <w:rsid w:val="00BE0A4E"/>
    <w:rsid w:val="00BE0DA4"/>
    <w:rsid w:val="00BE0F9D"/>
    <w:rsid w:val="00BE2602"/>
    <w:rsid w:val="00BE3243"/>
    <w:rsid w:val="00BE354F"/>
    <w:rsid w:val="00BE3FC6"/>
    <w:rsid w:val="00BE4BAC"/>
    <w:rsid w:val="00BE530F"/>
    <w:rsid w:val="00BE5712"/>
    <w:rsid w:val="00BE7750"/>
    <w:rsid w:val="00BE7819"/>
    <w:rsid w:val="00BE7A65"/>
    <w:rsid w:val="00BF007B"/>
    <w:rsid w:val="00BF099A"/>
    <w:rsid w:val="00BF0B23"/>
    <w:rsid w:val="00BF4035"/>
    <w:rsid w:val="00BF48C3"/>
    <w:rsid w:val="00BF54DD"/>
    <w:rsid w:val="00BF550F"/>
    <w:rsid w:val="00BF5E09"/>
    <w:rsid w:val="00BF6A95"/>
    <w:rsid w:val="00BF7707"/>
    <w:rsid w:val="00C00710"/>
    <w:rsid w:val="00C012D1"/>
    <w:rsid w:val="00C01545"/>
    <w:rsid w:val="00C0256F"/>
    <w:rsid w:val="00C02661"/>
    <w:rsid w:val="00C02772"/>
    <w:rsid w:val="00C02F55"/>
    <w:rsid w:val="00C03376"/>
    <w:rsid w:val="00C03BE7"/>
    <w:rsid w:val="00C05249"/>
    <w:rsid w:val="00C063C3"/>
    <w:rsid w:val="00C07E8E"/>
    <w:rsid w:val="00C10ED3"/>
    <w:rsid w:val="00C1122D"/>
    <w:rsid w:val="00C1143E"/>
    <w:rsid w:val="00C11612"/>
    <w:rsid w:val="00C11940"/>
    <w:rsid w:val="00C127DE"/>
    <w:rsid w:val="00C12BFF"/>
    <w:rsid w:val="00C13291"/>
    <w:rsid w:val="00C13FAE"/>
    <w:rsid w:val="00C157A7"/>
    <w:rsid w:val="00C1582A"/>
    <w:rsid w:val="00C16149"/>
    <w:rsid w:val="00C178E3"/>
    <w:rsid w:val="00C21016"/>
    <w:rsid w:val="00C21761"/>
    <w:rsid w:val="00C2238F"/>
    <w:rsid w:val="00C224F5"/>
    <w:rsid w:val="00C24948"/>
    <w:rsid w:val="00C26184"/>
    <w:rsid w:val="00C261DC"/>
    <w:rsid w:val="00C268BB"/>
    <w:rsid w:val="00C268F4"/>
    <w:rsid w:val="00C27041"/>
    <w:rsid w:val="00C27BFB"/>
    <w:rsid w:val="00C27DF5"/>
    <w:rsid w:val="00C302BC"/>
    <w:rsid w:val="00C326EB"/>
    <w:rsid w:val="00C32924"/>
    <w:rsid w:val="00C32D53"/>
    <w:rsid w:val="00C33C0A"/>
    <w:rsid w:val="00C35CE2"/>
    <w:rsid w:val="00C35E13"/>
    <w:rsid w:val="00C36894"/>
    <w:rsid w:val="00C36A62"/>
    <w:rsid w:val="00C4012A"/>
    <w:rsid w:val="00C435AC"/>
    <w:rsid w:val="00C45E7A"/>
    <w:rsid w:val="00C46F63"/>
    <w:rsid w:val="00C4762E"/>
    <w:rsid w:val="00C50404"/>
    <w:rsid w:val="00C5054A"/>
    <w:rsid w:val="00C50EDF"/>
    <w:rsid w:val="00C52FED"/>
    <w:rsid w:val="00C5351F"/>
    <w:rsid w:val="00C53734"/>
    <w:rsid w:val="00C539FB"/>
    <w:rsid w:val="00C53C2A"/>
    <w:rsid w:val="00C54B21"/>
    <w:rsid w:val="00C561BC"/>
    <w:rsid w:val="00C566FB"/>
    <w:rsid w:val="00C56FEF"/>
    <w:rsid w:val="00C56FF4"/>
    <w:rsid w:val="00C61227"/>
    <w:rsid w:val="00C6157D"/>
    <w:rsid w:val="00C61D07"/>
    <w:rsid w:val="00C62668"/>
    <w:rsid w:val="00C63C88"/>
    <w:rsid w:val="00C63F26"/>
    <w:rsid w:val="00C64C54"/>
    <w:rsid w:val="00C65238"/>
    <w:rsid w:val="00C65DBB"/>
    <w:rsid w:val="00C70F04"/>
    <w:rsid w:val="00C72068"/>
    <w:rsid w:val="00C74131"/>
    <w:rsid w:val="00C74E0F"/>
    <w:rsid w:val="00C75D5A"/>
    <w:rsid w:val="00C75E27"/>
    <w:rsid w:val="00C75EE6"/>
    <w:rsid w:val="00C75F9B"/>
    <w:rsid w:val="00C7666C"/>
    <w:rsid w:val="00C768D3"/>
    <w:rsid w:val="00C770F2"/>
    <w:rsid w:val="00C7762C"/>
    <w:rsid w:val="00C776A0"/>
    <w:rsid w:val="00C81C27"/>
    <w:rsid w:val="00C8266F"/>
    <w:rsid w:val="00C83323"/>
    <w:rsid w:val="00C83548"/>
    <w:rsid w:val="00C859BE"/>
    <w:rsid w:val="00C86437"/>
    <w:rsid w:val="00C86618"/>
    <w:rsid w:val="00C86EA4"/>
    <w:rsid w:val="00C87225"/>
    <w:rsid w:val="00C872F4"/>
    <w:rsid w:val="00C87909"/>
    <w:rsid w:val="00C91648"/>
    <w:rsid w:val="00C9408B"/>
    <w:rsid w:val="00C948F5"/>
    <w:rsid w:val="00C94EDE"/>
    <w:rsid w:val="00C950DD"/>
    <w:rsid w:val="00C95900"/>
    <w:rsid w:val="00C9659F"/>
    <w:rsid w:val="00C97255"/>
    <w:rsid w:val="00C97321"/>
    <w:rsid w:val="00CA0692"/>
    <w:rsid w:val="00CA0CD3"/>
    <w:rsid w:val="00CA0CEB"/>
    <w:rsid w:val="00CA1438"/>
    <w:rsid w:val="00CA1C2C"/>
    <w:rsid w:val="00CA3468"/>
    <w:rsid w:val="00CA5425"/>
    <w:rsid w:val="00CA629D"/>
    <w:rsid w:val="00CA6D70"/>
    <w:rsid w:val="00CA7B88"/>
    <w:rsid w:val="00CB01DA"/>
    <w:rsid w:val="00CB07DE"/>
    <w:rsid w:val="00CB09E7"/>
    <w:rsid w:val="00CB0DD8"/>
    <w:rsid w:val="00CB1A82"/>
    <w:rsid w:val="00CB1AB8"/>
    <w:rsid w:val="00CB3696"/>
    <w:rsid w:val="00CB4082"/>
    <w:rsid w:val="00CB459B"/>
    <w:rsid w:val="00CB571B"/>
    <w:rsid w:val="00CB5AB3"/>
    <w:rsid w:val="00CB6C6E"/>
    <w:rsid w:val="00CB6F27"/>
    <w:rsid w:val="00CB7E48"/>
    <w:rsid w:val="00CB7FE1"/>
    <w:rsid w:val="00CC075B"/>
    <w:rsid w:val="00CC0866"/>
    <w:rsid w:val="00CC0CAD"/>
    <w:rsid w:val="00CC0F4E"/>
    <w:rsid w:val="00CC11BD"/>
    <w:rsid w:val="00CC18D6"/>
    <w:rsid w:val="00CC24D0"/>
    <w:rsid w:val="00CC4689"/>
    <w:rsid w:val="00CC5289"/>
    <w:rsid w:val="00CC54EB"/>
    <w:rsid w:val="00CC703F"/>
    <w:rsid w:val="00CC706B"/>
    <w:rsid w:val="00CC73DD"/>
    <w:rsid w:val="00CC7777"/>
    <w:rsid w:val="00CC7EB9"/>
    <w:rsid w:val="00CD0671"/>
    <w:rsid w:val="00CD06BE"/>
    <w:rsid w:val="00CD0F03"/>
    <w:rsid w:val="00CD1AC2"/>
    <w:rsid w:val="00CD1AD4"/>
    <w:rsid w:val="00CD1BD7"/>
    <w:rsid w:val="00CD1DE1"/>
    <w:rsid w:val="00CD2095"/>
    <w:rsid w:val="00CD426F"/>
    <w:rsid w:val="00CD45B0"/>
    <w:rsid w:val="00CE01FC"/>
    <w:rsid w:val="00CE0C34"/>
    <w:rsid w:val="00CE0CA4"/>
    <w:rsid w:val="00CE0F40"/>
    <w:rsid w:val="00CE12F5"/>
    <w:rsid w:val="00CE1608"/>
    <w:rsid w:val="00CE17C9"/>
    <w:rsid w:val="00CE1DF7"/>
    <w:rsid w:val="00CE28E8"/>
    <w:rsid w:val="00CE4482"/>
    <w:rsid w:val="00CE4893"/>
    <w:rsid w:val="00CE4C8C"/>
    <w:rsid w:val="00CE5744"/>
    <w:rsid w:val="00CE7F07"/>
    <w:rsid w:val="00CF07A5"/>
    <w:rsid w:val="00CF0DB6"/>
    <w:rsid w:val="00CF15E7"/>
    <w:rsid w:val="00CF171E"/>
    <w:rsid w:val="00CF1732"/>
    <w:rsid w:val="00CF533D"/>
    <w:rsid w:val="00CF551C"/>
    <w:rsid w:val="00CF5F2A"/>
    <w:rsid w:val="00CF667E"/>
    <w:rsid w:val="00CF75FB"/>
    <w:rsid w:val="00CF7986"/>
    <w:rsid w:val="00D008E3"/>
    <w:rsid w:val="00D00FFE"/>
    <w:rsid w:val="00D05101"/>
    <w:rsid w:val="00D0533C"/>
    <w:rsid w:val="00D06976"/>
    <w:rsid w:val="00D07BD8"/>
    <w:rsid w:val="00D07EA5"/>
    <w:rsid w:val="00D10EA2"/>
    <w:rsid w:val="00D11009"/>
    <w:rsid w:val="00D119C2"/>
    <w:rsid w:val="00D12DA6"/>
    <w:rsid w:val="00D14F38"/>
    <w:rsid w:val="00D1616F"/>
    <w:rsid w:val="00D161C0"/>
    <w:rsid w:val="00D16D89"/>
    <w:rsid w:val="00D21BAC"/>
    <w:rsid w:val="00D21C70"/>
    <w:rsid w:val="00D226F1"/>
    <w:rsid w:val="00D22ED2"/>
    <w:rsid w:val="00D23D8F"/>
    <w:rsid w:val="00D23FEB"/>
    <w:rsid w:val="00D23FED"/>
    <w:rsid w:val="00D252B3"/>
    <w:rsid w:val="00D258D9"/>
    <w:rsid w:val="00D25B6E"/>
    <w:rsid w:val="00D3076A"/>
    <w:rsid w:val="00D30DEE"/>
    <w:rsid w:val="00D31737"/>
    <w:rsid w:val="00D32B0C"/>
    <w:rsid w:val="00D33705"/>
    <w:rsid w:val="00D33920"/>
    <w:rsid w:val="00D33A8A"/>
    <w:rsid w:val="00D33B8F"/>
    <w:rsid w:val="00D34CD7"/>
    <w:rsid w:val="00D35813"/>
    <w:rsid w:val="00D36123"/>
    <w:rsid w:val="00D3672D"/>
    <w:rsid w:val="00D36A8C"/>
    <w:rsid w:val="00D371DA"/>
    <w:rsid w:val="00D40DD1"/>
    <w:rsid w:val="00D4148C"/>
    <w:rsid w:val="00D41A00"/>
    <w:rsid w:val="00D424B8"/>
    <w:rsid w:val="00D436B8"/>
    <w:rsid w:val="00D4434A"/>
    <w:rsid w:val="00D44A68"/>
    <w:rsid w:val="00D45ADC"/>
    <w:rsid w:val="00D479D4"/>
    <w:rsid w:val="00D503EA"/>
    <w:rsid w:val="00D5055E"/>
    <w:rsid w:val="00D50A39"/>
    <w:rsid w:val="00D50A45"/>
    <w:rsid w:val="00D511E9"/>
    <w:rsid w:val="00D51456"/>
    <w:rsid w:val="00D515C5"/>
    <w:rsid w:val="00D545F7"/>
    <w:rsid w:val="00D557C7"/>
    <w:rsid w:val="00D5594E"/>
    <w:rsid w:val="00D55A78"/>
    <w:rsid w:val="00D5677F"/>
    <w:rsid w:val="00D569CA"/>
    <w:rsid w:val="00D57B63"/>
    <w:rsid w:val="00D6008D"/>
    <w:rsid w:val="00D615EC"/>
    <w:rsid w:val="00D6274C"/>
    <w:rsid w:val="00D62835"/>
    <w:rsid w:val="00D63897"/>
    <w:rsid w:val="00D63A8A"/>
    <w:rsid w:val="00D6549E"/>
    <w:rsid w:val="00D65C55"/>
    <w:rsid w:val="00D661F0"/>
    <w:rsid w:val="00D6691A"/>
    <w:rsid w:val="00D67277"/>
    <w:rsid w:val="00D67AF4"/>
    <w:rsid w:val="00D7202A"/>
    <w:rsid w:val="00D72777"/>
    <w:rsid w:val="00D7299C"/>
    <w:rsid w:val="00D73002"/>
    <w:rsid w:val="00D7302C"/>
    <w:rsid w:val="00D754E0"/>
    <w:rsid w:val="00D76BD4"/>
    <w:rsid w:val="00D77DDB"/>
    <w:rsid w:val="00D80FC9"/>
    <w:rsid w:val="00D81D3D"/>
    <w:rsid w:val="00D81D97"/>
    <w:rsid w:val="00D8222A"/>
    <w:rsid w:val="00D843D9"/>
    <w:rsid w:val="00D84846"/>
    <w:rsid w:val="00D86367"/>
    <w:rsid w:val="00D86A94"/>
    <w:rsid w:val="00D870CF"/>
    <w:rsid w:val="00D877E7"/>
    <w:rsid w:val="00D87F61"/>
    <w:rsid w:val="00D90B5A"/>
    <w:rsid w:val="00D916FA"/>
    <w:rsid w:val="00D91A99"/>
    <w:rsid w:val="00D92214"/>
    <w:rsid w:val="00D92384"/>
    <w:rsid w:val="00D925F7"/>
    <w:rsid w:val="00D9414C"/>
    <w:rsid w:val="00D95E94"/>
    <w:rsid w:val="00D96195"/>
    <w:rsid w:val="00D968BE"/>
    <w:rsid w:val="00DA143F"/>
    <w:rsid w:val="00DA15B5"/>
    <w:rsid w:val="00DA1682"/>
    <w:rsid w:val="00DA1C11"/>
    <w:rsid w:val="00DA2C78"/>
    <w:rsid w:val="00DA30F4"/>
    <w:rsid w:val="00DA363F"/>
    <w:rsid w:val="00DA4434"/>
    <w:rsid w:val="00DA472D"/>
    <w:rsid w:val="00DA488F"/>
    <w:rsid w:val="00DA4FBC"/>
    <w:rsid w:val="00DA541C"/>
    <w:rsid w:val="00DA547D"/>
    <w:rsid w:val="00DA6CEE"/>
    <w:rsid w:val="00DA72D2"/>
    <w:rsid w:val="00DA7965"/>
    <w:rsid w:val="00DB02A9"/>
    <w:rsid w:val="00DB07FB"/>
    <w:rsid w:val="00DB12ED"/>
    <w:rsid w:val="00DB1326"/>
    <w:rsid w:val="00DB2547"/>
    <w:rsid w:val="00DB3DD8"/>
    <w:rsid w:val="00DB465D"/>
    <w:rsid w:val="00DB4F77"/>
    <w:rsid w:val="00DB6953"/>
    <w:rsid w:val="00DB7DE0"/>
    <w:rsid w:val="00DC0B89"/>
    <w:rsid w:val="00DC15E6"/>
    <w:rsid w:val="00DC1F02"/>
    <w:rsid w:val="00DC22D9"/>
    <w:rsid w:val="00DC31DE"/>
    <w:rsid w:val="00DC46C9"/>
    <w:rsid w:val="00DC4E7F"/>
    <w:rsid w:val="00DC5639"/>
    <w:rsid w:val="00DC67AB"/>
    <w:rsid w:val="00DD0EAE"/>
    <w:rsid w:val="00DD1BB1"/>
    <w:rsid w:val="00DD1EE7"/>
    <w:rsid w:val="00DD25C1"/>
    <w:rsid w:val="00DD30E6"/>
    <w:rsid w:val="00DD3916"/>
    <w:rsid w:val="00DD6B24"/>
    <w:rsid w:val="00DD7C34"/>
    <w:rsid w:val="00DD7FD1"/>
    <w:rsid w:val="00DE084E"/>
    <w:rsid w:val="00DE1B2C"/>
    <w:rsid w:val="00DE4C96"/>
    <w:rsid w:val="00DE7A5C"/>
    <w:rsid w:val="00DE7C03"/>
    <w:rsid w:val="00DF0A34"/>
    <w:rsid w:val="00DF1268"/>
    <w:rsid w:val="00DF1E55"/>
    <w:rsid w:val="00DF5152"/>
    <w:rsid w:val="00DF5E25"/>
    <w:rsid w:val="00DF63FB"/>
    <w:rsid w:val="00DF745B"/>
    <w:rsid w:val="00DF7F4C"/>
    <w:rsid w:val="00E012DF"/>
    <w:rsid w:val="00E022A9"/>
    <w:rsid w:val="00E02497"/>
    <w:rsid w:val="00E02619"/>
    <w:rsid w:val="00E02EEE"/>
    <w:rsid w:val="00E0335A"/>
    <w:rsid w:val="00E03905"/>
    <w:rsid w:val="00E039B7"/>
    <w:rsid w:val="00E03AA3"/>
    <w:rsid w:val="00E03D9E"/>
    <w:rsid w:val="00E049D4"/>
    <w:rsid w:val="00E04BAA"/>
    <w:rsid w:val="00E055C2"/>
    <w:rsid w:val="00E07128"/>
    <w:rsid w:val="00E12802"/>
    <w:rsid w:val="00E12F87"/>
    <w:rsid w:val="00E13207"/>
    <w:rsid w:val="00E14619"/>
    <w:rsid w:val="00E1511E"/>
    <w:rsid w:val="00E1527D"/>
    <w:rsid w:val="00E16566"/>
    <w:rsid w:val="00E166FB"/>
    <w:rsid w:val="00E167FF"/>
    <w:rsid w:val="00E17156"/>
    <w:rsid w:val="00E17A94"/>
    <w:rsid w:val="00E20C14"/>
    <w:rsid w:val="00E2147C"/>
    <w:rsid w:val="00E21AA5"/>
    <w:rsid w:val="00E23C29"/>
    <w:rsid w:val="00E23EA4"/>
    <w:rsid w:val="00E23FFC"/>
    <w:rsid w:val="00E26F1E"/>
    <w:rsid w:val="00E27C2A"/>
    <w:rsid w:val="00E27C42"/>
    <w:rsid w:val="00E301CF"/>
    <w:rsid w:val="00E31F7A"/>
    <w:rsid w:val="00E3367D"/>
    <w:rsid w:val="00E36865"/>
    <w:rsid w:val="00E36984"/>
    <w:rsid w:val="00E373AC"/>
    <w:rsid w:val="00E37BB5"/>
    <w:rsid w:val="00E37F8C"/>
    <w:rsid w:val="00E4062F"/>
    <w:rsid w:val="00E4131E"/>
    <w:rsid w:val="00E41BFB"/>
    <w:rsid w:val="00E42061"/>
    <w:rsid w:val="00E424F3"/>
    <w:rsid w:val="00E4406D"/>
    <w:rsid w:val="00E440AB"/>
    <w:rsid w:val="00E449FD"/>
    <w:rsid w:val="00E45B6C"/>
    <w:rsid w:val="00E46055"/>
    <w:rsid w:val="00E46CB1"/>
    <w:rsid w:val="00E501C9"/>
    <w:rsid w:val="00E519BA"/>
    <w:rsid w:val="00E53B23"/>
    <w:rsid w:val="00E5484A"/>
    <w:rsid w:val="00E55CD7"/>
    <w:rsid w:val="00E561AD"/>
    <w:rsid w:val="00E56767"/>
    <w:rsid w:val="00E56F21"/>
    <w:rsid w:val="00E5741E"/>
    <w:rsid w:val="00E601EF"/>
    <w:rsid w:val="00E60670"/>
    <w:rsid w:val="00E60EB9"/>
    <w:rsid w:val="00E61389"/>
    <w:rsid w:val="00E632CB"/>
    <w:rsid w:val="00E63B72"/>
    <w:rsid w:val="00E63B79"/>
    <w:rsid w:val="00E668D9"/>
    <w:rsid w:val="00E66F43"/>
    <w:rsid w:val="00E67620"/>
    <w:rsid w:val="00E702C2"/>
    <w:rsid w:val="00E71996"/>
    <w:rsid w:val="00E71F61"/>
    <w:rsid w:val="00E72811"/>
    <w:rsid w:val="00E72CB2"/>
    <w:rsid w:val="00E73578"/>
    <w:rsid w:val="00E73AD4"/>
    <w:rsid w:val="00E80093"/>
    <w:rsid w:val="00E81967"/>
    <w:rsid w:val="00E82306"/>
    <w:rsid w:val="00E82327"/>
    <w:rsid w:val="00E823A7"/>
    <w:rsid w:val="00E83065"/>
    <w:rsid w:val="00E832D7"/>
    <w:rsid w:val="00E838BF"/>
    <w:rsid w:val="00E83D72"/>
    <w:rsid w:val="00E8589D"/>
    <w:rsid w:val="00E86C99"/>
    <w:rsid w:val="00E86D49"/>
    <w:rsid w:val="00E8721F"/>
    <w:rsid w:val="00E87537"/>
    <w:rsid w:val="00E9154C"/>
    <w:rsid w:val="00E92BE7"/>
    <w:rsid w:val="00E942CF"/>
    <w:rsid w:val="00E943EC"/>
    <w:rsid w:val="00E94D1D"/>
    <w:rsid w:val="00E95EB8"/>
    <w:rsid w:val="00E96D02"/>
    <w:rsid w:val="00E97147"/>
    <w:rsid w:val="00E97430"/>
    <w:rsid w:val="00E978B6"/>
    <w:rsid w:val="00E97B76"/>
    <w:rsid w:val="00EA0D4A"/>
    <w:rsid w:val="00EA0EF7"/>
    <w:rsid w:val="00EA1037"/>
    <w:rsid w:val="00EA1F58"/>
    <w:rsid w:val="00EA29C4"/>
    <w:rsid w:val="00EA2D3A"/>
    <w:rsid w:val="00EA2DF8"/>
    <w:rsid w:val="00EA3422"/>
    <w:rsid w:val="00EA375F"/>
    <w:rsid w:val="00EA3C09"/>
    <w:rsid w:val="00EA3C9E"/>
    <w:rsid w:val="00EA435E"/>
    <w:rsid w:val="00EA5289"/>
    <w:rsid w:val="00EA52A9"/>
    <w:rsid w:val="00EA5C30"/>
    <w:rsid w:val="00EA626E"/>
    <w:rsid w:val="00EA7832"/>
    <w:rsid w:val="00EB1269"/>
    <w:rsid w:val="00EB1850"/>
    <w:rsid w:val="00EB26A0"/>
    <w:rsid w:val="00EB382B"/>
    <w:rsid w:val="00EB5F9F"/>
    <w:rsid w:val="00EB62E4"/>
    <w:rsid w:val="00EB6F43"/>
    <w:rsid w:val="00EB7ACF"/>
    <w:rsid w:val="00EC00A2"/>
    <w:rsid w:val="00EC0376"/>
    <w:rsid w:val="00EC0C4A"/>
    <w:rsid w:val="00EC2203"/>
    <w:rsid w:val="00EC3394"/>
    <w:rsid w:val="00EC3951"/>
    <w:rsid w:val="00EC3CCC"/>
    <w:rsid w:val="00EC421A"/>
    <w:rsid w:val="00EC589B"/>
    <w:rsid w:val="00EC69BA"/>
    <w:rsid w:val="00ED0EA7"/>
    <w:rsid w:val="00ED1137"/>
    <w:rsid w:val="00ED17C4"/>
    <w:rsid w:val="00ED1AEF"/>
    <w:rsid w:val="00ED219E"/>
    <w:rsid w:val="00ED2D97"/>
    <w:rsid w:val="00ED40C7"/>
    <w:rsid w:val="00ED4A6F"/>
    <w:rsid w:val="00ED57BA"/>
    <w:rsid w:val="00ED6136"/>
    <w:rsid w:val="00ED79CF"/>
    <w:rsid w:val="00EE0057"/>
    <w:rsid w:val="00EE1DAE"/>
    <w:rsid w:val="00EE1E12"/>
    <w:rsid w:val="00EE2213"/>
    <w:rsid w:val="00EE2890"/>
    <w:rsid w:val="00EE3119"/>
    <w:rsid w:val="00EE34BB"/>
    <w:rsid w:val="00EE3EB9"/>
    <w:rsid w:val="00EE444B"/>
    <w:rsid w:val="00EE5EA4"/>
    <w:rsid w:val="00EE691F"/>
    <w:rsid w:val="00EF002E"/>
    <w:rsid w:val="00EF11DF"/>
    <w:rsid w:val="00EF14BD"/>
    <w:rsid w:val="00EF1F5B"/>
    <w:rsid w:val="00EF22AA"/>
    <w:rsid w:val="00EF31E7"/>
    <w:rsid w:val="00EF497F"/>
    <w:rsid w:val="00EF4EF8"/>
    <w:rsid w:val="00EF5F48"/>
    <w:rsid w:val="00EF6267"/>
    <w:rsid w:val="00EF6820"/>
    <w:rsid w:val="00EF717B"/>
    <w:rsid w:val="00F01437"/>
    <w:rsid w:val="00F01A63"/>
    <w:rsid w:val="00F01C3C"/>
    <w:rsid w:val="00F030E1"/>
    <w:rsid w:val="00F03965"/>
    <w:rsid w:val="00F05220"/>
    <w:rsid w:val="00F05815"/>
    <w:rsid w:val="00F06549"/>
    <w:rsid w:val="00F07044"/>
    <w:rsid w:val="00F07986"/>
    <w:rsid w:val="00F1118B"/>
    <w:rsid w:val="00F11762"/>
    <w:rsid w:val="00F1519E"/>
    <w:rsid w:val="00F153EF"/>
    <w:rsid w:val="00F15E03"/>
    <w:rsid w:val="00F17FAE"/>
    <w:rsid w:val="00F208E4"/>
    <w:rsid w:val="00F22077"/>
    <w:rsid w:val="00F224A0"/>
    <w:rsid w:val="00F22614"/>
    <w:rsid w:val="00F23B75"/>
    <w:rsid w:val="00F249DA"/>
    <w:rsid w:val="00F251BE"/>
    <w:rsid w:val="00F26244"/>
    <w:rsid w:val="00F26645"/>
    <w:rsid w:val="00F27EFB"/>
    <w:rsid w:val="00F30362"/>
    <w:rsid w:val="00F314E1"/>
    <w:rsid w:val="00F33AE7"/>
    <w:rsid w:val="00F34521"/>
    <w:rsid w:val="00F3505B"/>
    <w:rsid w:val="00F35767"/>
    <w:rsid w:val="00F357B2"/>
    <w:rsid w:val="00F3632E"/>
    <w:rsid w:val="00F36C3F"/>
    <w:rsid w:val="00F36DA2"/>
    <w:rsid w:val="00F37865"/>
    <w:rsid w:val="00F37E95"/>
    <w:rsid w:val="00F40920"/>
    <w:rsid w:val="00F40BBC"/>
    <w:rsid w:val="00F410C0"/>
    <w:rsid w:val="00F41577"/>
    <w:rsid w:val="00F4169D"/>
    <w:rsid w:val="00F43D33"/>
    <w:rsid w:val="00F46F72"/>
    <w:rsid w:val="00F46F83"/>
    <w:rsid w:val="00F47184"/>
    <w:rsid w:val="00F50CFA"/>
    <w:rsid w:val="00F514AA"/>
    <w:rsid w:val="00F51BBF"/>
    <w:rsid w:val="00F53DB5"/>
    <w:rsid w:val="00F5521A"/>
    <w:rsid w:val="00F56068"/>
    <w:rsid w:val="00F57CC6"/>
    <w:rsid w:val="00F6044E"/>
    <w:rsid w:val="00F6258B"/>
    <w:rsid w:val="00F62EC5"/>
    <w:rsid w:val="00F632DF"/>
    <w:rsid w:val="00F63F2A"/>
    <w:rsid w:val="00F6478D"/>
    <w:rsid w:val="00F67501"/>
    <w:rsid w:val="00F67ECA"/>
    <w:rsid w:val="00F708B2"/>
    <w:rsid w:val="00F71CAC"/>
    <w:rsid w:val="00F71FDE"/>
    <w:rsid w:val="00F72867"/>
    <w:rsid w:val="00F73CB9"/>
    <w:rsid w:val="00F748ED"/>
    <w:rsid w:val="00F7556A"/>
    <w:rsid w:val="00F75868"/>
    <w:rsid w:val="00F76EE9"/>
    <w:rsid w:val="00F805AE"/>
    <w:rsid w:val="00F80AB9"/>
    <w:rsid w:val="00F8132B"/>
    <w:rsid w:val="00F840EB"/>
    <w:rsid w:val="00F8490D"/>
    <w:rsid w:val="00F859E0"/>
    <w:rsid w:val="00F90893"/>
    <w:rsid w:val="00F92C4C"/>
    <w:rsid w:val="00F93A93"/>
    <w:rsid w:val="00F9424C"/>
    <w:rsid w:val="00F946AB"/>
    <w:rsid w:val="00F95FB2"/>
    <w:rsid w:val="00F97756"/>
    <w:rsid w:val="00F97910"/>
    <w:rsid w:val="00F97A64"/>
    <w:rsid w:val="00FA054E"/>
    <w:rsid w:val="00FA0C97"/>
    <w:rsid w:val="00FA16EC"/>
    <w:rsid w:val="00FA31A9"/>
    <w:rsid w:val="00FA3603"/>
    <w:rsid w:val="00FA3BFF"/>
    <w:rsid w:val="00FA4634"/>
    <w:rsid w:val="00FA4EE4"/>
    <w:rsid w:val="00FA52E5"/>
    <w:rsid w:val="00FA5AA9"/>
    <w:rsid w:val="00FA5E77"/>
    <w:rsid w:val="00FA6A81"/>
    <w:rsid w:val="00FA7FDB"/>
    <w:rsid w:val="00FB114C"/>
    <w:rsid w:val="00FB1921"/>
    <w:rsid w:val="00FB23DF"/>
    <w:rsid w:val="00FB287A"/>
    <w:rsid w:val="00FB28BD"/>
    <w:rsid w:val="00FB35A4"/>
    <w:rsid w:val="00FB4A1D"/>
    <w:rsid w:val="00FB59DC"/>
    <w:rsid w:val="00FB7355"/>
    <w:rsid w:val="00FC0D58"/>
    <w:rsid w:val="00FC114E"/>
    <w:rsid w:val="00FC2081"/>
    <w:rsid w:val="00FC4076"/>
    <w:rsid w:val="00FC49F4"/>
    <w:rsid w:val="00FC4ADF"/>
    <w:rsid w:val="00FC4CD2"/>
    <w:rsid w:val="00FC4CF0"/>
    <w:rsid w:val="00FC4EDF"/>
    <w:rsid w:val="00FC4F7E"/>
    <w:rsid w:val="00FC6530"/>
    <w:rsid w:val="00FC73A6"/>
    <w:rsid w:val="00FC7D15"/>
    <w:rsid w:val="00FC7DF0"/>
    <w:rsid w:val="00FD0226"/>
    <w:rsid w:val="00FD0BA2"/>
    <w:rsid w:val="00FD1735"/>
    <w:rsid w:val="00FD2910"/>
    <w:rsid w:val="00FD3C21"/>
    <w:rsid w:val="00FD3F05"/>
    <w:rsid w:val="00FD426A"/>
    <w:rsid w:val="00FD465B"/>
    <w:rsid w:val="00FD46EE"/>
    <w:rsid w:val="00FD65B4"/>
    <w:rsid w:val="00FD7247"/>
    <w:rsid w:val="00FD77E6"/>
    <w:rsid w:val="00FE0ACB"/>
    <w:rsid w:val="00FE0CFB"/>
    <w:rsid w:val="00FE12D5"/>
    <w:rsid w:val="00FE2CD2"/>
    <w:rsid w:val="00FE30F2"/>
    <w:rsid w:val="00FE32C3"/>
    <w:rsid w:val="00FE3E03"/>
    <w:rsid w:val="00FE5F63"/>
    <w:rsid w:val="00FE6B69"/>
    <w:rsid w:val="00FE6C0F"/>
    <w:rsid w:val="00FE7686"/>
    <w:rsid w:val="00FE7FA2"/>
    <w:rsid w:val="00FF0720"/>
    <w:rsid w:val="00FF13AD"/>
    <w:rsid w:val="00FF17E5"/>
    <w:rsid w:val="00FF1C7F"/>
    <w:rsid w:val="00FF1D39"/>
    <w:rsid w:val="00FF30FF"/>
    <w:rsid w:val="00FF3A69"/>
    <w:rsid w:val="00FF50AB"/>
    <w:rsid w:val="00FF5AD9"/>
    <w:rsid w:val="00FF603C"/>
    <w:rsid w:val="00FF6CB2"/>
    <w:rsid w:val="00FF7D48"/>
    <w:rsid w:val="010C1112"/>
    <w:rsid w:val="021DF365"/>
    <w:rsid w:val="029C2633"/>
    <w:rsid w:val="03532116"/>
    <w:rsid w:val="03B1F703"/>
    <w:rsid w:val="03E3A3E9"/>
    <w:rsid w:val="03F51677"/>
    <w:rsid w:val="03F69F1A"/>
    <w:rsid w:val="0510334F"/>
    <w:rsid w:val="051ACFCD"/>
    <w:rsid w:val="05919A2D"/>
    <w:rsid w:val="05E9152B"/>
    <w:rsid w:val="06379433"/>
    <w:rsid w:val="063D6843"/>
    <w:rsid w:val="066432AC"/>
    <w:rsid w:val="069B7ADC"/>
    <w:rsid w:val="069D33D9"/>
    <w:rsid w:val="06BE6BE2"/>
    <w:rsid w:val="06FE8B66"/>
    <w:rsid w:val="070AFB42"/>
    <w:rsid w:val="0739E6C6"/>
    <w:rsid w:val="0763136A"/>
    <w:rsid w:val="07A6191C"/>
    <w:rsid w:val="07ABBEBB"/>
    <w:rsid w:val="07BA705A"/>
    <w:rsid w:val="081F19BD"/>
    <w:rsid w:val="084EBC2A"/>
    <w:rsid w:val="0907052C"/>
    <w:rsid w:val="098051AA"/>
    <w:rsid w:val="0A24B9C4"/>
    <w:rsid w:val="0A613950"/>
    <w:rsid w:val="0A700B55"/>
    <w:rsid w:val="0ABA56C6"/>
    <w:rsid w:val="0B0022D9"/>
    <w:rsid w:val="0B48D58A"/>
    <w:rsid w:val="0B7151BD"/>
    <w:rsid w:val="0C5E71B7"/>
    <w:rsid w:val="0C689E27"/>
    <w:rsid w:val="0C6C4946"/>
    <w:rsid w:val="0C85BE5D"/>
    <w:rsid w:val="0C9FAC85"/>
    <w:rsid w:val="0CB1253A"/>
    <w:rsid w:val="0DCFF88F"/>
    <w:rsid w:val="0DE04A9F"/>
    <w:rsid w:val="0DF5FC9A"/>
    <w:rsid w:val="0E3D3F74"/>
    <w:rsid w:val="0E6BB81D"/>
    <w:rsid w:val="0E967858"/>
    <w:rsid w:val="0F03D9E1"/>
    <w:rsid w:val="0F3B75E8"/>
    <w:rsid w:val="0F95990C"/>
    <w:rsid w:val="0FD4C9D7"/>
    <w:rsid w:val="102F500D"/>
    <w:rsid w:val="10A4A11E"/>
    <w:rsid w:val="10FB2C97"/>
    <w:rsid w:val="1112F309"/>
    <w:rsid w:val="1114BA4E"/>
    <w:rsid w:val="112C6B7A"/>
    <w:rsid w:val="1198BEFD"/>
    <w:rsid w:val="11DD2B83"/>
    <w:rsid w:val="12008149"/>
    <w:rsid w:val="123EFD2F"/>
    <w:rsid w:val="12F4B78A"/>
    <w:rsid w:val="1323E382"/>
    <w:rsid w:val="136379A9"/>
    <w:rsid w:val="13A3A09E"/>
    <w:rsid w:val="13A79940"/>
    <w:rsid w:val="13E847AC"/>
    <w:rsid w:val="13F426FA"/>
    <w:rsid w:val="142D8494"/>
    <w:rsid w:val="1486A01F"/>
    <w:rsid w:val="15270E72"/>
    <w:rsid w:val="154090C5"/>
    <w:rsid w:val="1561100D"/>
    <w:rsid w:val="15A58401"/>
    <w:rsid w:val="15BE4434"/>
    <w:rsid w:val="16287004"/>
    <w:rsid w:val="166F4922"/>
    <w:rsid w:val="17131A31"/>
    <w:rsid w:val="17C27382"/>
    <w:rsid w:val="17DC55AF"/>
    <w:rsid w:val="17FEF9E5"/>
    <w:rsid w:val="185526A6"/>
    <w:rsid w:val="18B57E3D"/>
    <w:rsid w:val="18CE3240"/>
    <w:rsid w:val="19667954"/>
    <w:rsid w:val="198A79AC"/>
    <w:rsid w:val="19DEEE96"/>
    <w:rsid w:val="19E6C14B"/>
    <w:rsid w:val="1A4348F7"/>
    <w:rsid w:val="1A7FDCA6"/>
    <w:rsid w:val="1A8B3D1C"/>
    <w:rsid w:val="1A9A6D24"/>
    <w:rsid w:val="1AC17C3A"/>
    <w:rsid w:val="1ADA31FC"/>
    <w:rsid w:val="1B284C5D"/>
    <w:rsid w:val="1B597A7E"/>
    <w:rsid w:val="1BB71A66"/>
    <w:rsid w:val="1BD611AD"/>
    <w:rsid w:val="1CAE500B"/>
    <w:rsid w:val="1CE469A7"/>
    <w:rsid w:val="1D3ABBAA"/>
    <w:rsid w:val="1D481232"/>
    <w:rsid w:val="1DD9EF3C"/>
    <w:rsid w:val="1DF69EC9"/>
    <w:rsid w:val="1E25FE9E"/>
    <w:rsid w:val="1E4917F1"/>
    <w:rsid w:val="1EAC8E60"/>
    <w:rsid w:val="1EBF714E"/>
    <w:rsid w:val="1EE22F19"/>
    <w:rsid w:val="1F152BF5"/>
    <w:rsid w:val="1F6DAFD8"/>
    <w:rsid w:val="1F84CC11"/>
    <w:rsid w:val="1F9F929D"/>
    <w:rsid w:val="1FABBDF6"/>
    <w:rsid w:val="1FFBA893"/>
    <w:rsid w:val="20BD1B28"/>
    <w:rsid w:val="2170C7F6"/>
    <w:rsid w:val="218F7423"/>
    <w:rsid w:val="21A055E4"/>
    <w:rsid w:val="21CD325D"/>
    <w:rsid w:val="21E1F21E"/>
    <w:rsid w:val="21F176C3"/>
    <w:rsid w:val="2252F5EA"/>
    <w:rsid w:val="22B2E273"/>
    <w:rsid w:val="235944A0"/>
    <w:rsid w:val="239528D4"/>
    <w:rsid w:val="241BF6F5"/>
    <w:rsid w:val="242A3B97"/>
    <w:rsid w:val="244B8BA3"/>
    <w:rsid w:val="247593E9"/>
    <w:rsid w:val="2482AB30"/>
    <w:rsid w:val="24866881"/>
    <w:rsid w:val="248FB11B"/>
    <w:rsid w:val="24CA6B4B"/>
    <w:rsid w:val="25167A99"/>
    <w:rsid w:val="251DAD54"/>
    <w:rsid w:val="256E7D1F"/>
    <w:rsid w:val="263C3F53"/>
    <w:rsid w:val="265D5CEA"/>
    <w:rsid w:val="266D0E36"/>
    <w:rsid w:val="267B3E42"/>
    <w:rsid w:val="2705F438"/>
    <w:rsid w:val="2803C688"/>
    <w:rsid w:val="286F61AF"/>
    <w:rsid w:val="28F9800E"/>
    <w:rsid w:val="29171280"/>
    <w:rsid w:val="291EB04C"/>
    <w:rsid w:val="29AF17E1"/>
    <w:rsid w:val="29E24B52"/>
    <w:rsid w:val="2AB2F450"/>
    <w:rsid w:val="2AB70C23"/>
    <w:rsid w:val="2AEB4A54"/>
    <w:rsid w:val="2B04FDB1"/>
    <w:rsid w:val="2B1AC7DC"/>
    <w:rsid w:val="2BEF2B23"/>
    <w:rsid w:val="2BF1899A"/>
    <w:rsid w:val="2C3D54C4"/>
    <w:rsid w:val="2CC507A0"/>
    <w:rsid w:val="2CE0FEC2"/>
    <w:rsid w:val="2CF1AE67"/>
    <w:rsid w:val="2D12A1D9"/>
    <w:rsid w:val="2D9251E6"/>
    <w:rsid w:val="2D99E544"/>
    <w:rsid w:val="2DEB2C8A"/>
    <w:rsid w:val="2E2AB90F"/>
    <w:rsid w:val="2E3CCF42"/>
    <w:rsid w:val="2E8E4643"/>
    <w:rsid w:val="2E8E7D31"/>
    <w:rsid w:val="2EE8C294"/>
    <w:rsid w:val="2F7661F3"/>
    <w:rsid w:val="2FA6F2C0"/>
    <w:rsid w:val="30317774"/>
    <w:rsid w:val="30B89212"/>
    <w:rsid w:val="30EDBFC2"/>
    <w:rsid w:val="30F97C62"/>
    <w:rsid w:val="30FC3356"/>
    <w:rsid w:val="3192DD79"/>
    <w:rsid w:val="3205A40E"/>
    <w:rsid w:val="320BC70F"/>
    <w:rsid w:val="32158470"/>
    <w:rsid w:val="3268830B"/>
    <w:rsid w:val="32C1C859"/>
    <w:rsid w:val="32F6F98A"/>
    <w:rsid w:val="33059570"/>
    <w:rsid w:val="33394F97"/>
    <w:rsid w:val="333BE5E1"/>
    <w:rsid w:val="3385A405"/>
    <w:rsid w:val="33985B12"/>
    <w:rsid w:val="33E5B4FB"/>
    <w:rsid w:val="34DFCB06"/>
    <w:rsid w:val="34E998B1"/>
    <w:rsid w:val="34F06E92"/>
    <w:rsid w:val="3518770D"/>
    <w:rsid w:val="351F2960"/>
    <w:rsid w:val="3569ECBC"/>
    <w:rsid w:val="35821FBB"/>
    <w:rsid w:val="358BCD3F"/>
    <w:rsid w:val="35A59737"/>
    <w:rsid w:val="3630E3D9"/>
    <w:rsid w:val="36C1AD60"/>
    <w:rsid w:val="36E718BD"/>
    <w:rsid w:val="372DFBD6"/>
    <w:rsid w:val="374972E4"/>
    <w:rsid w:val="375E6B6B"/>
    <w:rsid w:val="3782F5BA"/>
    <w:rsid w:val="381054FE"/>
    <w:rsid w:val="382BB0E4"/>
    <w:rsid w:val="38303276"/>
    <w:rsid w:val="38D94B9A"/>
    <w:rsid w:val="39728167"/>
    <w:rsid w:val="397FF86C"/>
    <w:rsid w:val="399D4214"/>
    <w:rsid w:val="39F787EA"/>
    <w:rsid w:val="3A1863B5"/>
    <w:rsid w:val="3A252E23"/>
    <w:rsid w:val="3A5CA141"/>
    <w:rsid w:val="3AC975C0"/>
    <w:rsid w:val="3AE1C658"/>
    <w:rsid w:val="3AE87F4D"/>
    <w:rsid w:val="3B3759A5"/>
    <w:rsid w:val="3B799BCC"/>
    <w:rsid w:val="3B983095"/>
    <w:rsid w:val="3BBDEFDF"/>
    <w:rsid w:val="3C09902F"/>
    <w:rsid w:val="3C205190"/>
    <w:rsid w:val="3C415B41"/>
    <w:rsid w:val="3C637521"/>
    <w:rsid w:val="3C87A00B"/>
    <w:rsid w:val="3D1B7E88"/>
    <w:rsid w:val="3D23032C"/>
    <w:rsid w:val="3DF4D5B1"/>
    <w:rsid w:val="3E0BD2A6"/>
    <w:rsid w:val="3E587F8E"/>
    <w:rsid w:val="3E75DAF6"/>
    <w:rsid w:val="3EEBE81C"/>
    <w:rsid w:val="3F7A82CE"/>
    <w:rsid w:val="3F8285E0"/>
    <w:rsid w:val="3FC738EB"/>
    <w:rsid w:val="3FF7CE88"/>
    <w:rsid w:val="40310710"/>
    <w:rsid w:val="404A42F7"/>
    <w:rsid w:val="405C61C0"/>
    <w:rsid w:val="40CDF8D1"/>
    <w:rsid w:val="4131F494"/>
    <w:rsid w:val="41531929"/>
    <w:rsid w:val="41B4A28C"/>
    <w:rsid w:val="4254DCC1"/>
    <w:rsid w:val="42EDEF6D"/>
    <w:rsid w:val="43768F17"/>
    <w:rsid w:val="451C38B0"/>
    <w:rsid w:val="457E80E2"/>
    <w:rsid w:val="45866D16"/>
    <w:rsid w:val="4600C643"/>
    <w:rsid w:val="46186346"/>
    <w:rsid w:val="464F45A7"/>
    <w:rsid w:val="4660B91A"/>
    <w:rsid w:val="46D68B46"/>
    <w:rsid w:val="4734A752"/>
    <w:rsid w:val="475F3A1A"/>
    <w:rsid w:val="47C26FF6"/>
    <w:rsid w:val="47CA3E1F"/>
    <w:rsid w:val="4816A654"/>
    <w:rsid w:val="481A0B18"/>
    <w:rsid w:val="48375772"/>
    <w:rsid w:val="487623C5"/>
    <w:rsid w:val="4909FF02"/>
    <w:rsid w:val="4936E5BF"/>
    <w:rsid w:val="4959E051"/>
    <w:rsid w:val="4A1DDAEB"/>
    <w:rsid w:val="4A4DD050"/>
    <w:rsid w:val="4AA1AE5E"/>
    <w:rsid w:val="4B71E956"/>
    <w:rsid w:val="4C05280B"/>
    <w:rsid w:val="4C2A1218"/>
    <w:rsid w:val="4C8918ED"/>
    <w:rsid w:val="4D05D725"/>
    <w:rsid w:val="4D0967CF"/>
    <w:rsid w:val="4D65BC3A"/>
    <w:rsid w:val="4D8EC441"/>
    <w:rsid w:val="4DBA415A"/>
    <w:rsid w:val="4DDA30CA"/>
    <w:rsid w:val="4DE0175B"/>
    <w:rsid w:val="4E12A658"/>
    <w:rsid w:val="4E2B0E51"/>
    <w:rsid w:val="4EDF1A41"/>
    <w:rsid w:val="4EF92727"/>
    <w:rsid w:val="4EFA7888"/>
    <w:rsid w:val="4F35BA93"/>
    <w:rsid w:val="4F76BD83"/>
    <w:rsid w:val="4F9EA472"/>
    <w:rsid w:val="4FCC0AD1"/>
    <w:rsid w:val="5018C294"/>
    <w:rsid w:val="510D766F"/>
    <w:rsid w:val="51115786"/>
    <w:rsid w:val="5170D769"/>
    <w:rsid w:val="526362D6"/>
    <w:rsid w:val="527DC273"/>
    <w:rsid w:val="52CC3B59"/>
    <w:rsid w:val="5369F3F4"/>
    <w:rsid w:val="537A5530"/>
    <w:rsid w:val="537B7A8F"/>
    <w:rsid w:val="547A2D94"/>
    <w:rsid w:val="547CDDA0"/>
    <w:rsid w:val="54ACA371"/>
    <w:rsid w:val="550BC2F9"/>
    <w:rsid w:val="558BDF90"/>
    <w:rsid w:val="559D80A3"/>
    <w:rsid w:val="55D58669"/>
    <w:rsid w:val="560FAF85"/>
    <w:rsid w:val="565C7792"/>
    <w:rsid w:val="56F1BA1B"/>
    <w:rsid w:val="57821025"/>
    <w:rsid w:val="57CD894D"/>
    <w:rsid w:val="58532BE8"/>
    <w:rsid w:val="587E035A"/>
    <w:rsid w:val="588CC089"/>
    <w:rsid w:val="58A84EEA"/>
    <w:rsid w:val="58E96E3A"/>
    <w:rsid w:val="593AC637"/>
    <w:rsid w:val="593E5738"/>
    <w:rsid w:val="594C7A0B"/>
    <w:rsid w:val="59C112C8"/>
    <w:rsid w:val="5A4CF6CC"/>
    <w:rsid w:val="5AF03726"/>
    <w:rsid w:val="5B545F6C"/>
    <w:rsid w:val="5B67C7D7"/>
    <w:rsid w:val="5C24D288"/>
    <w:rsid w:val="5C6F8BC2"/>
    <w:rsid w:val="5CE41D62"/>
    <w:rsid w:val="5CEFEC53"/>
    <w:rsid w:val="5DC4A04A"/>
    <w:rsid w:val="5DD4D7CF"/>
    <w:rsid w:val="5E04AD7D"/>
    <w:rsid w:val="5E4023AB"/>
    <w:rsid w:val="5E7D70E4"/>
    <w:rsid w:val="5E97B0CB"/>
    <w:rsid w:val="5F62B1B6"/>
    <w:rsid w:val="5FAE97D8"/>
    <w:rsid w:val="5FB23B27"/>
    <w:rsid w:val="5FD35E9D"/>
    <w:rsid w:val="600DB829"/>
    <w:rsid w:val="6079877E"/>
    <w:rsid w:val="60A7EB4B"/>
    <w:rsid w:val="612F3305"/>
    <w:rsid w:val="61EE564A"/>
    <w:rsid w:val="61FAE98A"/>
    <w:rsid w:val="62456E77"/>
    <w:rsid w:val="62BE2085"/>
    <w:rsid w:val="62C9B2EA"/>
    <w:rsid w:val="631FEBCA"/>
    <w:rsid w:val="639E9B9B"/>
    <w:rsid w:val="63BDFF0D"/>
    <w:rsid w:val="63BEA325"/>
    <w:rsid w:val="64200735"/>
    <w:rsid w:val="6462B5A6"/>
    <w:rsid w:val="649087DC"/>
    <w:rsid w:val="649395FB"/>
    <w:rsid w:val="64A4B944"/>
    <w:rsid w:val="64D5FF92"/>
    <w:rsid w:val="64F692D4"/>
    <w:rsid w:val="656A1E2D"/>
    <w:rsid w:val="65772A6C"/>
    <w:rsid w:val="65A72BA2"/>
    <w:rsid w:val="6654291A"/>
    <w:rsid w:val="66BD4B63"/>
    <w:rsid w:val="671C4404"/>
    <w:rsid w:val="67205E4B"/>
    <w:rsid w:val="67630FE3"/>
    <w:rsid w:val="678818CA"/>
    <w:rsid w:val="67929FA3"/>
    <w:rsid w:val="67997BEE"/>
    <w:rsid w:val="67E5EF71"/>
    <w:rsid w:val="688EC8D6"/>
    <w:rsid w:val="68A23DD0"/>
    <w:rsid w:val="68C2C5D5"/>
    <w:rsid w:val="68DB40FC"/>
    <w:rsid w:val="691A06BB"/>
    <w:rsid w:val="691A7037"/>
    <w:rsid w:val="6924D4D1"/>
    <w:rsid w:val="6987D822"/>
    <w:rsid w:val="6A0510BF"/>
    <w:rsid w:val="6A5BA9CD"/>
    <w:rsid w:val="6A66705C"/>
    <w:rsid w:val="6AB03904"/>
    <w:rsid w:val="6ABC4D12"/>
    <w:rsid w:val="6AC31E23"/>
    <w:rsid w:val="6B3C2582"/>
    <w:rsid w:val="6B5B80CE"/>
    <w:rsid w:val="6BF9886D"/>
    <w:rsid w:val="6C7E551B"/>
    <w:rsid w:val="6D17EF1F"/>
    <w:rsid w:val="6D488CFE"/>
    <w:rsid w:val="6D5E2B53"/>
    <w:rsid w:val="6D92290A"/>
    <w:rsid w:val="6DC8581C"/>
    <w:rsid w:val="6DE954D4"/>
    <w:rsid w:val="6DEE8A84"/>
    <w:rsid w:val="6E235B12"/>
    <w:rsid w:val="6FEFD563"/>
    <w:rsid w:val="702EE3C2"/>
    <w:rsid w:val="70481CF2"/>
    <w:rsid w:val="70631177"/>
    <w:rsid w:val="70A625F7"/>
    <w:rsid w:val="70C006E6"/>
    <w:rsid w:val="713AB4F6"/>
    <w:rsid w:val="716D41F4"/>
    <w:rsid w:val="7193A06A"/>
    <w:rsid w:val="71C31FE3"/>
    <w:rsid w:val="71E6426E"/>
    <w:rsid w:val="71F51864"/>
    <w:rsid w:val="720D7029"/>
    <w:rsid w:val="724E9FAD"/>
    <w:rsid w:val="727A167A"/>
    <w:rsid w:val="72AFD5C4"/>
    <w:rsid w:val="72D168A5"/>
    <w:rsid w:val="72F6ECCE"/>
    <w:rsid w:val="730FCCFB"/>
    <w:rsid w:val="73BF3F6F"/>
    <w:rsid w:val="73C5D9BC"/>
    <w:rsid w:val="73F401F8"/>
    <w:rsid w:val="74B9DF17"/>
    <w:rsid w:val="74CD2655"/>
    <w:rsid w:val="75207B8F"/>
    <w:rsid w:val="753F003B"/>
    <w:rsid w:val="755D8C82"/>
    <w:rsid w:val="75809766"/>
    <w:rsid w:val="75BE7B32"/>
    <w:rsid w:val="75E00F09"/>
    <w:rsid w:val="75E7E8C2"/>
    <w:rsid w:val="7669ACD6"/>
    <w:rsid w:val="766E7AF6"/>
    <w:rsid w:val="76825172"/>
    <w:rsid w:val="76B67B90"/>
    <w:rsid w:val="76DBA6E0"/>
    <w:rsid w:val="77316144"/>
    <w:rsid w:val="77359BF2"/>
    <w:rsid w:val="77446A4A"/>
    <w:rsid w:val="777ECC86"/>
    <w:rsid w:val="77D2CA7A"/>
    <w:rsid w:val="78206F1E"/>
    <w:rsid w:val="784B72B7"/>
    <w:rsid w:val="785BA168"/>
    <w:rsid w:val="7929D98B"/>
    <w:rsid w:val="79B17F01"/>
    <w:rsid w:val="79BEC7F1"/>
    <w:rsid w:val="79CB34D5"/>
    <w:rsid w:val="7A1FFE35"/>
    <w:rsid w:val="7A6AF975"/>
    <w:rsid w:val="7A75D9C9"/>
    <w:rsid w:val="7A91341A"/>
    <w:rsid w:val="7B254AC1"/>
    <w:rsid w:val="7B51F349"/>
    <w:rsid w:val="7BAD7C19"/>
    <w:rsid w:val="7BEE4526"/>
    <w:rsid w:val="7BF38582"/>
    <w:rsid w:val="7BF9C335"/>
    <w:rsid w:val="7C285CBA"/>
    <w:rsid w:val="7C297149"/>
    <w:rsid w:val="7C97CD75"/>
    <w:rsid w:val="7CA17E0A"/>
    <w:rsid w:val="7D073C85"/>
    <w:rsid w:val="7D0CF5E0"/>
    <w:rsid w:val="7DA9163B"/>
    <w:rsid w:val="7DEED1A8"/>
    <w:rsid w:val="7E030E9E"/>
    <w:rsid w:val="7E1955CF"/>
    <w:rsid w:val="7E8CEE34"/>
    <w:rsid w:val="7F17C408"/>
    <w:rsid w:val="7FA29CDC"/>
    <w:rsid w:val="7FD37914"/>
    <w:rsid w:val="7FE44DF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689E2"/>
  <w15:docId w15:val="{38D6A328-5785-4CB2-BD85-E77B7552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B55AB"/>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B155FE"/>
    <w:pPr>
      <w:tabs>
        <w:tab w:val="center" w:pos="4536"/>
        <w:tab w:val="right" w:pos="9072"/>
      </w:tabs>
      <w:spacing w:after="0" w:line="240" w:lineRule="auto"/>
    </w:pPr>
  </w:style>
  <w:style w:type="character" w:customStyle="1" w:styleId="lfejChar">
    <w:name w:val="Élőfej Char"/>
    <w:basedOn w:val="Bekezdsalapbettpusa"/>
    <w:link w:val="lfej"/>
    <w:uiPriority w:val="99"/>
    <w:rsid w:val="00B155FE"/>
  </w:style>
  <w:style w:type="paragraph" w:styleId="llb">
    <w:name w:val="footer"/>
    <w:basedOn w:val="Norml"/>
    <w:link w:val="llbChar"/>
    <w:uiPriority w:val="99"/>
    <w:unhideWhenUsed/>
    <w:rsid w:val="00B155FE"/>
    <w:pPr>
      <w:tabs>
        <w:tab w:val="center" w:pos="4536"/>
        <w:tab w:val="right" w:pos="9072"/>
      </w:tabs>
      <w:spacing w:after="0" w:line="240" w:lineRule="auto"/>
    </w:pPr>
  </w:style>
  <w:style w:type="character" w:customStyle="1" w:styleId="llbChar">
    <w:name w:val="Élőláb Char"/>
    <w:basedOn w:val="Bekezdsalapbettpusa"/>
    <w:link w:val="llb"/>
    <w:uiPriority w:val="99"/>
    <w:rsid w:val="00B155FE"/>
  </w:style>
  <w:style w:type="paragraph" w:styleId="Lbjegyzetszveg">
    <w:name w:val="footnote text"/>
    <w:basedOn w:val="Norml"/>
    <w:link w:val="LbjegyzetszvegChar"/>
    <w:uiPriority w:val="99"/>
    <w:semiHidden/>
    <w:unhideWhenUsed/>
    <w:rsid w:val="00B155FE"/>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B155FE"/>
    <w:rPr>
      <w:sz w:val="20"/>
      <w:szCs w:val="20"/>
    </w:rPr>
  </w:style>
  <w:style w:type="character" w:styleId="Lbjegyzet-hivatkozs">
    <w:name w:val="footnote reference"/>
    <w:semiHidden/>
    <w:rsid w:val="00B155FE"/>
    <w:rPr>
      <w:vertAlign w:val="superscript"/>
    </w:rPr>
  </w:style>
  <w:style w:type="character" w:styleId="Oldalszm">
    <w:name w:val="page number"/>
    <w:basedOn w:val="Bekezdsalapbettpusa"/>
    <w:rsid w:val="00B155FE"/>
  </w:style>
  <w:style w:type="paragraph" w:styleId="Buborkszveg">
    <w:name w:val="Balloon Text"/>
    <w:basedOn w:val="Norml"/>
    <w:link w:val="BuborkszvegChar"/>
    <w:uiPriority w:val="99"/>
    <w:semiHidden/>
    <w:unhideWhenUsed/>
    <w:rsid w:val="0097327C"/>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97327C"/>
    <w:rPr>
      <w:rFonts w:ascii="Tahoma" w:hAnsi="Tahoma" w:cs="Tahoma"/>
      <w:sz w:val="16"/>
      <w:szCs w:val="16"/>
    </w:rPr>
  </w:style>
  <w:style w:type="paragraph" w:styleId="Listaszerbekezds">
    <w:name w:val="List Paragraph"/>
    <w:basedOn w:val="Norml"/>
    <w:uiPriority w:val="34"/>
    <w:qFormat/>
    <w:rsid w:val="00F71CAC"/>
    <w:pPr>
      <w:ind w:left="720"/>
      <w:contextualSpacing/>
    </w:pPr>
  </w:style>
  <w:style w:type="paragraph" w:styleId="Jegyzetszveg">
    <w:name w:val="annotation text"/>
    <w:basedOn w:val="Norml"/>
    <w:link w:val="JegyzetszvegChar"/>
    <w:uiPriority w:val="99"/>
    <w:semiHidden/>
    <w:unhideWhenUsed/>
    <w:pPr>
      <w:spacing w:line="240" w:lineRule="auto"/>
    </w:pPr>
    <w:rPr>
      <w:sz w:val="20"/>
      <w:szCs w:val="20"/>
    </w:rPr>
  </w:style>
  <w:style w:type="character" w:customStyle="1" w:styleId="JegyzetszvegChar">
    <w:name w:val="Jegyzetszöveg Char"/>
    <w:basedOn w:val="Bekezdsalapbettpusa"/>
    <w:link w:val="Jegyzetszveg"/>
    <w:uiPriority w:val="99"/>
    <w:semiHidden/>
    <w:rPr>
      <w:sz w:val="20"/>
      <w:szCs w:val="20"/>
    </w:rPr>
  </w:style>
  <w:style w:type="character" w:styleId="Jegyzethivatkozs">
    <w:name w:val="annotation reference"/>
    <w:basedOn w:val="Bekezdsalapbettpusa"/>
    <w:uiPriority w:val="99"/>
    <w:semiHidden/>
    <w:unhideWhenUsed/>
    <w:rPr>
      <w:sz w:val="16"/>
      <w:szCs w:val="16"/>
    </w:rPr>
  </w:style>
  <w:style w:type="table" w:styleId="Rcsostblzat">
    <w:name w:val="Table Grid"/>
    <w:basedOn w:val="Normltblzat"/>
    <w:uiPriority w:val="39"/>
    <w:rsid w:val="00D47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unhideWhenUsed/>
    <w:rsid w:val="00E16566"/>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unhideWhenUsed/>
    <w:rPr>
      <w:color w:val="0563C1" w:themeColor="hyperlink"/>
      <w:u w:val="single"/>
    </w:rPr>
  </w:style>
  <w:style w:type="table" w:styleId="Tblzatrcsos1vilgos1jellszn">
    <w:name w:val="Grid Table 1 Light Accent 1"/>
    <w:basedOn w:val="Normltblzat"/>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Megjegyzstrgya">
    <w:name w:val="annotation subject"/>
    <w:basedOn w:val="Jegyzetszveg"/>
    <w:next w:val="Jegyzetszveg"/>
    <w:link w:val="MegjegyzstrgyaChar"/>
    <w:uiPriority w:val="99"/>
    <w:semiHidden/>
    <w:unhideWhenUsed/>
    <w:rsid w:val="00C75D5A"/>
    <w:rPr>
      <w:b/>
      <w:bCs/>
    </w:rPr>
  </w:style>
  <w:style w:type="character" w:customStyle="1" w:styleId="MegjegyzstrgyaChar">
    <w:name w:val="Megjegyzés tárgya Char"/>
    <w:basedOn w:val="JegyzetszvegChar"/>
    <w:link w:val="Megjegyzstrgya"/>
    <w:uiPriority w:val="99"/>
    <w:semiHidden/>
    <w:rsid w:val="00C75D5A"/>
    <w:rPr>
      <w:b/>
      <w:bCs/>
      <w:sz w:val="20"/>
      <w:szCs w:val="20"/>
    </w:rPr>
  </w:style>
  <w:style w:type="paragraph" w:styleId="Vltozat">
    <w:name w:val="Revision"/>
    <w:hidden/>
    <w:uiPriority w:val="99"/>
    <w:semiHidden/>
    <w:rsid w:val="001621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1892">
      <w:bodyDiv w:val="1"/>
      <w:marLeft w:val="0"/>
      <w:marRight w:val="0"/>
      <w:marTop w:val="0"/>
      <w:marBottom w:val="0"/>
      <w:divBdr>
        <w:top w:val="none" w:sz="0" w:space="0" w:color="auto"/>
        <w:left w:val="none" w:sz="0" w:space="0" w:color="auto"/>
        <w:bottom w:val="none" w:sz="0" w:space="0" w:color="auto"/>
        <w:right w:val="none" w:sz="0" w:space="0" w:color="auto"/>
      </w:divBdr>
    </w:div>
    <w:div w:id="74324804">
      <w:bodyDiv w:val="1"/>
      <w:marLeft w:val="0"/>
      <w:marRight w:val="0"/>
      <w:marTop w:val="0"/>
      <w:marBottom w:val="0"/>
      <w:divBdr>
        <w:top w:val="none" w:sz="0" w:space="0" w:color="auto"/>
        <w:left w:val="none" w:sz="0" w:space="0" w:color="auto"/>
        <w:bottom w:val="none" w:sz="0" w:space="0" w:color="auto"/>
        <w:right w:val="none" w:sz="0" w:space="0" w:color="auto"/>
      </w:divBdr>
    </w:div>
    <w:div w:id="240256079">
      <w:bodyDiv w:val="1"/>
      <w:marLeft w:val="0"/>
      <w:marRight w:val="0"/>
      <w:marTop w:val="0"/>
      <w:marBottom w:val="0"/>
      <w:divBdr>
        <w:top w:val="none" w:sz="0" w:space="0" w:color="auto"/>
        <w:left w:val="none" w:sz="0" w:space="0" w:color="auto"/>
        <w:bottom w:val="none" w:sz="0" w:space="0" w:color="auto"/>
        <w:right w:val="none" w:sz="0" w:space="0" w:color="auto"/>
      </w:divBdr>
    </w:div>
    <w:div w:id="248008608">
      <w:bodyDiv w:val="1"/>
      <w:marLeft w:val="0"/>
      <w:marRight w:val="0"/>
      <w:marTop w:val="0"/>
      <w:marBottom w:val="0"/>
      <w:divBdr>
        <w:top w:val="none" w:sz="0" w:space="0" w:color="auto"/>
        <w:left w:val="none" w:sz="0" w:space="0" w:color="auto"/>
        <w:bottom w:val="none" w:sz="0" w:space="0" w:color="auto"/>
        <w:right w:val="none" w:sz="0" w:space="0" w:color="auto"/>
      </w:divBdr>
    </w:div>
    <w:div w:id="251550484">
      <w:bodyDiv w:val="1"/>
      <w:marLeft w:val="0"/>
      <w:marRight w:val="0"/>
      <w:marTop w:val="0"/>
      <w:marBottom w:val="0"/>
      <w:divBdr>
        <w:top w:val="none" w:sz="0" w:space="0" w:color="auto"/>
        <w:left w:val="none" w:sz="0" w:space="0" w:color="auto"/>
        <w:bottom w:val="none" w:sz="0" w:space="0" w:color="auto"/>
        <w:right w:val="none" w:sz="0" w:space="0" w:color="auto"/>
      </w:divBdr>
    </w:div>
    <w:div w:id="263924984">
      <w:bodyDiv w:val="1"/>
      <w:marLeft w:val="0"/>
      <w:marRight w:val="0"/>
      <w:marTop w:val="0"/>
      <w:marBottom w:val="0"/>
      <w:divBdr>
        <w:top w:val="none" w:sz="0" w:space="0" w:color="auto"/>
        <w:left w:val="none" w:sz="0" w:space="0" w:color="auto"/>
        <w:bottom w:val="none" w:sz="0" w:space="0" w:color="auto"/>
        <w:right w:val="none" w:sz="0" w:space="0" w:color="auto"/>
      </w:divBdr>
    </w:div>
    <w:div w:id="372846868">
      <w:bodyDiv w:val="1"/>
      <w:marLeft w:val="0"/>
      <w:marRight w:val="0"/>
      <w:marTop w:val="0"/>
      <w:marBottom w:val="0"/>
      <w:divBdr>
        <w:top w:val="none" w:sz="0" w:space="0" w:color="auto"/>
        <w:left w:val="none" w:sz="0" w:space="0" w:color="auto"/>
        <w:bottom w:val="none" w:sz="0" w:space="0" w:color="auto"/>
        <w:right w:val="none" w:sz="0" w:space="0" w:color="auto"/>
      </w:divBdr>
    </w:div>
    <w:div w:id="414713825">
      <w:bodyDiv w:val="1"/>
      <w:marLeft w:val="0"/>
      <w:marRight w:val="0"/>
      <w:marTop w:val="0"/>
      <w:marBottom w:val="0"/>
      <w:divBdr>
        <w:top w:val="none" w:sz="0" w:space="0" w:color="auto"/>
        <w:left w:val="none" w:sz="0" w:space="0" w:color="auto"/>
        <w:bottom w:val="none" w:sz="0" w:space="0" w:color="auto"/>
        <w:right w:val="none" w:sz="0" w:space="0" w:color="auto"/>
      </w:divBdr>
    </w:div>
    <w:div w:id="419377097">
      <w:bodyDiv w:val="1"/>
      <w:marLeft w:val="0"/>
      <w:marRight w:val="0"/>
      <w:marTop w:val="0"/>
      <w:marBottom w:val="0"/>
      <w:divBdr>
        <w:top w:val="none" w:sz="0" w:space="0" w:color="auto"/>
        <w:left w:val="none" w:sz="0" w:space="0" w:color="auto"/>
        <w:bottom w:val="none" w:sz="0" w:space="0" w:color="auto"/>
        <w:right w:val="none" w:sz="0" w:space="0" w:color="auto"/>
      </w:divBdr>
    </w:div>
    <w:div w:id="422839085">
      <w:bodyDiv w:val="1"/>
      <w:marLeft w:val="0"/>
      <w:marRight w:val="0"/>
      <w:marTop w:val="0"/>
      <w:marBottom w:val="0"/>
      <w:divBdr>
        <w:top w:val="none" w:sz="0" w:space="0" w:color="auto"/>
        <w:left w:val="none" w:sz="0" w:space="0" w:color="auto"/>
        <w:bottom w:val="none" w:sz="0" w:space="0" w:color="auto"/>
        <w:right w:val="none" w:sz="0" w:space="0" w:color="auto"/>
      </w:divBdr>
    </w:div>
    <w:div w:id="425614567">
      <w:bodyDiv w:val="1"/>
      <w:marLeft w:val="0"/>
      <w:marRight w:val="0"/>
      <w:marTop w:val="0"/>
      <w:marBottom w:val="0"/>
      <w:divBdr>
        <w:top w:val="none" w:sz="0" w:space="0" w:color="auto"/>
        <w:left w:val="none" w:sz="0" w:space="0" w:color="auto"/>
        <w:bottom w:val="none" w:sz="0" w:space="0" w:color="auto"/>
        <w:right w:val="none" w:sz="0" w:space="0" w:color="auto"/>
      </w:divBdr>
    </w:div>
    <w:div w:id="457265896">
      <w:bodyDiv w:val="1"/>
      <w:marLeft w:val="0"/>
      <w:marRight w:val="0"/>
      <w:marTop w:val="0"/>
      <w:marBottom w:val="0"/>
      <w:divBdr>
        <w:top w:val="none" w:sz="0" w:space="0" w:color="auto"/>
        <w:left w:val="none" w:sz="0" w:space="0" w:color="auto"/>
        <w:bottom w:val="none" w:sz="0" w:space="0" w:color="auto"/>
        <w:right w:val="none" w:sz="0" w:space="0" w:color="auto"/>
      </w:divBdr>
    </w:div>
    <w:div w:id="750005642">
      <w:bodyDiv w:val="1"/>
      <w:marLeft w:val="0"/>
      <w:marRight w:val="0"/>
      <w:marTop w:val="0"/>
      <w:marBottom w:val="0"/>
      <w:divBdr>
        <w:top w:val="none" w:sz="0" w:space="0" w:color="auto"/>
        <w:left w:val="none" w:sz="0" w:space="0" w:color="auto"/>
        <w:bottom w:val="none" w:sz="0" w:space="0" w:color="auto"/>
        <w:right w:val="none" w:sz="0" w:space="0" w:color="auto"/>
      </w:divBdr>
    </w:div>
    <w:div w:id="825049051">
      <w:bodyDiv w:val="1"/>
      <w:marLeft w:val="0"/>
      <w:marRight w:val="0"/>
      <w:marTop w:val="0"/>
      <w:marBottom w:val="0"/>
      <w:divBdr>
        <w:top w:val="none" w:sz="0" w:space="0" w:color="auto"/>
        <w:left w:val="none" w:sz="0" w:space="0" w:color="auto"/>
        <w:bottom w:val="none" w:sz="0" w:space="0" w:color="auto"/>
        <w:right w:val="none" w:sz="0" w:space="0" w:color="auto"/>
      </w:divBdr>
    </w:div>
    <w:div w:id="831945513">
      <w:bodyDiv w:val="1"/>
      <w:marLeft w:val="0"/>
      <w:marRight w:val="0"/>
      <w:marTop w:val="0"/>
      <w:marBottom w:val="0"/>
      <w:divBdr>
        <w:top w:val="none" w:sz="0" w:space="0" w:color="auto"/>
        <w:left w:val="none" w:sz="0" w:space="0" w:color="auto"/>
        <w:bottom w:val="none" w:sz="0" w:space="0" w:color="auto"/>
        <w:right w:val="none" w:sz="0" w:space="0" w:color="auto"/>
      </w:divBdr>
    </w:div>
    <w:div w:id="955060427">
      <w:bodyDiv w:val="1"/>
      <w:marLeft w:val="0"/>
      <w:marRight w:val="0"/>
      <w:marTop w:val="0"/>
      <w:marBottom w:val="0"/>
      <w:divBdr>
        <w:top w:val="none" w:sz="0" w:space="0" w:color="auto"/>
        <w:left w:val="none" w:sz="0" w:space="0" w:color="auto"/>
        <w:bottom w:val="none" w:sz="0" w:space="0" w:color="auto"/>
        <w:right w:val="none" w:sz="0" w:space="0" w:color="auto"/>
      </w:divBdr>
    </w:div>
    <w:div w:id="1020281846">
      <w:bodyDiv w:val="1"/>
      <w:marLeft w:val="0"/>
      <w:marRight w:val="0"/>
      <w:marTop w:val="0"/>
      <w:marBottom w:val="0"/>
      <w:divBdr>
        <w:top w:val="none" w:sz="0" w:space="0" w:color="auto"/>
        <w:left w:val="none" w:sz="0" w:space="0" w:color="auto"/>
        <w:bottom w:val="none" w:sz="0" w:space="0" w:color="auto"/>
        <w:right w:val="none" w:sz="0" w:space="0" w:color="auto"/>
      </w:divBdr>
    </w:div>
    <w:div w:id="1137841753">
      <w:bodyDiv w:val="1"/>
      <w:marLeft w:val="0"/>
      <w:marRight w:val="0"/>
      <w:marTop w:val="0"/>
      <w:marBottom w:val="0"/>
      <w:divBdr>
        <w:top w:val="none" w:sz="0" w:space="0" w:color="auto"/>
        <w:left w:val="none" w:sz="0" w:space="0" w:color="auto"/>
        <w:bottom w:val="none" w:sz="0" w:space="0" w:color="auto"/>
        <w:right w:val="none" w:sz="0" w:space="0" w:color="auto"/>
      </w:divBdr>
    </w:div>
    <w:div w:id="1145925425">
      <w:bodyDiv w:val="1"/>
      <w:marLeft w:val="0"/>
      <w:marRight w:val="0"/>
      <w:marTop w:val="0"/>
      <w:marBottom w:val="0"/>
      <w:divBdr>
        <w:top w:val="none" w:sz="0" w:space="0" w:color="auto"/>
        <w:left w:val="none" w:sz="0" w:space="0" w:color="auto"/>
        <w:bottom w:val="none" w:sz="0" w:space="0" w:color="auto"/>
        <w:right w:val="none" w:sz="0" w:space="0" w:color="auto"/>
      </w:divBdr>
    </w:div>
    <w:div w:id="1154029676">
      <w:bodyDiv w:val="1"/>
      <w:marLeft w:val="0"/>
      <w:marRight w:val="0"/>
      <w:marTop w:val="0"/>
      <w:marBottom w:val="0"/>
      <w:divBdr>
        <w:top w:val="none" w:sz="0" w:space="0" w:color="auto"/>
        <w:left w:val="none" w:sz="0" w:space="0" w:color="auto"/>
        <w:bottom w:val="none" w:sz="0" w:space="0" w:color="auto"/>
        <w:right w:val="none" w:sz="0" w:space="0" w:color="auto"/>
      </w:divBdr>
    </w:div>
    <w:div w:id="1194074906">
      <w:bodyDiv w:val="1"/>
      <w:marLeft w:val="0"/>
      <w:marRight w:val="0"/>
      <w:marTop w:val="0"/>
      <w:marBottom w:val="0"/>
      <w:divBdr>
        <w:top w:val="none" w:sz="0" w:space="0" w:color="auto"/>
        <w:left w:val="none" w:sz="0" w:space="0" w:color="auto"/>
        <w:bottom w:val="none" w:sz="0" w:space="0" w:color="auto"/>
        <w:right w:val="none" w:sz="0" w:space="0" w:color="auto"/>
      </w:divBdr>
    </w:div>
    <w:div w:id="1262031817">
      <w:bodyDiv w:val="1"/>
      <w:marLeft w:val="0"/>
      <w:marRight w:val="0"/>
      <w:marTop w:val="0"/>
      <w:marBottom w:val="0"/>
      <w:divBdr>
        <w:top w:val="none" w:sz="0" w:space="0" w:color="auto"/>
        <w:left w:val="none" w:sz="0" w:space="0" w:color="auto"/>
        <w:bottom w:val="none" w:sz="0" w:space="0" w:color="auto"/>
        <w:right w:val="none" w:sz="0" w:space="0" w:color="auto"/>
      </w:divBdr>
    </w:div>
    <w:div w:id="1299650999">
      <w:bodyDiv w:val="1"/>
      <w:marLeft w:val="0"/>
      <w:marRight w:val="0"/>
      <w:marTop w:val="0"/>
      <w:marBottom w:val="0"/>
      <w:divBdr>
        <w:top w:val="none" w:sz="0" w:space="0" w:color="auto"/>
        <w:left w:val="none" w:sz="0" w:space="0" w:color="auto"/>
        <w:bottom w:val="none" w:sz="0" w:space="0" w:color="auto"/>
        <w:right w:val="none" w:sz="0" w:space="0" w:color="auto"/>
      </w:divBdr>
    </w:div>
    <w:div w:id="1332442699">
      <w:bodyDiv w:val="1"/>
      <w:marLeft w:val="0"/>
      <w:marRight w:val="0"/>
      <w:marTop w:val="0"/>
      <w:marBottom w:val="0"/>
      <w:divBdr>
        <w:top w:val="none" w:sz="0" w:space="0" w:color="auto"/>
        <w:left w:val="none" w:sz="0" w:space="0" w:color="auto"/>
        <w:bottom w:val="none" w:sz="0" w:space="0" w:color="auto"/>
        <w:right w:val="none" w:sz="0" w:space="0" w:color="auto"/>
      </w:divBdr>
    </w:div>
    <w:div w:id="1362433673">
      <w:bodyDiv w:val="1"/>
      <w:marLeft w:val="0"/>
      <w:marRight w:val="0"/>
      <w:marTop w:val="0"/>
      <w:marBottom w:val="0"/>
      <w:divBdr>
        <w:top w:val="none" w:sz="0" w:space="0" w:color="auto"/>
        <w:left w:val="none" w:sz="0" w:space="0" w:color="auto"/>
        <w:bottom w:val="none" w:sz="0" w:space="0" w:color="auto"/>
        <w:right w:val="none" w:sz="0" w:space="0" w:color="auto"/>
      </w:divBdr>
    </w:div>
    <w:div w:id="1369573113">
      <w:bodyDiv w:val="1"/>
      <w:marLeft w:val="0"/>
      <w:marRight w:val="0"/>
      <w:marTop w:val="0"/>
      <w:marBottom w:val="0"/>
      <w:divBdr>
        <w:top w:val="none" w:sz="0" w:space="0" w:color="auto"/>
        <w:left w:val="none" w:sz="0" w:space="0" w:color="auto"/>
        <w:bottom w:val="none" w:sz="0" w:space="0" w:color="auto"/>
        <w:right w:val="none" w:sz="0" w:space="0" w:color="auto"/>
      </w:divBdr>
    </w:div>
    <w:div w:id="1514765667">
      <w:bodyDiv w:val="1"/>
      <w:marLeft w:val="0"/>
      <w:marRight w:val="0"/>
      <w:marTop w:val="0"/>
      <w:marBottom w:val="0"/>
      <w:divBdr>
        <w:top w:val="none" w:sz="0" w:space="0" w:color="auto"/>
        <w:left w:val="none" w:sz="0" w:space="0" w:color="auto"/>
        <w:bottom w:val="none" w:sz="0" w:space="0" w:color="auto"/>
        <w:right w:val="none" w:sz="0" w:space="0" w:color="auto"/>
      </w:divBdr>
    </w:div>
    <w:div w:id="1527596982">
      <w:bodyDiv w:val="1"/>
      <w:marLeft w:val="0"/>
      <w:marRight w:val="0"/>
      <w:marTop w:val="0"/>
      <w:marBottom w:val="0"/>
      <w:divBdr>
        <w:top w:val="none" w:sz="0" w:space="0" w:color="auto"/>
        <w:left w:val="none" w:sz="0" w:space="0" w:color="auto"/>
        <w:bottom w:val="none" w:sz="0" w:space="0" w:color="auto"/>
        <w:right w:val="none" w:sz="0" w:space="0" w:color="auto"/>
      </w:divBdr>
    </w:div>
    <w:div w:id="1538201461">
      <w:bodyDiv w:val="1"/>
      <w:marLeft w:val="0"/>
      <w:marRight w:val="0"/>
      <w:marTop w:val="0"/>
      <w:marBottom w:val="0"/>
      <w:divBdr>
        <w:top w:val="none" w:sz="0" w:space="0" w:color="auto"/>
        <w:left w:val="none" w:sz="0" w:space="0" w:color="auto"/>
        <w:bottom w:val="none" w:sz="0" w:space="0" w:color="auto"/>
        <w:right w:val="none" w:sz="0" w:space="0" w:color="auto"/>
      </w:divBdr>
    </w:div>
    <w:div w:id="1587760903">
      <w:bodyDiv w:val="1"/>
      <w:marLeft w:val="0"/>
      <w:marRight w:val="0"/>
      <w:marTop w:val="0"/>
      <w:marBottom w:val="0"/>
      <w:divBdr>
        <w:top w:val="none" w:sz="0" w:space="0" w:color="auto"/>
        <w:left w:val="none" w:sz="0" w:space="0" w:color="auto"/>
        <w:bottom w:val="none" w:sz="0" w:space="0" w:color="auto"/>
        <w:right w:val="none" w:sz="0" w:space="0" w:color="auto"/>
      </w:divBdr>
    </w:div>
    <w:div w:id="1611275865">
      <w:bodyDiv w:val="1"/>
      <w:marLeft w:val="0"/>
      <w:marRight w:val="0"/>
      <w:marTop w:val="0"/>
      <w:marBottom w:val="0"/>
      <w:divBdr>
        <w:top w:val="none" w:sz="0" w:space="0" w:color="auto"/>
        <w:left w:val="none" w:sz="0" w:space="0" w:color="auto"/>
        <w:bottom w:val="none" w:sz="0" w:space="0" w:color="auto"/>
        <w:right w:val="none" w:sz="0" w:space="0" w:color="auto"/>
      </w:divBdr>
    </w:div>
    <w:div w:id="1633056647">
      <w:bodyDiv w:val="1"/>
      <w:marLeft w:val="0"/>
      <w:marRight w:val="0"/>
      <w:marTop w:val="0"/>
      <w:marBottom w:val="0"/>
      <w:divBdr>
        <w:top w:val="none" w:sz="0" w:space="0" w:color="auto"/>
        <w:left w:val="none" w:sz="0" w:space="0" w:color="auto"/>
        <w:bottom w:val="none" w:sz="0" w:space="0" w:color="auto"/>
        <w:right w:val="none" w:sz="0" w:space="0" w:color="auto"/>
      </w:divBdr>
    </w:div>
    <w:div w:id="1774401931">
      <w:bodyDiv w:val="1"/>
      <w:marLeft w:val="0"/>
      <w:marRight w:val="0"/>
      <w:marTop w:val="0"/>
      <w:marBottom w:val="0"/>
      <w:divBdr>
        <w:top w:val="none" w:sz="0" w:space="0" w:color="auto"/>
        <w:left w:val="none" w:sz="0" w:space="0" w:color="auto"/>
        <w:bottom w:val="none" w:sz="0" w:space="0" w:color="auto"/>
        <w:right w:val="none" w:sz="0" w:space="0" w:color="auto"/>
      </w:divBdr>
    </w:div>
    <w:div w:id="1891844003">
      <w:bodyDiv w:val="1"/>
      <w:marLeft w:val="0"/>
      <w:marRight w:val="0"/>
      <w:marTop w:val="0"/>
      <w:marBottom w:val="0"/>
      <w:divBdr>
        <w:top w:val="none" w:sz="0" w:space="0" w:color="auto"/>
        <w:left w:val="none" w:sz="0" w:space="0" w:color="auto"/>
        <w:bottom w:val="none" w:sz="0" w:space="0" w:color="auto"/>
        <w:right w:val="none" w:sz="0" w:space="0" w:color="auto"/>
      </w:divBdr>
    </w:div>
    <w:div w:id="2032297061">
      <w:bodyDiv w:val="1"/>
      <w:marLeft w:val="0"/>
      <w:marRight w:val="0"/>
      <w:marTop w:val="0"/>
      <w:marBottom w:val="0"/>
      <w:divBdr>
        <w:top w:val="none" w:sz="0" w:space="0" w:color="auto"/>
        <w:left w:val="none" w:sz="0" w:space="0" w:color="auto"/>
        <w:bottom w:val="none" w:sz="0" w:space="0" w:color="auto"/>
        <w:right w:val="none" w:sz="0" w:space="0" w:color="auto"/>
      </w:divBdr>
    </w:div>
    <w:div w:id="2069765688">
      <w:bodyDiv w:val="1"/>
      <w:marLeft w:val="0"/>
      <w:marRight w:val="0"/>
      <w:marTop w:val="0"/>
      <w:marBottom w:val="0"/>
      <w:divBdr>
        <w:top w:val="none" w:sz="0" w:space="0" w:color="auto"/>
        <w:left w:val="none" w:sz="0" w:space="0" w:color="auto"/>
        <w:bottom w:val="none" w:sz="0" w:space="0" w:color="auto"/>
        <w:right w:val="none" w:sz="0" w:space="0" w:color="auto"/>
      </w:divBdr>
    </w:div>
    <w:div w:id="208274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5.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1.png"/><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3.emf"/><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footer" Target="footer3.xml"/><Relationship Id="rId30" Type="http://schemas.openxmlformats.org/officeDocument/2006/relationships/header" Target="header4.xml"/><Relationship Id="rId35"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CDF1BD466E83E842902559549E0F08F2" ma:contentTypeVersion="5" ma:contentTypeDescription="Új dokumentum létrehozása." ma:contentTypeScope="" ma:versionID="4b44a68e156a5b79248640aeafc70798">
  <xsd:schema xmlns:xsd="http://www.w3.org/2001/XMLSchema" xmlns:xs="http://www.w3.org/2001/XMLSchema" xmlns:p="http://schemas.microsoft.com/office/2006/metadata/properties" xmlns:ns2="cb7eed14-1ed6-4f4f-9464-e9d73fc2f8e9" xmlns:ns3="9669010e-b829-4d86-87dd-cdce11b02043" targetNamespace="http://schemas.microsoft.com/office/2006/metadata/properties" ma:root="true" ma:fieldsID="bd0071a6f26b893e5271513f12c665f5" ns2:_="" ns3:_="">
    <xsd:import namespace="cb7eed14-1ed6-4f4f-9464-e9d73fc2f8e9"/>
    <xsd:import namespace="9669010e-b829-4d86-87dd-cdce11b02043"/>
    <xsd:element name="properties">
      <xsd:complexType>
        <xsd:sequence>
          <xsd:element name="documentManagement">
            <xsd:complexType>
              <xsd:all>
                <xsd:element ref="ns2:T_x00e9_ma" minOccurs="0"/>
                <xsd:element ref="ns2:_x00c9_v"/>
                <xsd:element ref="ns2:L_x00e1_that_x00f3_s_x00e1_g"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eed14-1ed6-4f4f-9464-e9d73fc2f8e9" elementFormDefault="qualified">
    <xsd:import namespace="http://schemas.microsoft.com/office/2006/documentManagement/types"/>
    <xsd:import namespace="http://schemas.microsoft.com/office/infopath/2007/PartnerControls"/>
    <xsd:element name="T_x00e9_ma" ma:index="2" nillable="true" ma:displayName="Téma" ma:format="Dropdown" ma:internalName="T_x00e9_ma">
      <xsd:simpleType>
        <xsd:restriction base="dms:Choice">
          <xsd:enumeration value="Tervezés"/>
          <xsd:enumeration value="Zárszámadás"/>
          <xsd:enumeration value="Törvénymódosítás"/>
          <xsd:enumeration value="ÁSZ ellenőrzés"/>
          <xsd:enumeration value="Gyorsjelentés"/>
          <xsd:enumeration value="Monitoring"/>
          <xsd:enumeration value="Tervezési tájékoztató"/>
          <xsd:enumeration value="Útmutató"/>
          <xsd:enumeration value="Munkaprogram"/>
          <xsd:enumeration value="Ütemterv"/>
          <xsd:enumeration value="Módosító"/>
          <xsd:enumeration value="Kormányülés"/>
          <xsd:enumeration value="Gazdasági kabinet"/>
          <xsd:enumeration value="Stratégiai kabinet"/>
          <xsd:enumeration value="IFMIS"/>
          <xsd:enumeration value="Fejezeten belüli átcsoportosítás"/>
          <xsd:enumeration value="Címlista"/>
          <xsd:enumeration value="BEÜ"/>
          <xsd:enumeration value="Koronavírus"/>
          <xsd:enumeration value="Tudásbázis"/>
          <xsd:enumeration value="Kiemelt fejlesztési igények"/>
          <xsd:enumeration value="Iktatás"/>
        </xsd:restriction>
      </xsd:simpleType>
    </xsd:element>
    <xsd:element name="_x00c9_v" ma:index="3" ma:displayName="Év" ma:default="2018" ma:format="Dropdown" ma:internalName="_x00c9_v">
      <xsd:simpleType>
        <xsd:restriction base="dms:Choice">
          <xsd:enumeration value="2026"/>
          <xsd:enumeration value="2025"/>
          <xsd:enumeration value="2024"/>
          <xsd:enumeration value="2023"/>
          <xsd:enumeration value="2022"/>
          <xsd:enumeration value="2021"/>
          <xsd:enumeration value="2020"/>
          <xsd:enumeration value="2019"/>
          <xsd:enumeration value="2018"/>
          <xsd:enumeration value="2017"/>
          <xsd:enumeration value="2016"/>
          <xsd:enumeration value="2015"/>
        </xsd:restriction>
      </xsd:simpleType>
    </xsd:element>
    <xsd:element name="L_x00e1_that_x00f3_s_x00e1_g" ma:index="4" nillable="true" ma:displayName="Láthatóság" ma:default="Publikus" ma:format="Dropdown" ma:internalName="L_x00e1_that_x00f3_s_x00e1_g">
      <xsd:simpleType>
        <xsd:restriction base="dms:Choice">
          <xsd:enumeration value="Publikus"/>
          <xsd:enumeration value="Csak admin látja (verziókat tartalmaz)"/>
        </xsd:restriction>
      </xsd:simpleType>
    </xsd:element>
  </xsd:schema>
  <xsd:schema xmlns:xsd="http://www.w3.org/2001/XMLSchema" xmlns:xs="http://www.w3.org/2001/XMLSchema" xmlns:dms="http://schemas.microsoft.com/office/2006/documentManagement/types" xmlns:pc="http://schemas.microsoft.com/office/infopath/2007/PartnerControls" targetNamespace="9669010e-b829-4d86-87dd-cdce11b02043" elementFormDefault="qualified">
    <xsd:import namespace="http://schemas.microsoft.com/office/2006/documentManagement/types"/>
    <xsd:import namespace="http://schemas.microsoft.com/office/infopath/2007/PartnerControls"/>
    <xsd:element name="SharedWithUsers" ma:index="11" nillable="true" ma:displayName="Résztvevők"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Tartalomtípus"/>
        <xsd:element ref="dc:title" minOccurs="0" maxOccurs="1" ma:index="1"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00c9_v xmlns="cb7eed14-1ed6-4f4f-9464-e9d73fc2f8e9">2026</_x00c9_v>
    <T_x00e9_ma xmlns="cb7eed14-1ed6-4f4f-9464-e9d73fc2f8e9">Monitoring</T_x00e9_ma>
    <L_x00e1_that_x00f3_s_x00e1_g xmlns="cb7eed14-1ed6-4f4f-9464-e9d73fc2f8e9">Publikus</L_x00e1_that_x00f3_s_x00e1_g>
  </documentManagement>
</p:properties>
</file>

<file path=customXml/itemProps1.xml><?xml version="1.0" encoding="utf-8"?>
<ds:datastoreItem xmlns:ds="http://schemas.openxmlformats.org/officeDocument/2006/customXml" ds:itemID="{C60FF76C-AAD7-4E18-AD41-33AA7193945E}">
  <ds:schemaRefs>
    <ds:schemaRef ds:uri="http://schemas.openxmlformats.org/officeDocument/2006/bibliography"/>
  </ds:schemaRefs>
</ds:datastoreItem>
</file>

<file path=customXml/itemProps2.xml><?xml version="1.0" encoding="utf-8"?>
<ds:datastoreItem xmlns:ds="http://schemas.openxmlformats.org/officeDocument/2006/customXml" ds:itemID="{BDD0F6AD-19C0-4D6B-ABDF-2564A2CC5C1F}">
  <ds:schemaRefs>
    <ds:schemaRef ds:uri="http://schemas.microsoft.com/sharepoint/v3/contenttype/forms"/>
  </ds:schemaRefs>
</ds:datastoreItem>
</file>

<file path=customXml/itemProps3.xml><?xml version="1.0" encoding="utf-8"?>
<ds:datastoreItem xmlns:ds="http://schemas.openxmlformats.org/officeDocument/2006/customXml" ds:itemID="{1AAFD48C-7926-4BF1-87F7-A322FB813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eed14-1ed6-4f4f-9464-e9d73fc2f8e9"/>
    <ds:schemaRef ds:uri="9669010e-b829-4d86-87dd-cdce11b02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4C958D-48DC-4564-B24D-56E63215790F}">
  <ds:schemaRefs>
    <ds:schemaRef ds:uri="9669010e-b829-4d86-87dd-cdce11b02043"/>
    <ds:schemaRef ds:uri="http://www.w3.org/XML/1998/namespace"/>
    <ds:schemaRef ds:uri="http://schemas.microsoft.com/office/2006/metadata/properties"/>
    <ds:schemaRef ds:uri="http://purl.org/dc/elements/1.1/"/>
    <ds:schemaRef ds:uri="http://schemas.microsoft.com/office/2006/documentManagement/types"/>
    <ds:schemaRef ds:uri="http://purl.org/dc/dcmitype/"/>
    <ds:schemaRef ds:uri="http://schemas.microsoft.com/office/infopath/2007/PartnerControls"/>
    <ds:schemaRef ds:uri="http://purl.org/dc/terms/"/>
    <ds:schemaRef ds:uri="http://schemas.openxmlformats.org/package/2006/metadata/core-properties"/>
    <ds:schemaRef ds:uri="cb7eed14-1ed6-4f4f-9464-e9d73fc2f8e9"/>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21</Pages>
  <Words>4619</Words>
  <Characters>31874</Characters>
  <Application>Microsoft Office Word</Application>
  <DocSecurity>0</DocSecurity>
  <Lines>265</Lines>
  <Paragraphs>72</Paragraphs>
  <ScaleCrop>false</ScaleCrop>
  <HeadingPairs>
    <vt:vector size="2" baseType="variant">
      <vt:variant>
        <vt:lpstr>Cím</vt:lpstr>
      </vt:variant>
      <vt:variant>
        <vt:i4>1</vt:i4>
      </vt:variant>
    </vt:vector>
  </HeadingPairs>
  <TitlesOfParts>
    <vt:vector size="1" baseType="lpstr">
      <vt:lpstr/>
    </vt:vector>
  </TitlesOfParts>
  <Company>NISZ Zrt.</Company>
  <LinksUpToDate>false</LinksUpToDate>
  <CharactersWithSpaces>36421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27</cp:revision>
  <cp:lastPrinted>2026-04-16T12:14:00Z</cp:lastPrinted>
  <dcterms:created xsi:type="dcterms:W3CDTF">2026-04-14T07:39:00Z</dcterms:created>
  <dcterms:modified xsi:type="dcterms:W3CDTF">2026-04-21T07:50:00Z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0x010100CDF1BD466E83E842902559549E0F08F2</vt:lpwstr>
  </property>
</Properties>
</file>