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5BA" w:rsidRPr="008C05BA" w:rsidRDefault="008C05BA" w:rsidP="008C05BA">
      <w:pPr>
        <w:autoSpaceDE w:val="0"/>
        <w:autoSpaceDN w:val="0"/>
        <w:adjustRightInd w:val="0"/>
        <w:spacing w:after="0" w:line="240" w:lineRule="auto"/>
        <w:jc w:val="center"/>
        <w:outlineLvl w:val="6"/>
        <w:rPr>
          <w:rFonts w:ascii="Times New Roman" w:hAnsi="Times New Roman" w:cs="Times New Roman"/>
          <w:b/>
          <w:bCs/>
          <w:color w:val="000000"/>
          <w:sz w:val="24"/>
          <w:szCs w:val="24"/>
        </w:rPr>
      </w:pPr>
      <w:bookmarkStart w:id="0" w:name="_GoBack"/>
      <w:bookmarkEnd w:id="0"/>
    </w:p>
    <w:p w:rsidR="008C05BA" w:rsidRPr="008C05BA" w:rsidRDefault="008C05BA" w:rsidP="008C05BA">
      <w:pPr>
        <w:spacing w:after="0" w:line="240" w:lineRule="auto"/>
        <w:jc w:val="center"/>
        <w:rPr>
          <w:rFonts w:ascii="Times New Roman" w:hAnsi="Times New Roman" w:cs="Times New Roman"/>
          <w:b/>
          <w:sz w:val="24"/>
          <w:szCs w:val="24"/>
        </w:rPr>
      </w:pPr>
      <w:r w:rsidRPr="008C05BA">
        <w:rPr>
          <w:rFonts w:ascii="Times New Roman" w:hAnsi="Times New Roman" w:cs="Times New Roman"/>
          <w:b/>
          <w:sz w:val="24"/>
          <w:szCs w:val="24"/>
        </w:rPr>
        <w:t>A Kormány</w:t>
      </w:r>
    </w:p>
    <w:p w:rsidR="008C05BA" w:rsidRPr="008C05BA" w:rsidRDefault="008C05BA" w:rsidP="008C05BA">
      <w:pPr>
        <w:spacing w:after="0" w:line="240" w:lineRule="auto"/>
        <w:jc w:val="center"/>
        <w:rPr>
          <w:rFonts w:ascii="Times New Roman" w:hAnsi="Times New Roman" w:cs="Times New Roman"/>
          <w:b/>
          <w:sz w:val="24"/>
          <w:szCs w:val="24"/>
        </w:rPr>
      </w:pPr>
    </w:p>
    <w:p w:rsidR="008C05BA" w:rsidRPr="008C05BA" w:rsidRDefault="008C05BA" w:rsidP="008C05BA">
      <w:pPr>
        <w:spacing w:after="0" w:line="240" w:lineRule="auto"/>
        <w:jc w:val="center"/>
        <w:rPr>
          <w:rFonts w:ascii="Times New Roman" w:hAnsi="Times New Roman" w:cs="Times New Roman"/>
          <w:b/>
          <w:sz w:val="24"/>
          <w:szCs w:val="24"/>
        </w:rPr>
      </w:pPr>
      <w:r w:rsidRPr="008C05BA">
        <w:rPr>
          <w:rFonts w:ascii="Times New Roman" w:hAnsi="Times New Roman" w:cs="Times New Roman"/>
          <w:b/>
          <w:sz w:val="24"/>
          <w:szCs w:val="24"/>
        </w:rPr>
        <w:t>…/2020. (… …) Korm. határozata</w:t>
      </w:r>
    </w:p>
    <w:p w:rsidR="008C05BA" w:rsidRPr="008C05BA" w:rsidRDefault="008C05BA" w:rsidP="008C05BA">
      <w:pPr>
        <w:spacing w:after="0" w:line="240" w:lineRule="auto"/>
        <w:rPr>
          <w:rFonts w:ascii="Times New Roman" w:hAnsi="Times New Roman" w:cs="Times New Roman"/>
          <w:b/>
          <w:sz w:val="24"/>
          <w:szCs w:val="24"/>
        </w:rPr>
      </w:pPr>
    </w:p>
    <w:p w:rsidR="008C05BA" w:rsidRPr="008C05BA" w:rsidRDefault="008C05BA" w:rsidP="008C05BA">
      <w:pPr>
        <w:spacing w:after="0" w:line="240" w:lineRule="auto"/>
        <w:jc w:val="center"/>
        <w:rPr>
          <w:rFonts w:ascii="Times New Roman" w:hAnsi="Times New Roman" w:cs="Times New Roman"/>
          <w:b/>
          <w:sz w:val="24"/>
          <w:szCs w:val="24"/>
        </w:rPr>
      </w:pPr>
      <w:r w:rsidRPr="008C05BA">
        <w:rPr>
          <w:rFonts w:ascii="Times New Roman" w:hAnsi="Times New Roman" w:cs="Times New Roman"/>
          <w:b/>
          <w:sz w:val="24"/>
          <w:szCs w:val="24"/>
        </w:rPr>
        <w:t>az Európa Tanács labdarúgó-mérkőzések és egyéb sportrendezvények biztonságához, biztosításához és az ott nyújtott szolgáltatásokhoz kapcsolódó integrált megközelítésről szóló Egyezménye szövegének végleges megállapítására adott felhatalmazásról</w:t>
      </w:r>
    </w:p>
    <w:p w:rsidR="008C05BA" w:rsidRPr="008C05BA" w:rsidRDefault="008C05BA" w:rsidP="008C05BA">
      <w:pPr>
        <w:spacing w:after="0" w:line="240" w:lineRule="auto"/>
        <w:jc w:val="center"/>
        <w:rPr>
          <w:rFonts w:ascii="Times New Roman" w:hAnsi="Times New Roman" w:cs="Times New Roman"/>
          <w:sz w:val="24"/>
          <w:szCs w:val="24"/>
        </w:rPr>
      </w:pPr>
    </w:p>
    <w:p w:rsidR="008C05BA" w:rsidRPr="008C05BA" w:rsidRDefault="008C05BA" w:rsidP="008C05BA">
      <w:pPr>
        <w:spacing w:after="0" w:line="240" w:lineRule="auto"/>
        <w:rPr>
          <w:rFonts w:ascii="Times New Roman" w:hAnsi="Times New Roman" w:cs="Times New Roman"/>
          <w:sz w:val="24"/>
          <w:szCs w:val="24"/>
        </w:rPr>
      </w:pPr>
      <w:r w:rsidRPr="008C05BA">
        <w:rPr>
          <w:rFonts w:ascii="Times New Roman" w:hAnsi="Times New Roman" w:cs="Times New Roman"/>
          <w:sz w:val="24"/>
          <w:szCs w:val="24"/>
        </w:rPr>
        <w:t>A Kormány</w:t>
      </w:r>
    </w:p>
    <w:p w:rsidR="008C05BA" w:rsidRPr="008C05BA" w:rsidRDefault="008C05BA" w:rsidP="008C05BA">
      <w:pPr>
        <w:spacing w:after="0" w:line="240" w:lineRule="auto"/>
        <w:rPr>
          <w:rFonts w:ascii="Times New Roman" w:hAnsi="Times New Roman" w:cs="Times New Roman"/>
          <w:sz w:val="24"/>
          <w:szCs w:val="24"/>
        </w:rPr>
      </w:pPr>
    </w:p>
    <w:p w:rsidR="008C05BA" w:rsidRPr="008C05BA" w:rsidRDefault="008C05BA" w:rsidP="008C05BA">
      <w:pPr>
        <w:tabs>
          <w:tab w:val="num" w:pos="1770"/>
        </w:tabs>
        <w:spacing w:after="0" w:line="240" w:lineRule="auto"/>
        <w:ind w:left="708" w:hanging="348"/>
        <w:jc w:val="both"/>
        <w:rPr>
          <w:rFonts w:ascii="Times New Roman" w:hAnsi="Times New Roman" w:cs="Times New Roman"/>
          <w:sz w:val="24"/>
          <w:szCs w:val="24"/>
        </w:rPr>
      </w:pPr>
      <w:r w:rsidRPr="008C05BA">
        <w:rPr>
          <w:rFonts w:ascii="Times New Roman" w:hAnsi="Times New Roman" w:cs="Times New Roman"/>
          <w:sz w:val="24"/>
          <w:szCs w:val="24"/>
        </w:rPr>
        <w:t>1.</w:t>
      </w:r>
      <w:r w:rsidRPr="008C05BA">
        <w:rPr>
          <w:rFonts w:ascii="Times New Roman" w:hAnsi="Times New Roman" w:cs="Times New Roman"/>
          <w:sz w:val="24"/>
          <w:szCs w:val="24"/>
        </w:rPr>
        <w:tab/>
        <w:t>egyetért az Európa Tanács labdarúgó-mérkőzések és egyéb sportrendezvények biztonságához, biztosításához és az ott nyújtott szolgáltatásokhoz kapcsolódó integrált megközelítésről szóló Egyezménye (a továbbiakban: Egyezmény)</w:t>
      </w:r>
      <w:r w:rsidRPr="008C05BA">
        <w:rPr>
          <w:rFonts w:ascii="Times New Roman" w:hAnsi="Times New Roman" w:cs="Times New Roman"/>
          <w:bCs/>
          <w:sz w:val="24"/>
          <w:szCs w:val="24"/>
        </w:rPr>
        <w:t xml:space="preserve"> </w:t>
      </w:r>
      <w:r w:rsidRPr="008C05BA">
        <w:rPr>
          <w:rFonts w:ascii="Times New Roman" w:hAnsi="Times New Roman" w:cs="Times New Roman"/>
          <w:sz w:val="24"/>
          <w:szCs w:val="24"/>
        </w:rPr>
        <w:t>bemutatott szövegével;</w:t>
      </w:r>
    </w:p>
    <w:p w:rsidR="008C05BA" w:rsidRPr="008C05BA" w:rsidRDefault="008C05BA" w:rsidP="008C05BA">
      <w:pPr>
        <w:tabs>
          <w:tab w:val="num" w:pos="1770"/>
        </w:tabs>
        <w:spacing w:after="0" w:line="240" w:lineRule="auto"/>
        <w:ind w:left="708" w:hanging="348"/>
        <w:jc w:val="both"/>
        <w:rPr>
          <w:rFonts w:ascii="Times New Roman" w:hAnsi="Times New Roman" w:cs="Times New Roman"/>
          <w:sz w:val="24"/>
          <w:szCs w:val="24"/>
        </w:rPr>
      </w:pPr>
    </w:p>
    <w:p w:rsidR="008C05BA" w:rsidRPr="008C05BA" w:rsidRDefault="008C05BA" w:rsidP="008C05BA">
      <w:pPr>
        <w:tabs>
          <w:tab w:val="num" w:pos="1770"/>
        </w:tabs>
        <w:spacing w:after="0" w:line="240" w:lineRule="auto"/>
        <w:ind w:left="708" w:hanging="348"/>
        <w:jc w:val="both"/>
        <w:rPr>
          <w:rFonts w:ascii="Times New Roman" w:hAnsi="Times New Roman" w:cs="Times New Roman"/>
          <w:sz w:val="24"/>
          <w:szCs w:val="24"/>
        </w:rPr>
      </w:pPr>
      <w:r w:rsidRPr="008C05BA">
        <w:rPr>
          <w:rFonts w:ascii="Times New Roman" w:hAnsi="Times New Roman" w:cs="Times New Roman"/>
          <w:sz w:val="24"/>
          <w:szCs w:val="24"/>
        </w:rPr>
        <w:t>2.</w:t>
      </w:r>
      <w:r w:rsidRPr="008C05BA">
        <w:rPr>
          <w:rFonts w:ascii="Times New Roman" w:hAnsi="Times New Roman" w:cs="Times New Roman"/>
          <w:sz w:val="24"/>
          <w:szCs w:val="24"/>
        </w:rPr>
        <w:tab/>
        <w:t>felhatalmazza az emberi erőforrások miniszterét vagy az általa kijelölt személyt az</w:t>
      </w:r>
      <w:r w:rsidRPr="008C05BA">
        <w:rPr>
          <w:rFonts w:ascii="Times New Roman" w:hAnsi="Times New Roman" w:cs="Times New Roman"/>
          <w:b/>
          <w:sz w:val="24"/>
          <w:szCs w:val="24"/>
        </w:rPr>
        <w:t xml:space="preserve"> </w:t>
      </w:r>
      <w:r w:rsidRPr="008C05BA">
        <w:rPr>
          <w:rFonts w:ascii="Times New Roman" w:hAnsi="Times New Roman" w:cs="Times New Roman"/>
          <w:sz w:val="24"/>
          <w:szCs w:val="24"/>
        </w:rPr>
        <w:t xml:space="preserve">Egyezmény bemutatott </w:t>
      </w:r>
      <w:r w:rsidRPr="008C05BA">
        <w:rPr>
          <w:rFonts w:ascii="Times New Roman" w:hAnsi="Times New Roman" w:cs="Times New Roman"/>
          <w:bCs/>
          <w:sz w:val="24"/>
          <w:szCs w:val="24"/>
        </w:rPr>
        <w:t>szövegének – a megerősítés fenntartásával történő – végleges megállapítására</w:t>
      </w:r>
      <w:r w:rsidRPr="008C05BA">
        <w:rPr>
          <w:rFonts w:ascii="Times New Roman" w:hAnsi="Times New Roman" w:cs="Times New Roman"/>
          <w:sz w:val="24"/>
          <w:szCs w:val="24"/>
        </w:rPr>
        <w:t>;</w:t>
      </w:r>
    </w:p>
    <w:p w:rsidR="008C05BA" w:rsidRPr="008C05BA" w:rsidRDefault="008C05BA" w:rsidP="008C05BA">
      <w:pPr>
        <w:tabs>
          <w:tab w:val="num" w:pos="720"/>
        </w:tabs>
        <w:spacing w:after="0" w:line="240" w:lineRule="auto"/>
        <w:jc w:val="both"/>
        <w:rPr>
          <w:rFonts w:ascii="Times New Roman" w:hAnsi="Times New Roman" w:cs="Times New Roman"/>
          <w:sz w:val="24"/>
          <w:szCs w:val="24"/>
        </w:rPr>
      </w:pPr>
    </w:p>
    <w:p w:rsidR="008C05BA" w:rsidRPr="008C05BA" w:rsidRDefault="008C05BA" w:rsidP="008C05BA">
      <w:pPr>
        <w:tabs>
          <w:tab w:val="num" w:pos="1770"/>
        </w:tabs>
        <w:spacing w:after="0" w:line="240" w:lineRule="auto"/>
        <w:ind w:left="708" w:hanging="348"/>
        <w:jc w:val="both"/>
        <w:rPr>
          <w:rFonts w:ascii="Times New Roman" w:hAnsi="Times New Roman" w:cs="Times New Roman"/>
          <w:sz w:val="24"/>
          <w:szCs w:val="24"/>
        </w:rPr>
      </w:pPr>
      <w:r w:rsidRPr="008C05BA">
        <w:rPr>
          <w:rFonts w:ascii="Times New Roman" w:hAnsi="Times New Roman" w:cs="Times New Roman"/>
          <w:sz w:val="24"/>
          <w:szCs w:val="24"/>
        </w:rPr>
        <w:t>3.</w:t>
      </w:r>
      <w:r w:rsidRPr="008C05BA">
        <w:rPr>
          <w:rFonts w:ascii="Times New Roman" w:hAnsi="Times New Roman" w:cs="Times New Roman"/>
          <w:sz w:val="24"/>
          <w:szCs w:val="24"/>
        </w:rPr>
        <w:tab/>
        <w:t>felhívja a külgazdasági és külügyminisztert, hogy az Egyezmény szövegének végleges megállapításához szükséges meghatalmazási okiratot adja ki;</w:t>
      </w:r>
    </w:p>
    <w:p w:rsidR="008C05BA" w:rsidRPr="008C05BA" w:rsidRDefault="008C05BA" w:rsidP="008C05BA">
      <w:pPr>
        <w:tabs>
          <w:tab w:val="num" w:pos="720"/>
        </w:tabs>
        <w:spacing w:after="0" w:line="240" w:lineRule="auto"/>
        <w:jc w:val="both"/>
        <w:rPr>
          <w:rFonts w:ascii="Times New Roman" w:hAnsi="Times New Roman" w:cs="Times New Roman"/>
          <w:sz w:val="24"/>
          <w:szCs w:val="24"/>
        </w:rPr>
      </w:pPr>
    </w:p>
    <w:p w:rsidR="008C05BA" w:rsidRPr="008C05BA" w:rsidRDefault="008C05BA" w:rsidP="008C05BA">
      <w:pPr>
        <w:tabs>
          <w:tab w:val="num" w:pos="1770"/>
        </w:tabs>
        <w:spacing w:after="0" w:line="240" w:lineRule="auto"/>
        <w:ind w:left="708" w:hanging="348"/>
        <w:jc w:val="both"/>
        <w:rPr>
          <w:rFonts w:ascii="Times New Roman" w:hAnsi="Times New Roman" w:cs="Times New Roman"/>
          <w:sz w:val="24"/>
          <w:szCs w:val="24"/>
        </w:rPr>
      </w:pPr>
      <w:r w:rsidRPr="008C05BA">
        <w:rPr>
          <w:rFonts w:ascii="Times New Roman" w:hAnsi="Times New Roman" w:cs="Times New Roman"/>
          <w:sz w:val="24"/>
          <w:szCs w:val="24"/>
        </w:rPr>
        <w:t>4.</w:t>
      </w:r>
      <w:r w:rsidRPr="008C05BA">
        <w:rPr>
          <w:rFonts w:ascii="Times New Roman" w:hAnsi="Times New Roman" w:cs="Times New Roman"/>
          <w:sz w:val="24"/>
          <w:szCs w:val="24"/>
        </w:rPr>
        <w:tab/>
        <w:t>elfogadja az Egyezmény kihirdetéséről szóló törvénytervezetet, és elrendeli az Egyezmény szövegének végleges megállapítását követően annak az Országgyűléshez történő benyújtását. A Kormány a törvényjavaslat előadójának az emberi erőforrások miniszterét jelöli ki.</w:t>
      </w:r>
    </w:p>
    <w:p w:rsidR="008C05BA" w:rsidRPr="008C05BA" w:rsidRDefault="008C05BA" w:rsidP="008C05BA">
      <w:pPr>
        <w:spacing w:after="0" w:line="240" w:lineRule="auto"/>
        <w:jc w:val="both"/>
        <w:rPr>
          <w:rFonts w:ascii="Times New Roman" w:hAnsi="Times New Roman" w:cs="Times New Roman"/>
          <w:sz w:val="24"/>
          <w:szCs w:val="24"/>
        </w:rPr>
      </w:pPr>
    </w:p>
    <w:p w:rsidR="008C05BA" w:rsidRPr="008C05BA" w:rsidRDefault="008C05BA" w:rsidP="008C05BA">
      <w:pPr>
        <w:spacing w:after="0" w:line="240" w:lineRule="auto"/>
        <w:ind w:left="600" w:hanging="600"/>
        <w:jc w:val="both"/>
        <w:rPr>
          <w:rFonts w:ascii="Times New Roman" w:hAnsi="Times New Roman" w:cs="Times New Roman"/>
          <w:sz w:val="24"/>
          <w:szCs w:val="24"/>
        </w:rPr>
      </w:pPr>
    </w:p>
    <w:p w:rsidR="008C05BA" w:rsidRPr="008C05BA" w:rsidRDefault="008C05BA" w:rsidP="008C05BA">
      <w:pPr>
        <w:spacing w:after="0" w:line="240" w:lineRule="auto"/>
        <w:ind w:left="600" w:hanging="600"/>
        <w:jc w:val="both"/>
        <w:rPr>
          <w:rFonts w:ascii="Times New Roman" w:hAnsi="Times New Roman" w:cs="Times New Roman"/>
          <w:sz w:val="24"/>
          <w:szCs w:val="24"/>
        </w:rPr>
      </w:pPr>
    </w:p>
    <w:p w:rsidR="008C05BA" w:rsidRPr="008C05BA" w:rsidRDefault="008C05BA" w:rsidP="008C05BA">
      <w:pPr>
        <w:autoSpaceDE w:val="0"/>
        <w:autoSpaceDN w:val="0"/>
        <w:adjustRightInd w:val="0"/>
        <w:spacing w:after="0" w:line="240" w:lineRule="auto"/>
        <w:ind w:left="5670" w:right="1984"/>
        <w:jc w:val="center"/>
        <w:rPr>
          <w:rFonts w:ascii="Times New Roman" w:hAnsi="Times New Roman" w:cs="Times New Roman"/>
          <w:sz w:val="24"/>
          <w:szCs w:val="24"/>
        </w:rPr>
      </w:pPr>
      <w:r w:rsidRPr="008C05BA">
        <w:rPr>
          <w:rFonts w:ascii="Times New Roman" w:hAnsi="Times New Roman" w:cs="Times New Roman"/>
          <w:sz w:val="24"/>
          <w:szCs w:val="24"/>
        </w:rPr>
        <w:t>Orbán Viktor</w:t>
      </w:r>
    </w:p>
    <w:p w:rsidR="008C05BA" w:rsidRPr="008C05BA" w:rsidRDefault="008C05BA" w:rsidP="008C05BA">
      <w:pPr>
        <w:tabs>
          <w:tab w:val="left" w:pos="5670"/>
        </w:tabs>
        <w:autoSpaceDE w:val="0"/>
        <w:autoSpaceDN w:val="0"/>
        <w:adjustRightInd w:val="0"/>
        <w:spacing w:after="0" w:line="240" w:lineRule="auto"/>
        <w:jc w:val="both"/>
        <w:rPr>
          <w:rFonts w:ascii="Times New Roman" w:hAnsi="Times New Roman" w:cs="Times New Roman"/>
          <w:sz w:val="24"/>
          <w:szCs w:val="24"/>
        </w:rPr>
      </w:pPr>
      <w:r w:rsidRPr="008C05BA">
        <w:rPr>
          <w:rFonts w:ascii="Times New Roman" w:hAnsi="Times New Roman" w:cs="Times New Roman"/>
          <w:sz w:val="24"/>
          <w:szCs w:val="24"/>
        </w:rPr>
        <w:tab/>
        <w:t>miniszterelnök</w:t>
      </w:r>
    </w:p>
    <w:p w:rsidR="008C05BA" w:rsidRPr="008C05BA" w:rsidRDefault="008C05BA" w:rsidP="008C05BA">
      <w:pPr>
        <w:spacing w:after="0" w:line="240" w:lineRule="auto"/>
        <w:jc w:val="both"/>
        <w:rPr>
          <w:rFonts w:ascii="Times New Roman" w:hAnsi="Times New Roman" w:cs="Times New Roman"/>
          <w:sz w:val="24"/>
          <w:szCs w:val="24"/>
        </w:rPr>
      </w:pPr>
    </w:p>
    <w:p w:rsidR="008C05BA" w:rsidRPr="008C05BA" w:rsidRDefault="008C05BA" w:rsidP="008C05BA">
      <w:pPr>
        <w:autoSpaceDE w:val="0"/>
        <w:autoSpaceDN w:val="0"/>
        <w:adjustRightInd w:val="0"/>
        <w:spacing w:after="0" w:line="240" w:lineRule="auto"/>
        <w:jc w:val="center"/>
        <w:outlineLvl w:val="6"/>
        <w:rPr>
          <w:rFonts w:ascii="Times New Roman" w:hAnsi="Times New Roman" w:cs="Times New Roman"/>
          <w:b/>
          <w:bCs/>
          <w:color w:val="000000"/>
          <w:sz w:val="24"/>
          <w:szCs w:val="24"/>
        </w:rPr>
      </w:pPr>
    </w:p>
    <w:p w:rsidR="008C05BA" w:rsidRPr="008C05BA" w:rsidRDefault="008C05BA" w:rsidP="008C05BA">
      <w:pPr>
        <w:rPr>
          <w:rFonts w:ascii="Times New Roman" w:hAnsi="Times New Roman" w:cs="Times New Roman"/>
          <w:sz w:val="24"/>
        </w:rPr>
      </w:pPr>
      <w:r w:rsidRPr="008C05BA">
        <w:rPr>
          <w:rFonts w:ascii="Times New Roman" w:hAnsi="Times New Roman" w:cs="Times New Roman"/>
          <w:sz w:val="24"/>
        </w:rPr>
        <w:br w:type="page"/>
      </w:r>
    </w:p>
    <w:p w:rsidR="008C05BA" w:rsidRPr="008C05BA" w:rsidRDefault="008C05BA" w:rsidP="008C05BA">
      <w:pPr>
        <w:spacing w:after="0" w:line="240" w:lineRule="auto"/>
        <w:jc w:val="center"/>
        <w:rPr>
          <w:rFonts w:ascii="Times New Roman" w:hAnsi="Times New Roman" w:cs="Times New Roman"/>
          <w:b/>
          <w:bCs/>
          <w:sz w:val="24"/>
          <w:szCs w:val="24"/>
        </w:rPr>
      </w:pPr>
    </w:p>
    <w:p w:rsidR="008C05BA" w:rsidRPr="008C05BA" w:rsidRDefault="008C05BA" w:rsidP="008C05BA">
      <w:pPr>
        <w:spacing w:after="0" w:line="240" w:lineRule="auto"/>
        <w:jc w:val="center"/>
        <w:rPr>
          <w:rFonts w:ascii="Times New Roman" w:hAnsi="Times New Roman" w:cs="Times New Roman"/>
          <w:b/>
          <w:bCs/>
          <w:sz w:val="24"/>
          <w:szCs w:val="24"/>
        </w:rPr>
      </w:pPr>
      <w:r w:rsidRPr="008C05BA">
        <w:rPr>
          <w:rFonts w:ascii="Times New Roman" w:hAnsi="Times New Roman" w:cs="Times New Roman"/>
          <w:b/>
          <w:bCs/>
          <w:sz w:val="24"/>
          <w:szCs w:val="24"/>
        </w:rPr>
        <w:t>2020. évi … . törvény</w:t>
      </w:r>
    </w:p>
    <w:p w:rsidR="008C05BA" w:rsidRPr="008C05BA" w:rsidRDefault="008C05BA" w:rsidP="008C05BA">
      <w:pPr>
        <w:spacing w:after="0" w:line="240" w:lineRule="auto"/>
        <w:jc w:val="center"/>
        <w:rPr>
          <w:rFonts w:ascii="Times New Roman" w:hAnsi="Times New Roman" w:cs="Times New Roman"/>
          <w:b/>
          <w:bCs/>
          <w:sz w:val="24"/>
          <w:szCs w:val="24"/>
        </w:rPr>
      </w:pPr>
    </w:p>
    <w:p w:rsidR="008C05BA" w:rsidRPr="008C05BA" w:rsidRDefault="008C05BA" w:rsidP="008C05BA">
      <w:pPr>
        <w:spacing w:after="0" w:line="240" w:lineRule="auto"/>
        <w:jc w:val="center"/>
        <w:rPr>
          <w:rFonts w:ascii="Times New Roman" w:hAnsi="Times New Roman" w:cs="Times New Roman"/>
          <w:b/>
          <w:bCs/>
          <w:sz w:val="24"/>
          <w:szCs w:val="24"/>
        </w:rPr>
      </w:pPr>
    </w:p>
    <w:p w:rsidR="008C05BA" w:rsidRPr="008C05BA" w:rsidRDefault="008C05BA" w:rsidP="008C05BA">
      <w:pPr>
        <w:spacing w:after="0" w:line="240" w:lineRule="auto"/>
        <w:jc w:val="center"/>
        <w:rPr>
          <w:rFonts w:ascii="Times New Roman" w:hAnsi="Times New Roman" w:cs="Times New Roman"/>
          <w:b/>
          <w:bCs/>
          <w:sz w:val="24"/>
          <w:szCs w:val="24"/>
        </w:rPr>
      </w:pPr>
      <w:r w:rsidRPr="008C05BA">
        <w:rPr>
          <w:rFonts w:ascii="Times New Roman" w:hAnsi="Times New Roman" w:cs="Times New Roman"/>
          <w:b/>
          <w:sz w:val="24"/>
          <w:szCs w:val="24"/>
        </w:rPr>
        <w:t xml:space="preserve">az Európa Tanács labdarúgó-mérkőzések és egyéb sportrendezvények biztonságához, biztosításához és az ott nyújtott szolgáltatásokhoz kapcsolódó integrált megközelítésről szóló Egyezménye kihirdetéséről, valamint az Európa Tanács sporteseményeken, különösen a labdarúgó mérkőzéseken megnyilvánuló nézői erőszakról és nem megfelelő viselkedésről szóló Egyezménye </w:t>
      </w:r>
      <w:r w:rsidRPr="008C05BA">
        <w:rPr>
          <w:rFonts w:ascii="Times New Roman" w:eastAsia="Times New Roman" w:hAnsi="Times New Roman" w:cs="Times New Roman"/>
          <w:b/>
          <w:sz w:val="24"/>
          <w:szCs w:val="24"/>
          <w:lang w:eastAsia="hu-HU"/>
        </w:rPr>
        <w:t>Magyarország vonatkozásában történő megszüntetéséről</w:t>
      </w:r>
    </w:p>
    <w:p w:rsidR="008C05BA" w:rsidRPr="008C05BA" w:rsidRDefault="008C05BA" w:rsidP="008C05BA">
      <w:pPr>
        <w:spacing w:after="0" w:line="240" w:lineRule="auto"/>
        <w:rPr>
          <w:rFonts w:ascii="Times New Roman" w:hAnsi="Times New Roman" w:cs="Times New Roman"/>
          <w:sz w:val="24"/>
          <w:szCs w:val="24"/>
        </w:rPr>
      </w:pPr>
    </w:p>
    <w:p w:rsidR="008C05BA" w:rsidRPr="008C05BA" w:rsidRDefault="008C05BA" w:rsidP="008C05BA">
      <w:pPr>
        <w:keepNext/>
        <w:spacing w:after="0" w:line="240" w:lineRule="auto"/>
        <w:jc w:val="center"/>
        <w:rPr>
          <w:rFonts w:ascii="Times New Roman" w:hAnsi="Times New Roman" w:cs="Times New Roman"/>
          <w:b/>
          <w:sz w:val="24"/>
          <w:szCs w:val="24"/>
        </w:rPr>
      </w:pPr>
      <w:r w:rsidRPr="008C05BA">
        <w:rPr>
          <w:rFonts w:ascii="Times New Roman" w:hAnsi="Times New Roman" w:cs="Times New Roman"/>
          <w:b/>
          <w:sz w:val="24"/>
          <w:szCs w:val="24"/>
        </w:rPr>
        <w:t>1. §</w:t>
      </w:r>
    </w:p>
    <w:p w:rsidR="008C05BA" w:rsidRPr="008C05BA" w:rsidRDefault="008C05BA" w:rsidP="008C05BA">
      <w:pPr>
        <w:spacing w:after="0" w:line="240" w:lineRule="auto"/>
        <w:jc w:val="both"/>
        <w:rPr>
          <w:rFonts w:ascii="Times New Roman" w:hAnsi="Times New Roman" w:cs="Times New Roman"/>
          <w:sz w:val="24"/>
          <w:szCs w:val="24"/>
        </w:rPr>
      </w:pPr>
    </w:p>
    <w:p w:rsidR="008C05BA" w:rsidRPr="008C05BA" w:rsidRDefault="008C05BA" w:rsidP="008C05BA">
      <w:pPr>
        <w:spacing w:after="0" w:line="240" w:lineRule="auto"/>
        <w:jc w:val="both"/>
        <w:rPr>
          <w:rFonts w:ascii="Times New Roman" w:hAnsi="Times New Roman" w:cs="Times New Roman"/>
          <w:sz w:val="24"/>
          <w:szCs w:val="24"/>
        </w:rPr>
      </w:pPr>
      <w:r w:rsidRPr="008C05BA">
        <w:rPr>
          <w:rFonts w:ascii="Times New Roman" w:hAnsi="Times New Roman" w:cs="Times New Roman"/>
          <w:sz w:val="24"/>
          <w:szCs w:val="24"/>
        </w:rPr>
        <w:t>Az Országgyűlés e törvénnyel felhatalmazást ad az Európa Tanács labdarúgó-mérkőzések és egyéb sportrendezvények biztonságához, biztosításához és az ott nyújtott szolgáltatásokhoz kapcsolódó integrált megközelítésről szóló Egyezménye (a továbbiakban: Egyezmény) kötelező hatályának elismerésére.</w:t>
      </w:r>
    </w:p>
    <w:p w:rsidR="008C05BA" w:rsidRPr="008C05BA" w:rsidRDefault="008C05BA" w:rsidP="008C05BA">
      <w:pPr>
        <w:spacing w:after="0" w:line="240" w:lineRule="auto"/>
        <w:ind w:firstLine="720"/>
        <w:jc w:val="both"/>
        <w:rPr>
          <w:rFonts w:ascii="Times New Roman" w:hAnsi="Times New Roman" w:cs="Times New Roman"/>
          <w:sz w:val="24"/>
          <w:szCs w:val="24"/>
        </w:rPr>
      </w:pPr>
    </w:p>
    <w:p w:rsidR="008C05BA" w:rsidRPr="008C05BA" w:rsidRDefault="008C05BA" w:rsidP="008C05BA">
      <w:pPr>
        <w:keepNext/>
        <w:spacing w:after="0" w:line="240" w:lineRule="auto"/>
        <w:jc w:val="center"/>
        <w:rPr>
          <w:rFonts w:ascii="Times New Roman" w:hAnsi="Times New Roman" w:cs="Times New Roman"/>
          <w:b/>
          <w:bCs/>
          <w:sz w:val="24"/>
          <w:szCs w:val="24"/>
        </w:rPr>
      </w:pPr>
      <w:r w:rsidRPr="008C05BA">
        <w:rPr>
          <w:rFonts w:ascii="Times New Roman" w:hAnsi="Times New Roman" w:cs="Times New Roman"/>
          <w:b/>
          <w:bCs/>
          <w:sz w:val="24"/>
          <w:szCs w:val="24"/>
        </w:rPr>
        <w:t>2. §</w:t>
      </w:r>
    </w:p>
    <w:p w:rsidR="008C05BA" w:rsidRPr="008C05BA" w:rsidRDefault="008C05BA" w:rsidP="008C05BA">
      <w:pPr>
        <w:keepNext/>
        <w:spacing w:after="0" w:line="240" w:lineRule="auto"/>
        <w:jc w:val="center"/>
        <w:rPr>
          <w:rFonts w:ascii="Times New Roman" w:hAnsi="Times New Roman" w:cs="Times New Roman"/>
          <w:sz w:val="24"/>
          <w:szCs w:val="24"/>
        </w:rPr>
      </w:pPr>
    </w:p>
    <w:p w:rsidR="008C05BA" w:rsidRPr="008C05BA" w:rsidRDefault="008C05BA" w:rsidP="008C05BA">
      <w:pPr>
        <w:keepNext/>
        <w:spacing w:after="0" w:line="240" w:lineRule="auto"/>
        <w:rPr>
          <w:rFonts w:ascii="Times New Roman" w:hAnsi="Times New Roman" w:cs="Times New Roman"/>
          <w:sz w:val="24"/>
          <w:szCs w:val="24"/>
        </w:rPr>
      </w:pPr>
      <w:r w:rsidRPr="008C05BA">
        <w:rPr>
          <w:rFonts w:ascii="Times New Roman" w:hAnsi="Times New Roman" w:cs="Times New Roman"/>
          <w:sz w:val="24"/>
          <w:szCs w:val="24"/>
        </w:rPr>
        <w:t>Az Országgyűlés az Egyezményt e törvénnyel kihirdeti.</w:t>
      </w:r>
    </w:p>
    <w:p w:rsidR="008C05BA" w:rsidRPr="008C05BA" w:rsidRDefault="008C05BA" w:rsidP="008C05BA">
      <w:pPr>
        <w:keepNext/>
        <w:spacing w:after="0" w:line="240" w:lineRule="auto"/>
        <w:rPr>
          <w:rFonts w:ascii="Times New Roman" w:hAnsi="Times New Roman" w:cs="Times New Roman"/>
          <w:sz w:val="24"/>
          <w:szCs w:val="24"/>
        </w:rPr>
      </w:pPr>
    </w:p>
    <w:p w:rsidR="008C05BA" w:rsidRPr="008C05BA" w:rsidRDefault="008C05BA" w:rsidP="008C05BA">
      <w:pPr>
        <w:keepNext/>
        <w:spacing w:after="0" w:line="240" w:lineRule="auto"/>
        <w:jc w:val="center"/>
        <w:rPr>
          <w:rFonts w:ascii="Times New Roman" w:hAnsi="Times New Roman" w:cs="Times New Roman"/>
          <w:b/>
          <w:bCs/>
          <w:sz w:val="24"/>
          <w:szCs w:val="24"/>
        </w:rPr>
      </w:pPr>
      <w:r w:rsidRPr="008C05BA">
        <w:rPr>
          <w:rFonts w:ascii="Times New Roman" w:hAnsi="Times New Roman" w:cs="Times New Roman"/>
          <w:b/>
          <w:bCs/>
          <w:sz w:val="24"/>
          <w:szCs w:val="24"/>
        </w:rPr>
        <w:t>3. §</w:t>
      </w:r>
    </w:p>
    <w:p w:rsidR="008C05BA" w:rsidRPr="008C05BA" w:rsidRDefault="008C05BA" w:rsidP="008C05BA">
      <w:pPr>
        <w:keepNext/>
        <w:spacing w:after="0" w:line="240" w:lineRule="auto"/>
        <w:jc w:val="center"/>
        <w:rPr>
          <w:rFonts w:ascii="Times New Roman" w:hAnsi="Times New Roman" w:cs="Times New Roman"/>
          <w:b/>
          <w:bCs/>
          <w:sz w:val="24"/>
          <w:szCs w:val="24"/>
        </w:rPr>
      </w:pPr>
    </w:p>
    <w:p w:rsidR="008C05BA" w:rsidRPr="008C05BA" w:rsidRDefault="008C05BA" w:rsidP="008C05BA">
      <w:pPr>
        <w:spacing w:after="0" w:line="240" w:lineRule="auto"/>
        <w:jc w:val="both"/>
        <w:rPr>
          <w:rFonts w:ascii="Times New Roman" w:hAnsi="Times New Roman" w:cs="Times New Roman"/>
          <w:sz w:val="24"/>
          <w:szCs w:val="24"/>
        </w:rPr>
      </w:pPr>
      <w:r w:rsidRPr="008C05BA">
        <w:rPr>
          <w:rFonts w:ascii="Times New Roman" w:hAnsi="Times New Roman" w:cs="Times New Roman"/>
          <w:bCs/>
          <w:sz w:val="24"/>
          <w:szCs w:val="24"/>
        </w:rPr>
        <w:t xml:space="preserve">(1) </w:t>
      </w:r>
      <w:r w:rsidRPr="008C05BA">
        <w:rPr>
          <w:rFonts w:ascii="Times New Roman" w:hAnsi="Times New Roman" w:cs="Times New Roman"/>
          <w:sz w:val="24"/>
          <w:szCs w:val="24"/>
        </w:rPr>
        <w:t xml:space="preserve">Az Egyezmény </w:t>
      </w:r>
      <w:r w:rsidRPr="008C05BA">
        <w:rPr>
          <w:rFonts w:ascii="Times New Roman" w:hAnsi="Times New Roman" w:cs="Times New Roman"/>
          <w:bCs/>
          <w:sz w:val="24"/>
          <w:szCs w:val="24"/>
        </w:rPr>
        <w:t xml:space="preserve">hivatalos magyar nyelvű fordítását </w:t>
      </w:r>
      <w:r w:rsidRPr="008C05BA">
        <w:rPr>
          <w:rFonts w:ascii="Times New Roman" w:hAnsi="Times New Roman" w:cs="Times New Roman"/>
          <w:sz w:val="24"/>
          <w:szCs w:val="24"/>
        </w:rPr>
        <w:t xml:space="preserve">az </w:t>
      </w:r>
      <w:r w:rsidRPr="008C05BA">
        <w:rPr>
          <w:rFonts w:ascii="Times New Roman" w:hAnsi="Times New Roman" w:cs="Times New Roman"/>
          <w:i/>
          <w:sz w:val="24"/>
          <w:szCs w:val="24"/>
        </w:rPr>
        <w:t>1. melléklet</w:t>
      </w:r>
      <w:r w:rsidRPr="008C05BA">
        <w:rPr>
          <w:rFonts w:ascii="Times New Roman" w:hAnsi="Times New Roman" w:cs="Times New Roman"/>
          <w:sz w:val="24"/>
          <w:szCs w:val="24"/>
        </w:rPr>
        <w:t xml:space="preserve"> tartalmazza.</w:t>
      </w:r>
    </w:p>
    <w:p w:rsidR="008C05BA" w:rsidRPr="008C05BA" w:rsidRDefault="008C05BA" w:rsidP="008C05BA">
      <w:pPr>
        <w:spacing w:after="0" w:line="240" w:lineRule="auto"/>
        <w:jc w:val="both"/>
        <w:rPr>
          <w:rFonts w:ascii="Times New Roman" w:hAnsi="Times New Roman" w:cs="Times New Roman"/>
          <w:sz w:val="24"/>
          <w:szCs w:val="24"/>
        </w:rPr>
      </w:pPr>
    </w:p>
    <w:p w:rsidR="008C05BA" w:rsidRPr="008C05BA" w:rsidRDefault="008C05BA" w:rsidP="008C05BA">
      <w:pPr>
        <w:spacing w:after="0" w:line="240" w:lineRule="auto"/>
        <w:jc w:val="both"/>
        <w:rPr>
          <w:rFonts w:ascii="Times New Roman" w:hAnsi="Times New Roman" w:cs="Times New Roman"/>
          <w:sz w:val="24"/>
          <w:szCs w:val="24"/>
        </w:rPr>
      </w:pPr>
      <w:r w:rsidRPr="008C05BA">
        <w:rPr>
          <w:rFonts w:ascii="Times New Roman" w:hAnsi="Times New Roman" w:cs="Times New Roman"/>
          <w:sz w:val="24"/>
          <w:szCs w:val="24"/>
        </w:rPr>
        <w:t>(2) Az Egyezmény</w:t>
      </w:r>
      <w:r w:rsidRPr="008C05BA">
        <w:rPr>
          <w:rFonts w:ascii="Times New Roman" w:hAnsi="Times New Roman" w:cs="Times New Roman"/>
          <w:bCs/>
          <w:sz w:val="24"/>
          <w:szCs w:val="24"/>
        </w:rPr>
        <w:t xml:space="preserve"> </w:t>
      </w:r>
      <w:r w:rsidRPr="008C05BA">
        <w:rPr>
          <w:rFonts w:ascii="Times New Roman" w:hAnsi="Times New Roman" w:cs="Times New Roman"/>
          <w:sz w:val="24"/>
          <w:szCs w:val="24"/>
        </w:rPr>
        <w:t xml:space="preserve">hiteles angol nyelvű szövegét </w:t>
      </w:r>
      <w:r w:rsidRPr="008C05BA">
        <w:rPr>
          <w:rFonts w:ascii="Times New Roman" w:hAnsi="Times New Roman" w:cs="Times New Roman"/>
          <w:bCs/>
          <w:sz w:val="24"/>
          <w:szCs w:val="24"/>
        </w:rPr>
        <w:t xml:space="preserve">a </w:t>
      </w:r>
      <w:r w:rsidRPr="008C05BA">
        <w:rPr>
          <w:rFonts w:ascii="Times New Roman" w:hAnsi="Times New Roman" w:cs="Times New Roman"/>
          <w:bCs/>
          <w:i/>
          <w:sz w:val="24"/>
          <w:szCs w:val="24"/>
        </w:rPr>
        <w:t>2. melléklet</w:t>
      </w:r>
      <w:r w:rsidRPr="008C05BA">
        <w:rPr>
          <w:rFonts w:ascii="Times New Roman" w:hAnsi="Times New Roman" w:cs="Times New Roman"/>
          <w:bCs/>
          <w:sz w:val="24"/>
          <w:szCs w:val="24"/>
        </w:rPr>
        <w:t xml:space="preserve"> tartalmazza.</w:t>
      </w:r>
    </w:p>
    <w:p w:rsidR="008C05BA" w:rsidRPr="008C05BA" w:rsidRDefault="008C05BA" w:rsidP="008C05BA">
      <w:pPr>
        <w:keepNext/>
        <w:spacing w:after="0" w:line="240" w:lineRule="auto"/>
        <w:jc w:val="center"/>
        <w:rPr>
          <w:rFonts w:ascii="Times New Roman" w:hAnsi="Times New Roman" w:cs="Times New Roman"/>
          <w:b/>
          <w:bCs/>
          <w:sz w:val="24"/>
          <w:szCs w:val="24"/>
        </w:rPr>
      </w:pPr>
    </w:p>
    <w:p w:rsidR="008C05BA" w:rsidRPr="008C05BA" w:rsidRDefault="008C05BA" w:rsidP="008C05BA">
      <w:pPr>
        <w:keepNext/>
        <w:spacing w:after="0" w:line="240" w:lineRule="auto"/>
        <w:jc w:val="center"/>
        <w:rPr>
          <w:rFonts w:ascii="Times New Roman" w:hAnsi="Times New Roman" w:cs="Times New Roman"/>
          <w:b/>
          <w:bCs/>
          <w:sz w:val="24"/>
          <w:szCs w:val="24"/>
        </w:rPr>
      </w:pPr>
      <w:r w:rsidRPr="008C05BA">
        <w:rPr>
          <w:rFonts w:ascii="Times New Roman" w:hAnsi="Times New Roman" w:cs="Times New Roman"/>
          <w:b/>
          <w:bCs/>
          <w:sz w:val="24"/>
          <w:szCs w:val="24"/>
        </w:rPr>
        <w:t>4. §</w:t>
      </w:r>
    </w:p>
    <w:p w:rsidR="008C05BA" w:rsidRPr="008C05BA" w:rsidRDefault="008C05BA" w:rsidP="008C05BA">
      <w:pPr>
        <w:spacing w:after="0" w:line="240" w:lineRule="auto"/>
        <w:jc w:val="both"/>
        <w:rPr>
          <w:rFonts w:ascii="Times New Roman" w:hAnsi="Times New Roman" w:cs="Times New Roman"/>
          <w:sz w:val="24"/>
          <w:szCs w:val="24"/>
        </w:rPr>
      </w:pPr>
    </w:p>
    <w:p w:rsidR="008C05BA" w:rsidRPr="008C05BA" w:rsidRDefault="008C05BA" w:rsidP="008C05BA">
      <w:pPr>
        <w:spacing w:after="0" w:line="240" w:lineRule="auto"/>
        <w:jc w:val="both"/>
        <w:rPr>
          <w:rFonts w:ascii="Times New Roman" w:hAnsi="Times New Roman" w:cs="Times New Roman"/>
          <w:sz w:val="24"/>
          <w:szCs w:val="24"/>
        </w:rPr>
      </w:pPr>
      <w:r w:rsidRPr="008C05BA">
        <w:rPr>
          <w:rFonts w:ascii="Times New Roman" w:hAnsi="Times New Roman" w:cs="Times New Roman"/>
          <w:sz w:val="24"/>
          <w:szCs w:val="24"/>
        </w:rPr>
        <w:t xml:space="preserve">Az Országgyűlés e törvénnyel felhatalmazást ad az Európa Tanács keretében, Strasbourgban, 1985. augusztus 19-én létrejött, a sporteseményeken, különösen a labdarúgó mérkőzéseken megnyilvánuló nézői erőszakról és nem megfelelő viselkedésről szóló Egyezmény kihirdetéséről szóló 2003. évi LXIII. törvénnyel kihirdetett, </w:t>
      </w:r>
      <w:r w:rsidRPr="008C05BA">
        <w:rPr>
          <w:rFonts w:ascii="Times New Roman" w:eastAsia="Calibri" w:hAnsi="Times New Roman" w:cs="Times New Roman"/>
          <w:sz w:val="24"/>
          <w:szCs w:val="24"/>
          <w:lang w:eastAsia="hu-HU"/>
        </w:rPr>
        <w:t>az Európa Tanács keretében, Strasbourgban, 1985. augusztus 19-én létrejött,</w:t>
      </w:r>
      <w:r w:rsidRPr="008C05BA">
        <w:rPr>
          <w:rFonts w:ascii="Times New Roman" w:hAnsi="Times New Roman" w:cs="Times New Roman"/>
          <w:sz w:val="24"/>
          <w:szCs w:val="24"/>
        </w:rPr>
        <w:t xml:space="preserve">a sporteseményeken, különösen a labdarúgó mérkőzéseken megnyilvánuló nézői erőszakról és nem megfelelő viselkedésről szóló Egyezmény (a továbbiakban: 120. számú Egyezmény) </w:t>
      </w:r>
      <w:r w:rsidRPr="008C05BA">
        <w:rPr>
          <w:rFonts w:ascii="Times New Roman" w:eastAsia="Calibri" w:hAnsi="Times New Roman" w:cs="Times New Roman"/>
          <w:sz w:val="24"/>
          <w:szCs w:val="24"/>
          <w:lang w:eastAsia="hu-HU"/>
        </w:rPr>
        <w:t>Magyarország vonatkozásában történő megszüntetésére</w:t>
      </w:r>
      <w:r w:rsidRPr="008C05BA">
        <w:rPr>
          <w:rFonts w:ascii="Times New Roman" w:hAnsi="Times New Roman" w:cs="Times New Roman"/>
          <w:sz w:val="24"/>
          <w:szCs w:val="24"/>
        </w:rPr>
        <w:t>.</w:t>
      </w:r>
    </w:p>
    <w:p w:rsidR="008C05BA" w:rsidRPr="008C05BA" w:rsidRDefault="008C05BA" w:rsidP="008C05BA">
      <w:pPr>
        <w:spacing w:after="0" w:line="240" w:lineRule="auto"/>
        <w:jc w:val="center"/>
        <w:rPr>
          <w:rFonts w:ascii="Times New Roman" w:hAnsi="Times New Roman"/>
          <w:b/>
          <w:sz w:val="24"/>
          <w:szCs w:val="24"/>
        </w:rPr>
      </w:pPr>
    </w:p>
    <w:p w:rsidR="008C05BA" w:rsidRPr="008C05BA" w:rsidRDefault="008C05BA" w:rsidP="008C05BA">
      <w:pPr>
        <w:spacing w:after="0" w:line="240" w:lineRule="auto"/>
        <w:jc w:val="center"/>
        <w:rPr>
          <w:rFonts w:ascii="Times New Roman" w:hAnsi="Times New Roman"/>
          <w:b/>
          <w:sz w:val="24"/>
          <w:szCs w:val="24"/>
        </w:rPr>
      </w:pPr>
      <w:r w:rsidRPr="008C05BA">
        <w:rPr>
          <w:rFonts w:ascii="Times New Roman" w:hAnsi="Times New Roman"/>
          <w:b/>
          <w:sz w:val="24"/>
          <w:szCs w:val="24"/>
        </w:rPr>
        <w:t>5. §</w:t>
      </w:r>
    </w:p>
    <w:p w:rsidR="008C05BA" w:rsidRPr="008C05BA" w:rsidRDefault="008C05BA" w:rsidP="008C05BA">
      <w:pPr>
        <w:spacing w:after="0" w:line="240" w:lineRule="auto"/>
        <w:jc w:val="center"/>
        <w:rPr>
          <w:rFonts w:ascii="Times New Roman" w:hAnsi="Times New Roman"/>
          <w:b/>
          <w:sz w:val="24"/>
          <w:szCs w:val="24"/>
        </w:rPr>
      </w:pPr>
    </w:p>
    <w:p w:rsidR="008C05BA" w:rsidRPr="008C05BA" w:rsidRDefault="008C05BA" w:rsidP="008C05BA">
      <w:pPr>
        <w:spacing w:after="0" w:line="240" w:lineRule="auto"/>
        <w:jc w:val="both"/>
        <w:rPr>
          <w:rFonts w:ascii="Times New Roman" w:hAnsi="Times New Roman" w:cs="Times New Roman"/>
          <w:sz w:val="24"/>
          <w:szCs w:val="24"/>
        </w:rPr>
      </w:pPr>
      <w:r w:rsidRPr="008C05BA">
        <w:rPr>
          <w:rFonts w:ascii="Times New Roman" w:hAnsi="Times New Roman"/>
          <w:sz w:val="24"/>
          <w:szCs w:val="24"/>
        </w:rPr>
        <w:t>(</w:t>
      </w:r>
      <w:r w:rsidRPr="008C05BA">
        <w:rPr>
          <w:rFonts w:ascii="Times New Roman" w:hAnsi="Times New Roman" w:cs="Times New Roman"/>
          <w:sz w:val="24"/>
          <w:szCs w:val="24"/>
        </w:rPr>
        <w:t>1) Ez a törvény – a (2) és (3) bekezdésben meghatározott kivétellel – a kihirdetését követő napon lép hatályba.</w:t>
      </w:r>
    </w:p>
    <w:p w:rsidR="008C05BA" w:rsidRPr="008C05BA" w:rsidRDefault="008C05BA" w:rsidP="008C05BA">
      <w:pPr>
        <w:spacing w:after="0" w:line="240" w:lineRule="auto"/>
        <w:jc w:val="both"/>
        <w:rPr>
          <w:rFonts w:ascii="Times New Roman" w:hAnsi="Times New Roman" w:cs="Times New Roman"/>
          <w:sz w:val="24"/>
          <w:szCs w:val="24"/>
        </w:rPr>
      </w:pPr>
    </w:p>
    <w:p w:rsidR="008C05BA" w:rsidRPr="008C05BA" w:rsidRDefault="008C05BA" w:rsidP="008C05BA">
      <w:pPr>
        <w:spacing w:after="0" w:line="240" w:lineRule="auto"/>
        <w:jc w:val="both"/>
        <w:rPr>
          <w:rFonts w:ascii="Times New Roman" w:hAnsi="Times New Roman" w:cs="Times New Roman"/>
          <w:sz w:val="24"/>
          <w:szCs w:val="24"/>
        </w:rPr>
      </w:pPr>
      <w:r w:rsidRPr="008C05BA">
        <w:rPr>
          <w:rFonts w:ascii="Times New Roman" w:hAnsi="Times New Roman" w:cs="Times New Roman"/>
          <w:sz w:val="24"/>
          <w:szCs w:val="24"/>
        </w:rPr>
        <w:t xml:space="preserve">(2) A 2. §, a 3. §, az </w:t>
      </w:r>
      <w:r w:rsidRPr="008C05BA">
        <w:rPr>
          <w:rFonts w:ascii="Times New Roman" w:hAnsi="Times New Roman" w:cs="Times New Roman"/>
          <w:i/>
          <w:sz w:val="24"/>
          <w:szCs w:val="24"/>
        </w:rPr>
        <w:t>1.</w:t>
      </w:r>
      <w:r w:rsidRPr="008C05BA">
        <w:rPr>
          <w:rFonts w:ascii="Times New Roman" w:hAnsi="Times New Roman" w:cs="Times New Roman"/>
          <w:sz w:val="24"/>
          <w:szCs w:val="24"/>
        </w:rPr>
        <w:t xml:space="preserve"> és </w:t>
      </w:r>
      <w:r w:rsidRPr="008C05BA">
        <w:rPr>
          <w:rFonts w:ascii="Times New Roman" w:hAnsi="Times New Roman" w:cs="Times New Roman"/>
          <w:i/>
          <w:sz w:val="24"/>
          <w:szCs w:val="24"/>
        </w:rPr>
        <w:t>2. melléklet</w:t>
      </w:r>
      <w:r w:rsidRPr="008C05BA">
        <w:rPr>
          <w:rFonts w:ascii="Times New Roman" w:hAnsi="Times New Roman" w:cs="Times New Roman"/>
          <w:sz w:val="24"/>
          <w:szCs w:val="24"/>
        </w:rPr>
        <w:t xml:space="preserve"> az Egyezmény 17. cikk (2) bekezdésében meghatározott időpontban lép hatályba.</w:t>
      </w:r>
    </w:p>
    <w:p w:rsidR="008C05BA" w:rsidRPr="008C05BA" w:rsidRDefault="008C05BA" w:rsidP="008C05BA">
      <w:pPr>
        <w:spacing w:after="0" w:line="240" w:lineRule="auto"/>
        <w:jc w:val="both"/>
        <w:rPr>
          <w:rFonts w:ascii="Times New Roman" w:hAnsi="Times New Roman" w:cs="Times New Roman"/>
          <w:sz w:val="24"/>
          <w:szCs w:val="24"/>
        </w:rPr>
      </w:pPr>
    </w:p>
    <w:p w:rsidR="008C05BA" w:rsidRPr="008C05BA" w:rsidRDefault="008C05BA" w:rsidP="008C05BA">
      <w:pPr>
        <w:spacing w:after="0" w:line="240" w:lineRule="auto"/>
        <w:jc w:val="both"/>
        <w:rPr>
          <w:rFonts w:ascii="Times New Roman" w:hAnsi="Times New Roman" w:cs="Times New Roman"/>
          <w:sz w:val="24"/>
          <w:szCs w:val="24"/>
        </w:rPr>
      </w:pPr>
      <w:r w:rsidRPr="008C05BA">
        <w:rPr>
          <w:rFonts w:ascii="Times New Roman" w:hAnsi="Times New Roman" w:cs="Times New Roman"/>
          <w:sz w:val="24"/>
          <w:szCs w:val="24"/>
        </w:rPr>
        <w:t xml:space="preserve">(3) A 7. § a 120. számú Egyezmény 16. cikk (2) bekezdésében meghatározott időpontban lép hatályba. </w:t>
      </w:r>
    </w:p>
    <w:p w:rsidR="008C05BA" w:rsidRPr="008C05BA" w:rsidRDefault="008C05BA" w:rsidP="008C05BA">
      <w:pPr>
        <w:spacing w:after="0" w:line="240" w:lineRule="auto"/>
        <w:jc w:val="both"/>
        <w:rPr>
          <w:rFonts w:ascii="Times New Roman" w:hAnsi="Times New Roman" w:cs="Times New Roman"/>
          <w:sz w:val="24"/>
          <w:szCs w:val="24"/>
        </w:rPr>
      </w:pPr>
    </w:p>
    <w:p w:rsidR="008C05BA" w:rsidRPr="008C05BA" w:rsidRDefault="008C05BA" w:rsidP="008C05BA">
      <w:pPr>
        <w:spacing w:after="0" w:line="240" w:lineRule="auto"/>
        <w:jc w:val="both"/>
        <w:rPr>
          <w:rFonts w:ascii="Times New Roman" w:hAnsi="Times New Roman" w:cs="Times New Roman"/>
          <w:sz w:val="24"/>
          <w:szCs w:val="24"/>
        </w:rPr>
      </w:pPr>
      <w:r w:rsidRPr="008C05BA">
        <w:rPr>
          <w:rFonts w:ascii="Times New Roman" w:hAnsi="Times New Roman" w:cs="Times New Roman"/>
          <w:sz w:val="24"/>
          <w:szCs w:val="24"/>
        </w:rPr>
        <w:lastRenderedPageBreak/>
        <w:t xml:space="preserve">(4) Az Egyezmény, a 2. §, a 3. §, a 7. §, valamint az </w:t>
      </w:r>
      <w:r w:rsidRPr="008C05BA">
        <w:rPr>
          <w:rFonts w:ascii="Times New Roman" w:hAnsi="Times New Roman" w:cs="Times New Roman"/>
          <w:i/>
          <w:sz w:val="24"/>
          <w:szCs w:val="24"/>
        </w:rPr>
        <w:t>1.</w:t>
      </w:r>
      <w:r w:rsidRPr="008C05BA">
        <w:rPr>
          <w:rFonts w:ascii="Times New Roman" w:hAnsi="Times New Roman" w:cs="Times New Roman"/>
          <w:sz w:val="24"/>
          <w:szCs w:val="24"/>
        </w:rPr>
        <w:t xml:space="preserve"> és </w:t>
      </w:r>
      <w:r w:rsidRPr="008C05BA">
        <w:rPr>
          <w:rFonts w:ascii="Times New Roman" w:hAnsi="Times New Roman" w:cs="Times New Roman"/>
          <w:i/>
          <w:sz w:val="24"/>
          <w:szCs w:val="24"/>
        </w:rPr>
        <w:t>2. melléklet</w:t>
      </w:r>
      <w:r w:rsidRPr="008C05BA">
        <w:rPr>
          <w:rFonts w:ascii="Times New Roman" w:hAnsi="Times New Roman" w:cs="Times New Roman"/>
          <w:sz w:val="24"/>
          <w:szCs w:val="24"/>
        </w:rPr>
        <w:t xml:space="preserve"> hatálybalépésének naptári napját a külpolitikáért felelős miniszter annak ismertté válását követően a Magyar Közlönyben haladéktalanul közzétett közleményével állapítja meg.</w:t>
      </w:r>
    </w:p>
    <w:p w:rsidR="008C05BA" w:rsidRPr="008C05BA" w:rsidRDefault="008C05BA" w:rsidP="008C05BA">
      <w:pPr>
        <w:spacing w:after="0" w:line="240" w:lineRule="auto"/>
        <w:jc w:val="both"/>
        <w:rPr>
          <w:rFonts w:ascii="Times New Roman" w:hAnsi="Times New Roman" w:cs="Times New Roman"/>
          <w:sz w:val="24"/>
          <w:szCs w:val="24"/>
        </w:rPr>
      </w:pPr>
    </w:p>
    <w:p w:rsidR="008C05BA" w:rsidRPr="008C05BA" w:rsidRDefault="008C05BA" w:rsidP="008C05BA">
      <w:pPr>
        <w:spacing w:after="0" w:line="240" w:lineRule="auto"/>
        <w:jc w:val="center"/>
        <w:rPr>
          <w:rFonts w:ascii="Times New Roman" w:hAnsi="Times New Roman" w:cs="Times New Roman"/>
          <w:b/>
          <w:sz w:val="24"/>
          <w:szCs w:val="24"/>
        </w:rPr>
      </w:pPr>
      <w:r w:rsidRPr="008C05BA">
        <w:rPr>
          <w:rFonts w:ascii="Times New Roman" w:hAnsi="Times New Roman" w:cs="Times New Roman"/>
          <w:b/>
          <w:sz w:val="24"/>
          <w:szCs w:val="24"/>
        </w:rPr>
        <w:t>6. §</w:t>
      </w:r>
    </w:p>
    <w:p w:rsidR="008C05BA" w:rsidRPr="008C05BA" w:rsidRDefault="008C05BA" w:rsidP="008C05BA">
      <w:pPr>
        <w:spacing w:after="0" w:line="240" w:lineRule="auto"/>
        <w:jc w:val="both"/>
        <w:rPr>
          <w:rFonts w:ascii="Times New Roman" w:hAnsi="Times New Roman" w:cs="Times New Roman"/>
          <w:sz w:val="24"/>
          <w:szCs w:val="24"/>
        </w:rPr>
      </w:pPr>
    </w:p>
    <w:p w:rsidR="008C05BA" w:rsidRPr="008C05BA" w:rsidRDefault="008C05BA" w:rsidP="008C05BA">
      <w:pPr>
        <w:spacing w:after="0" w:line="240" w:lineRule="auto"/>
        <w:jc w:val="both"/>
        <w:rPr>
          <w:rFonts w:ascii="Times New Roman" w:hAnsi="Times New Roman" w:cs="Times New Roman"/>
          <w:sz w:val="24"/>
          <w:szCs w:val="24"/>
        </w:rPr>
      </w:pPr>
      <w:r w:rsidRPr="008C05BA">
        <w:rPr>
          <w:rFonts w:ascii="Times New Roman" w:hAnsi="Times New Roman" w:cs="Times New Roman"/>
          <w:sz w:val="24"/>
          <w:szCs w:val="24"/>
        </w:rPr>
        <w:t>E törvény végrehajtásához szükséges intézkedésekről a sportpolitikáért felelős miniszter és a rendészetért felelős miniszter gondoskodik.</w:t>
      </w:r>
    </w:p>
    <w:p w:rsidR="008C05BA" w:rsidRPr="008C05BA" w:rsidRDefault="008C05BA" w:rsidP="008C05BA">
      <w:pPr>
        <w:spacing w:after="0" w:line="240" w:lineRule="auto"/>
        <w:jc w:val="both"/>
        <w:rPr>
          <w:rFonts w:ascii="Times New Roman" w:hAnsi="Times New Roman" w:cs="Times New Roman"/>
          <w:sz w:val="24"/>
          <w:szCs w:val="24"/>
        </w:rPr>
      </w:pPr>
    </w:p>
    <w:p w:rsidR="008C05BA" w:rsidRPr="008C05BA" w:rsidRDefault="008C05BA" w:rsidP="008C05BA">
      <w:pPr>
        <w:spacing w:after="0" w:line="240" w:lineRule="auto"/>
        <w:jc w:val="center"/>
        <w:rPr>
          <w:rFonts w:ascii="Times New Roman" w:hAnsi="Times New Roman" w:cs="Times New Roman"/>
          <w:b/>
          <w:sz w:val="24"/>
          <w:szCs w:val="24"/>
        </w:rPr>
      </w:pPr>
      <w:r w:rsidRPr="008C05BA">
        <w:rPr>
          <w:rFonts w:ascii="Times New Roman" w:hAnsi="Times New Roman" w:cs="Times New Roman"/>
          <w:b/>
          <w:sz w:val="24"/>
          <w:szCs w:val="24"/>
        </w:rPr>
        <w:t>7. §</w:t>
      </w:r>
    </w:p>
    <w:p w:rsidR="008C05BA" w:rsidRPr="008C05BA" w:rsidRDefault="008C05BA" w:rsidP="008C05BA">
      <w:pPr>
        <w:spacing w:after="0" w:line="240" w:lineRule="auto"/>
        <w:jc w:val="both"/>
        <w:rPr>
          <w:rFonts w:ascii="Times New Roman" w:hAnsi="Times New Roman" w:cs="Times New Roman"/>
          <w:sz w:val="24"/>
          <w:szCs w:val="24"/>
        </w:rPr>
      </w:pPr>
    </w:p>
    <w:p w:rsidR="008C05BA" w:rsidRPr="008C05BA" w:rsidRDefault="008C05BA" w:rsidP="008C05BA">
      <w:pPr>
        <w:spacing w:after="0" w:line="240" w:lineRule="auto"/>
        <w:jc w:val="both"/>
        <w:rPr>
          <w:rFonts w:ascii="Times New Roman" w:hAnsi="Times New Roman" w:cs="Times New Roman"/>
          <w:sz w:val="24"/>
          <w:szCs w:val="24"/>
        </w:rPr>
      </w:pPr>
      <w:r w:rsidRPr="008C05BA">
        <w:rPr>
          <w:rFonts w:ascii="Times New Roman" w:hAnsi="Times New Roman" w:cs="Times New Roman"/>
          <w:sz w:val="24"/>
          <w:szCs w:val="24"/>
        </w:rPr>
        <w:t>Hatályát veszti az Európa Tanács keretében, Strasbourgban, 1985. augusztus 19-én létrejött, a sporteseményeken, különösen a labdarúgó mérkőzéseken megnyilvánuló nézői erőszakról és nem megfelelő viselkedésről szóló Egyezmény kihirdetéséről szóló 2003. évi LXIII. törvény.</w:t>
      </w:r>
    </w:p>
    <w:p w:rsidR="008C05BA" w:rsidRPr="008C05BA" w:rsidRDefault="008C05BA" w:rsidP="008C05BA">
      <w:pPr>
        <w:spacing w:after="0" w:line="240" w:lineRule="auto"/>
        <w:jc w:val="both"/>
        <w:rPr>
          <w:rFonts w:ascii="Times New Roman" w:hAnsi="Times New Roman" w:cs="Times New Roman"/>
          <w:sz w:val="24"/>
          <w:szCs w:val="24"/>
        </w:rPr>
      </w:pPr>
    </w:p>
    <w:p w:rsidR="008C05BA" w:rsidRPr="008C05BA" w:rsidRDefault="008C05BA" w:rsidP="008C05BA">
      <w:pPr>
        <w:keepNext/>
        <w:spacing w:after="0" w:line="240" w:lineRule="auto"/>
        <w:jc w:val="center"/>
        <w:rPr>
          <w:rFonts w:ascii="Times New Roman" w:hAnsi="Times New Roman" w:cs="Times New Roman"/>
          <w:b/>
          <w:bCs/>
          <w:sz w:val="24"/>
          <w:szCs w:val="24"/>
        </w:rPr>
      </w:pPr>
    </w:p>
    <w:p w:rsidR="008C05BA" w:rsidRPr="008C05BA" w:rsidRDefault="008C05BA" w:rsidP="008C05BA">
      <w:pPr>
        <w:keepNext/>
        <w:spacing w:after="0" w:line="240" w:lineRule="auto"/>
        <w:jc w:val="center"/>
        <w:rPr>
          <w:rFonts w:ascii="Times New Roman" w:hAnsi="Times New Roman" w:cs="Times New Roman"/>
          <w:b/>
          <w:bCs/>
          <w:sz w:val="24"/>
          <w:szCs w:val="24"/>
        </w:rPr>
      </w:pPr>
    </w:p>
    <w:p w:rsidR="00262DE8" w:rsidRDefault="00262DE8">
      <w:pPr>
        <w:rPr>
          <w:rFonts w:ascii="Times New Roman" w:hAnsi="Times New Roman" w:cs="Times New Roman"/>
          <w:i/>
          <w:sz w:val="24"/>
          <w:szCs w:val="24"/>
          <w:u w:val="single"/>
        </w:rPr>
      </w:pPr>
      <w:r>
        <w:rPr>
          <w:rFonts w:ascii="Times New Roman" w:hAnsi="Times New Roman" w:cs="Times New Roman"/>
          <w:i/>
          <w:sz w:val="24"/>
          <w:szCs w:val="24"/>
          <w:u w:val="single"/>
        </w:rPr>
        <w:br w:type="page"/>
      </w:r>
    </w:p>
    <w:p w:rsidR="008C05BA" w:rsidRPr="008C05BA" w:rsidRDefault="008C05BA" w:rsidP="00262DE8">
      <w:pPr>
        <w:spacing w:after="0" w:line="240" w:lineRule="auto"/>
        <w:jc w:val="right"/>
        <w:rPr>
          <w:rFonts w:ascii="Times New Roman" w:hAnsi="Times New Roman" w:cs="Times New Roman"/>
          <w:sz w:val="24"/>
          <w:szCs w:val="24"/>
        </w:rPr>
      </w:pPr>
      <w:r w:rsidRPr="008C05BA">
        <w:rPr>
          <w:rFonts w:ascii="Times New Roman" w:hAnsi="Times New Roman" w:cs="Times New Roman"/>
          <w:i/>
          <w:sz w:val="24"/>
          <w:szCs w:val="24"/>
          <w:u w:val="single"/>
        </w:rPr>
        <w:lastRenderedPageBreak/>
        <w:t>1. melléklet a 2020. évi … . törvényhez</w:t>
      </w:r>
    </w:p>
    <w:p w:rsidR="008C05BA" w:rsidRPr="008C05BA" w:rsidRDefault="008C05BA" w:rsidP="008C05BA">
      <w:pPr>
        <w:shd w:val="clear" w:color="auto" w:fill="FFFFFF"/>
        <w:spacing w:after="150" w:line="240" w:lineRule="auto"/>
        <w:ind w:left="709" w:hanging="1"/>
        <w:jc w:val="both"/>
        <w:rPr>
          <w:rFonts w:ascii="Times New Roman" w:eastAsia="Times New Roman" w:hAnsi="Times New Roman" w:cs="Times New Roman"/>
          <w:color w:val="161616"/>
          <w:sz w:val="24"/>
          <w:szCs w:val="24"/>
          <w:lang w:eastAsia="hu-HU"/>
        </w:rPr>
      </w:pPr>
    </w:p>
    <w:p w:rsidR="008C05BA" w:rsidRPr="008C05BA" w:rsidRDefault="008C05BA" w:rsidP="008C05BA">
      <w:pPr>
        <w:shd w:val="clear" w:color="auto" w:fill="FFFFFF"/>
        <w:spacing w:after="150" w:line="240" w:lineRule="auto"/>
        <w:jc w:val="center"/>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Az Európa Tanács Egyezmény a labdarúgó-mérkőzések és egyéb sportrendezvények biztonságához, biztosításához és az ott nyújtott szolgáltatásokhoz kapcsolódó integrált megközelítésről</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Preambulum</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Az Európa Tanács tagállamai és az Európai Kulturális Egyezmény (18. számú ETS) egyéb részes államai mint aláírók,</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figyelemmel arra, hogy az Európa Tanács célja a tagjai közötti szorosabb egység megteremtése;</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foglalkozva az egyének testi épséghez való jogával és azon jogos elvárásával, hogy ellátogassanak labdarúgó-mérkőzésekre és egyéb sportrendezvényekre anélkül, hogy erőszaktól, a közrend megzavarásától vagy egyéb büntetendő cselekményektől kellene tartaniuk;</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azzal a szándékkal, hogy a labdarúgó-mérkőzéseket és az egyéb sportrendezvényeket élvezhetővé és kellemessé tegyék minden polgár számára, és elismerve azt, hogy a barátságos környezet jelentős és kedvező hatással bír a biztonságra és a biztosításra az ilyen rendezvényeken;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foglalkozva annak szükségességével, hogy ösztönözni kell minden érdekelt fél bevonását a biztonságos környezet megteremtésébe a labdarúgó-mérkőzéseken és egyéb sportrendezvényeken;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foglalkozva annak szükségességével, hogy fenn kell tartani a jogrendet a labdarúgó- és más sportstadionokban és azok közelében, a stadionokat megközelítő és onnan elvezető tranzit útvonalakon, valamint a több ezer néző által igénybe vett egyéb területeken;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elismerve azt, hogy a labdarúgó-mérkőzések és egyéb sportrendezvények szervezésében és irányításában részt vevő valamennyi szervezetnek és érdekelt félnek támogatnia kell az Európa Tanács alapvető értékeit, így a társadalmi kohéziót, a toleranciát, a tiszteletet és a megkülönböztetés-mentességet;</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elismerve az államok közötti különbségeket alkotmányos, igazságügyi, kulturális és történelmi körülményeiket illetően, valamint a labdarúgó-mérkőzésekhez és egyéb sportrendezvényekhez kapcsolódó biztonsági és biztosítási problémák jellegére és súlyosságára vonatkozóan;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elismerve azt, hogy maradéktalanul figyelembe kell venni az adatvédelemre, a bűnelkövetők rehabilitációjára, valamint az emberi jogokra vonatkozó nemzeti és nemzetközi jogszabályokat;</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elismerve, hogy az állami- és magánszervezetek, valamint egyéb érdekelt felek, köztük a nézők széles körének közös célkitűzése, hogy a labdarúgó-mérkőzéseket és egyéb sportrendezvényeket biztonságossá, védetté és kellemessé tegyék az egyének számára, valamint elismerve, hogy kollektív fellépéseik szükségszerűen további, egymással összefüggő és egymást átfedő intézkedést foglalnak majd magukban;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 xml:space="preserve">elismerve, hogy ezeknek az intézkedéseknek az egymást átfedő jellege hatékony nemzetközi, nemzeti és helyi együttműködések kialakítását követeli meg az érintett </w:t>
      </w:r>
      <w:r w:rsidRPr="008C05BA">
        <w:rPr>
          <w:rFonts w:ascii="Times New Roman" w:hAnsi="Times New Roman" w:cs="Times New Roman"/>
          <w:color w:val="161616"/>
          <w:sz w:val="24"/>
          <w:szCs w:val="24"/>
        </w:rPr>
        <w:lastRenderedPageBreak/>
        <w:t>szervezetektől a labdarúgó-mérkőzések és egyéb sportrendezvények biztonságához, biztosításához és az ott nyújtott szolgáltatásokhoz kapcsolódó integrált és kiegyensúlyozott, több szervezetet érintő megközelítés kidolgozása és megvalósítása érdekében;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elismerve, hogy a stadionokon kívüli események közvetlen hatással bírnak a stadionokon belüli eseményekre és fordítva;</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elismerve, hogy a kulcsfontosságú érdekelt felekkel, különösen a szurkolókkal és a helyi közösségekkel folytatott egyeztetés támogathatja az érintett szervezeteket a biztonsági és biztosítási kockázatok csökkentésében, valamint a stadionokon belüli és kívüli barátságos légkör megteremtésében;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azzal az elhatározással, hogy közösen és egymással együttműködve fellépjenek a labdarúgó-mérkőzéseken és egyéb sportrendezvényeken előforduló biztonsági és biztosítási kockázatok csökkentése érdekében azért, hogy örömteli élményt nyújtsanak a nézőknek, a résztvevőknek és a helyi közösségeknek;</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az aláírásra Strasbourgban 1985. augusztus 19-én megnyitott, a sporteseményeken, különösen a labdarúgó mérkőzéseken megnyilvánuló nézői erőszakról és nem megfelelő viselkedésről szóló európai egyezmény (120. számú ETS, a továbbiakban: 120. számú egyezmény) tartalmára alapozva;</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figyelembe véve, hogy a széles körű európai tapasztalatok és bevált gyakorlatok a nézők biztonsága és védelme tekintetében új, integrált és partnerségi megközelítés kialakulását eredményezték, ami megjelenik különösen a 120. számú egyezmény állandó bizottságának 2015. június 18-án tartott 40. találkozóján elfogadott 1/2015. számú, a labdarúgó-mérkőzések és egyéb sportrendezvények biztonságára, biztosítására és az ott nyújtott szolgáltatásokra vonatkozó ajánlásában,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az alábbiakban állapodtak meg:</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1. cikk – Hatály</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1</w:t>
      </w:r>
      <w:r w:rsidRPr="008C05BA">
        <w:rPr>
          <w:rFonts w:ascii="Times New Roman" w:hAnsi="Times New Roman" w:cs="Times New Roman"/>
          <w:color w:val="161616"/>
          <w:sz w:val="24"/>
          <w:szCs w:val="24"/>
        </w:rPr>
        <w:tab/>
        <w:t>A felek adott alkotmányos rendelkezéseik keretein belül megteszik a szükséges lépéseket annak érdekében, hogy hatályba léptessék ezen egyezmény rendelkezéseit a területükön hivatásos versenyrendszerben résztvevő labdarúgó-sportszervezetek és nemzeti válogatottak részvételével játszott labdarúgó-mérkőzések vagy tornák vonatkozásában.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2</w:t>
      </w:r>
      <w:r w:rsidRPr="008C05BA">
        <w:rPr>
          <w:rFonts w:ascii="Times New Roman" w:hAnsi="Times New Roman" w:cs="Times New Roman"/>
          <w:color w:val="161616"/>
          <w:sz w:val="24"/>
          <w:szCs w:val="24"/>
        </w:rPr>
        <w:tab/>
        <w:t>A felek a területükön megrendezésre kerülő más sportok vagy sportrendezvények, így nem hivatásos versenyrendszerben szervezett labdarúgó-mérkőzések tekintetében is alkalmazhatják ezt az egyezményt, különösen biztonsági vagy biztosítási kockázatok felmerülése esetén.</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2. cikk – Cél</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Ezen egyezmény célja, hogy biztonságos, védett és barátságos környezetet biztosítson a labdarúgó-mérkőzéseken és egyéb sportrendezvényeken. E célból a felek:</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a</w:t>
      </w:r>
      <w:r w:rsidRPr="008C05BA">
        <w:rPr>
          <w:rFonts w:ascii="Times New Roman" w:hAnsi="Times New Roman" w:cs="Times New Roman"/>
          <w:color w:val="161616"/>
          <w:sz w:val="24"/>
          <w:szCs w:val="24"/>
        </w:rPr>
        <w:tab/>
        <w:t>a biztonsághoz, biztosításhoz és a szolgáltatásnyújtáshoz kapcsolódó integrált, több szervezetet érintő és kiegyensúlyozott megközelítést fogadnak el, amely a hatékony helyi, nemzeti és nemzetközi partnerség és együttműködés szellemiségén alapul;</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lastRenderedPageBreak/>
        <w:t>b</w:t>
      </w:r>
      <w:r w:rsidRPr="008C05BA">
        <w:rPr>
          <w:rFonts w:ascii="Times New Roman" w:hAnsi="Times New Roman" w:cs="Times New Roman"/>
          <w:color w:val="161616"/>
          <w:sz w:val="24"/>
          <w:szCs w:val="24"/>
        </w:rPr>
        <w:tab/>
        <w:t>biztosítják, hogy valamennyi állami- és magánszervezet, valamint az egyéb érdekelt felek mindegyike elismerje, hogy a biztonság, a biztosítás és a szolgáltatásnyújtás nem kezelhető egymástól elszigetelten, és mindegyik közvetlen hatással bírhat a két másik elem megvalósítására;</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c</w:t>
      </w:r>
      <w:r w:rsidRPr="008C05BA">
        <w:rPr>
          <w:rFonts w:ascii="Times New Roman" w:hAnsi="Times New Roman" w:cs="Times New Roman"/>
          <w:color w:val="161616"/>
          <w:sz w:val="24"/>
          <w:szCs w:val="24"/>
        </w:rPr>
        <w:tab/>
        <w:t>figyelembe veszik a bevált gyakorlatokat a biztonsághoz, a biztosításhoz és a szolgáltatásnyújtáshoz kapcsolódó integrált megközelítés kidolgozása során.</w:t>
      </w:r>
    </w:p>
    <w:p w:rsidR="008C05BA" w:rsidRPr="008C05BA" w:rsidRDefault="008C05BA" w:rsidP="008C05BA">
      <w:pPr>
        <w:spacing w:after="0" w:line="240" w:lineRule="auto"/>
        <w:rPr>
          <w:rFonts w:ascii="Times New Roman" w:eastAsia="Times New Roman" w:hAnsi="Times New Roman" w:cs="Times New Roman"/>
          <w:sz w:val="24"/>
          <w:szCs w:val="24"/>
          <w:lang w:eastAsia="hu-HU"/>
        </w:rPr>
      </w:pPr>
    </w:p>
    <w:p w:rsidR="008C05BA" w:rsidRPr="008C05BA" w:rsidRDefault="008C05BA" w:rsidP="008C05BA">
      <w:pPr>
        <w:shd w:val="clear" w:color="auto" w:fill="FFFFFF"/>
        <w:spacing w:after="150" w:line="240" w:lineRule="auto"/>
        <w:ind w:left="425" w:hanging="425"/>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3. cikk – Fogalommeghatározások</w:t>
      </w:r>
    </w:p>
    <w:p w:rsidR="008C05BA" w:rsidRPr="008C05BA" w:rsidRDefault="008C05BA" w:rsidP="008C05BA">
      <w:pPr>
        <w:shd w:val="clear" w:color="auto" w:fill="FFFFFF"/>
        <w:spacing w:after="150" w:line="240" w:lineRule="auto"/>
        <w:ind w:left="709" w:hanging="284"/>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Ezen egyezmény alkalmazása során:</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a</w:t>
      </w:r>
      <w:r w:rsidRPr="008C05BA">
        <w:rPr>
          <w:rFonts w:ascii="Times New Roman" w:hAnsi="Times New Roman" w:cs="Times New Roman"/>
          <w:color w:val="161616"/>
          <w:sz w:val="24"/>
          <w:szCs w:val="24"/>
        </w:rPr>
        <w:tab/>
        <w:t>„biztonsági intézkedések”: minden olyan intézkedés a stadionon belül és kívül egyaránt, amelynek tervezése és megvalósítása során az elsődleges cél a labdarúgó-mérkőzésekre vagy egyéb sportrendezvényekre látogató vagy azokon részt vevő, illetve az esemény közelében lakó vagy dolgozó egyének és csoportok egészségének és jóllétének a szavatolása;</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b</w:t>
      </w:r>
      <w:r w:rsidRPr="008C05BA">
        <w:rPr>
          <w:rFonts w:ascii="Times New Roman" w:hAnsi="Times New Roman" w:cs="Times New Roman"/>
          <w:color w:val="161616"/>
          <w:sz w:val="24"/>
          <w:szCs w:val="24"/>
        </w:rPr>
        <w:tab/>
        <w:t>„biztosítási intézkedések”: minden olyan intézkedés a stadionon belül és kívül egyaránt, amelynek tervezése és megvalósítása során az elsődleges cél a labdarúgó-mérkőzésekkel vagy egyéb sportrendezvényekkel kapcsolatban előforduló kockázatok megelőzése, csökkentése, illetve az ilyen rendezvényekkel kapcsolatban elkövetett bármely erőszakkal vagy egyéb bűncselekménnyel vagy rendzavarással szembeni fellépés;</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c</w:t>
      </w:r>
      <w:r w:rsidRPr="008C05BA">
        <w:rPr>
          <w:rFonts w:ascii="Times New Roman" w:hAnsi="Times New Roman" w:cs="Times New Roman"/>
          <w:color w:val="161616"/>
          <w:sz w:val="24"/>
          <w:szCs w:val="24"/>
        </w:rPr>
        <w:tab/>
        <w:t>„szolgáltatási intézkedések”: minden olyan intézkedés a stadionon belül és kívül egyaránt, amelynek tervezése és megvalósítása során az elsődleges cél, hogy az egyének és a csoportok jól, megbecsülve és szívesen látottnak érezzék magukat, amikor ellátogatnak egy labdarúgó-mérkőzésre vagy egyéb sportrendezvényre;</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d</w:t>
      </w:r>
      <w:r w:rsidRPr="008C05BA">
        <w:rPr>
          <w:rFonts w:ascii="Times New Roman" w:hAnsi="Times New Roman" w:cs="Times New Roman"/>
          <w:color w:val="161616"/>
          <w:sz w:val="24"/>
          <w:szCs w:val="24"/>
        </w:rPr>
        <w:tab/>
        <w:t>„szervezet”: minden olyan állami- vagy magánszerv, amely alkotmányos, törvényi, szabályozási vagy egyéb felelősséggel bír bármely, labdarúgó-mérkőzéssel vagy egyéb sportrendezvénnyel kapcsolatban a stadionon belüli vagy kívüli biztonsági, biztosítási vagy szolgáltatási intézkedés előkészítése és végrehajtása tekintetében;</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e</w:t>
      </w:r>
      <w:r w:rsidRPr="008C05BA">
        <w:rPr>
          <w:rFonts w:ascii="Times New Roman" w:hAnsi="Times New Roman" w:cs="Times New Roman"/>
          <w:color w:val="161616"/>
          <w:sz w:val="24"/>
          <w:szCs w:val="24"/>
        </w:rPr>
        <w:tab/>
        <w:t>„érdekelt fél”: nézők, helyi közösségek vagy egyéb érdekelt felek, akik nem rendelkeznek törvényi vagy szabályozási felelősséggel, de fontos szerepet játszhatnak a labdarúgó-mérkőzések vagy más sportrendezvények biztonságossá, védetté és kellemessé tételének előmozdításában a stadionokon belül és kívül egyaránt;</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f</w:t>
      </w:r>
      <w:r w:rsidRPr="008C05BA">
        <w:rPr>
          <w:rFonts w:ascii="Times New Roman" w:hAnsi="Times New Roman" w:cs="Times New Roman"/>
          <w:color w:val="161616"/>
          <w:sz w:val="24"/>
          <w:szCs w:val="24"/>
        </w:rPr>
        <w:tab/>
        <w:t>„integrált megközelítés”: annak elismerése, hogy a labdarúgó-mérkőzéseken és egyéb sportrendezvényeken megtett biztonsági, biztosítási és szolgáltatási intézkedések, függetlenül azok elsődleges céljától, minden esetben átfedik egymást és összefüggésben állnak egymással az általuk elért hatás tekintetében, kiegyensúlyozottaknak kell lenniük, és nem tervezhetők vagy valósíthatók meg egymástól elszigetelten;</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g</w:t>
      </w:r>
      <w:r w:rsidRPr="008C05BA">
        <w:rPr>
          <w:rFonts w:ascii="Times New Roman" w:hAnsi="Times New Roman" w:cs="Times New Roman"/>
          <w:color w:val="161616"/>
          <w:sz w:val="24"/>
          <w:szCs w:val="24"/>
        </w:rPr>
        <w:tab/>
        <w:t>„több szervezetet érintő integrált megközelítés”: annak elismerése, hogy a labdarúgás vagy más sport területén tervezési és végrehajtási tevékenységeket végző egyes szervezetek szerepeinek és fellépéseinek összehangoltnak, egymást kiegészítőnek és arányosnak kell lenniük, és azokat egy átfogó biztonsági, biztosítási és szolgáltatási stratégia részeként kell megtervezni és megvalósítani;</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lastRenderedPageBreak/>
        <w:t>h</w:t>
      </w:r>
      <w:r w:rsidRPr="008C05BA">
        <w:rPr>
          <w:rFonts w:ascii="Times New Roman" w:hAnsi="Times New Roman" w:cs="Times New Roman"/>
          <w:color w:val="161616"/>
          <w:sz w:val="24"/>
          <w:szCs w:val="24"/>
        </w:rPr>
        <w:tab/>
        <w:t>„bevált gyakorlatok”: egy vagy több országban alkalmazott intézkedések, amelyek nagyon hatékonynak bizonyultak a meghatározott cél vagy célkitűzés megvalósítása érdekében;</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i</w:t>
      </w:r>
      <w:r w:rsidRPr="008C05BA">
        <w:rPr>
          <w:rFonts w:ascii="Times New Roman" w:hAnsi="Times New Roman" w:cs="Times New Roman"/>
          <w:color w:val="161616"/>
          <w:sz w:val="24"/>
          <w:szCs w:val="24"/>
        </w:rPr>
        <w:tab/>
        <w:t>„érintett szervezet”: olyan szerv (állami vagy magán), amely részt vesz a stadionon belül vagy kívül megrendezett labdarúgó-mérkőzés vagy más sportrendezvény megszervezésében, illetve irányításában.</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4. cikk – Belföldi koordinációs megállapodások</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1</w:t>
      </w:r>
      <w:r w:rsidRPr="008C05BA">
        <w:rPr>
          <w:rFonts w:ascii="Times New Roman" w:hAnsi="Times New Roman" w:cs="Times New Roman"/>
          <w:color w:val="161616"/>
          <w:sz w:val="24"/>
          <w:szCs w:val="24"/>
        </w:rPr>
        <w:tab/>
        <w:t>A felek biztosítják nemzeti és helyi koordinációs megállapodások létrehozását a biztonsághoz, a biztosításhoz és a szolgáltatásnyújtáshoz kapcsolódó, több szervezetet érintő integrált megközelítés nemzeti és helyi szinten történő kidolgozásának céljából.</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2</w:t>
      </w:r>
      <w:r w:rsidRPr="008C05BA">
        <w:rPr>
          <w:rFonts w:ascii="Times New Roman" w:hAnsi="Times New Roman" w:cs="Times New Roman"/>
          <w:color w:val="161616"/>
          <w:sz w:val="24"/>
          <w:szCs w:val="24"/>
        </w:rPr>
        <w:tab/>
        <w:t>A felek biztosítják koordinációs megállapodások létrehozását a biztonsághoz, a biztosításhoz és a szolgáltatásnyújtáshoz kapcsolódó kockázatok azonosítása, elemzése és értékelése érdekében, valamint a kockázatértékelésre vonatkozó naprakész információk megosztása érdekében.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3</w:t>
      </w:r>
      <w:r w:rsidRPr="008C05BA">
        <w:rPr>
          <w:rFonts w:ascii="Times New Roman" w:hAnsi="Times New Roman" w:cs="Times New Roman"/>
          <w:color w:val="161616"/>
          <w:sz w:val="24"/>
          <w:szCs w:val="24"/>
        </w:rPr>
        <w:tab/>
        <w:t>A felek biztosítják, hogy a koordinációs megállapodások kiterjedjenek a rendezvénnyel kapcsolatos biztonsági, biztosítási és szolgáltatási kérdésekért felelős valamennyi kulcsfontosságú állami- és magánszervezetre, a rendezvény megrendezésének helyszínén belül és kívül egyaránt.</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4</w:t>
      </w:r>
      <w:r w:rsidRPr="008C05BA">
        <w:rPr>
          <w:rFonts w:ascii="Times New Roman" w:hAnsi="Times New Roman" w:cs="Times New Roman"/>
          <w:color w:val="161616"/>
          <w:sz w:val="24"/>
          <w:szCs w:val="24"/>
        </w:rPr>
        <w:tab/>
        <w:t>A felek biztosítják, hogy a koordinációs megállapodások maradéktalanul figyelembe vegyék jelen egyezményben meghatározott biztonsági, biztosítási és szolgáltatási elveket, valamint biztosítják nemzeti és helyi stratégiák kidolgozását, rendszeres értékelését és további finomítását a nemzeti és nemzetközi tapasztalatok és bevált gyakorlatok fényében.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5</w:t>
      </w:r>
      <w:r w:rsidRPr="008C05BA">
        <w:rPr>
          <w:rFonts w:ascii="Times New Roman" w:hAnsi="Times New Roman" w:cs="Times New Roman"/>
          <w:color w:val="161616"/>
          <w:sz w:val="24"/>
          <w:szCs w:val="24"/>
        </w:rPr>
        <w:tab/>
        <w:t>A felek biztosítják, hogy a nemzeti jogi, szabályozási vagy igazgatási keretek pontosan meghatározzák az egyes érintett szervezetek szerepeit és feladatait, biztosítják ezeknek a szerepeknek a kiegészítő jellegét, összhangját egy integrált megközelítéssel, és széles körben ismertek legyenek stratégiai és műveleti szinten.</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5. cikk – Biztonság, biztosítás és szolgáltatásnyújtás sportlétesítményekben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1</w:t>
      </w:r>
      <w:r w:rsidRPr="008C05BA">
        <w:rPr>
          <w:rFonts w:ascii="Times New Roman" w:hAnsi="Times New Roman" w:cs="Times New Roman"/>
          <w:color w:val="161616"/>
          <w:sz w:val="24"/>
          <w:szCs w:val="24"/>
        </w:rPr>
        <w:tab/>
        <w:t>A felek biztosítják, hogy a nemzeti jogi, szabályozási vagy igazgatási keretek megköveteljék, hogy a rendezvényszervezők valamennyi partnerszervezettel egyeztetve, biztonságos és védett környezetet biztosítsanak minden résztvevő és néző számára.</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2</w:t>
      </w:r>
      <w:r w:rsidRPr="008C05BA">
        <w:rPr>
          <w:rFonts w:ascii="Times New Roman" w:hAnsi="Times New Roman" w:cs="Times New Roman"/>
          <w:color w:val="161616"/>
          <w:sz w:val="24"/>
          <w:szCs w:val="24"/>
        </w:rPr>
        <w:tab/>
        <w:t>A felek biztosítják, hogy az illetékes állami hatóságok olyan szabályozásokat vagy intézkedéseket vezessenek be, amelyek garantálják a stadionengedélyezési eljárások, tanúsítási rendszerek, valamint általában a biztonsági előírások hatékonyságát, és biztosítják azok alkalmazását, ellenőrzését és végrehajtását.</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3</w:t>
      </w:r>
      <w:r w:rsidRPr="008C05BA">
        <w:rPr>
          <w:rFonts w:ascii="Times New Roman" w:hAnsi="Times New Roman" w:cs="Times New Roman"/>
          <w:color w:val="161616"/>
          <w:sz w:val="24"/>
          <w:szCs w:val="24"/>
        </w:rPr>
        <w:tab/>
        <w:t>A felek megkövetelik az érintett szervezetektől annak biztosítását, hogy a stadion tervezése, infrastruktúrája és a kapcsolódó tömegkezelési intézkedések összhangban álljanak a nemzeti és nemzetközi normákkal és bevált gyakorlatokkal.</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4</w:t>
      </w:r>
      <w:r w:rsidRPr="008C05BA">
        <w:rPr>
          <w:rFonts w:ascii="Times New Roman" w:hAnsi="Times New Roman" w:cs="Times New Roman"/>
          <w:color w:val="161616"/>
          <w:sz w:val="24"/>
          <w:szCs w:val="24"/>
        </w:rPr>
        <w:tab/>
        <w:t>A felek arra ösztönzik az érintett szervezeteket, hogy gondoskodjanak arról, hogy a stadionok befogadó és barátságos környezetet nyújtsanak a társadalom minden rétege számára, ideértve a gyermekeket, az időseket és a fogyatékos személyeket is, és biztosítsák többek között megfelelő egészségügyi és vendéglátó-ipari helyiségek rendelkezésre állását, valamint jó látási feltételeket minden néző számára.</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lastRenderedPageBreak/>
        <w:t>5</w:t>
      </w:r>
      <w:r w:rsidRPr="008C05BA">
        <w:rPr>
          <w:rFonts w:ascii="Times New Roman" w:hAnsi="Times New Roman" w:cs="Times New Roman"/>
          <w:color w:val="161616"/>
          <w:sz w:val="24"/>
          <w:szCs w:val="24"/>
        </w:rPr>
        <w:tab/>
        <w:t>A felek biztosítják, hogy a stadionok működtetési szabályai átfogóak legyenek; gondoskodjanak a rendőrséggel, a vészhelyzeti szolgálatokkal és a partnerszervezetekkel való hatékony kapcsolattartásról; továbbá egyértelmű szabályzatokat és eljárásokat tartalmazzanak olyan kérdésekre vonatkozóan, amelyek hatással lehetnek a tömegkezelésre és a kapcsolódó biztonsági és biztosítási kockázatokra, így többek között az alábbiakra vonatkozóan:</w:t>
      </w:r>
    </w:p>
    <w:p w:rsidR="008C05BA" w:rsidRPr="008C05BA" w:rsidRDefault="008C05BA" w:rsidP="008C05BA">
      <w:pPr>
        <w:shd w:val="clear" w:color="auto" w:fill="FFFFFF"/>
        <w:spacing w:after="0" w:line="240" w:lineRule="auto"/>
        <w:ind w:left="1134"/>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 pirotechnikai eszközök használata;</w:t>
      </w:r>
    </w:p>
    <w:p w:rsidR="008C05BA" w:rsidRPr="008C05BA" w:rsidRDefault="008C05BA" w:rsidP="008C05BA">
      <w:pPr>
        <w:shd w:val="clear" w:color="auto" w:fill="FFFFFF"/>
        <w:spacing w:after="0" w:line="240" w:lineRule="auto"/>
        <w:ind w:left="1134"/>
        <w:jc w:val="both"/>
        <w:rPr>
          <w:rFonts w:ascii="Times New Roman" w:hAnsi="Times New Roman" w:cs="Times New Roman"/>
          <w:color w:val="161616"/>
          <w:sz w:val="24"/>
          <w:szCs w:val="24"/>
        </w:rPr>
      </w:pPr>
      <w:r w:rsidRPr="008C05BA">
        <w:rPr>
          <w:rFonts w:ascii="Times New Roman" w:hAnsi="Times New Roman" w:cs="Times New Roman"/>
          <w:color w:val="161616"/>
          <w:sz w:val="24"/>
          <w:szCs w:val="24"/>
        </w:rPr>
        <w:t>– bármilyen erőszakos vagy tiltott viselkedés; és</w:t>
      </w:r>
    </w:p>
    <w:p w:rsidR="008C05BA" w:rsidRPr="008C05BA" w:rsidRDefault="008C05BA" w:rsidP="008C05BA">
      <w:pPr>
        <w:shd w:val="clear" w:color="auto" w:fill="FFFFFF"/>
        <w:spacing w:after="0" w:line="240" w:lineRule="auto"/>
        <w:ind w:left="1134"/>
        <w:jc w:val="both"/>
        <w:rPr>
          <w:rFonts w:ascii="Times New Roman" w:hAnsi="Times New Roman" w:cs="Times New Roman"/>
          <w:color w:val="161616"/>
          <w:sz w:val="24"/>
          <w:szCs w:val="24"/>
        </w:rPr>
      </w:pPr>
      <w:r w:rsidRPr="008C05BA">
        <w:rPr>
          <w:rFonts w:ascii="Times New Roman" w:hAnsi="Times New Roman" w:cs="Times New Roman"/>
          <w:color w:val="161616"/>
          <w:sz w:val="24"/>
          <w:szCs w:val="24"/>
        </w:rPr>
        <w:t>– bármilyen rasszista vagy egyéb megkülönböztető magatartás.</w:t>
      </w:r>
    </w:p>
    <w:p w:rsidR="008C05BA" w:rsidRPr="008C05BA" w:rsidRDefault="008C05BA" w:rsidP="008C05BA">
      <w:pPr>
        <w:shd w:val="clear" w:color="auto" w:fill="FFFFFF"/>
        <w:spacing w:after="0" w:line="240" w:lineRule="auto"/>
        <w:ind w:left="1134"/>
        <w:jc w:val="both"/>
        <w:rPr>
          <w:rFonts w:ascii="Times New Roman" w:eastAsia="Times New Roman" w:hAnsi="Times New Roman" w:cs="Times New Roman"/>
          <w:color w:val="161616"/>
          <w:sz w:val="24"/>
          <w:szCs w:val="24"/>
        </w:rPr>
      </w:pP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6</w:t>
      </w:r>
      <w:r w:rsidRPr="008C05BA">
        <w:rPr>
          <w:rFonts w:ascii="Times New Roman" w:hAnsi="Times New Roman" w:cs="Times New Roman"/>
          <w:color w:val="161616"/>
          <w:sz w:val="24"/>
          <w:szCs w:val="24"/>
        </w:rPr>
        <w:tab/>
        <w:t>A felek megkövetelik az érintett szervezetektől annak biztosítását, hogy a sportrendezvények biztonságossá, védetté és kellemessé tételében résztvevő alkalmazottak mindegyike, akár a köz-, akár a magánszférában áll alkalmazásban, olyan felszereléssel és képzettséggel rendelkezzen, ami biztosítja feladatai hatékony és megfelelő módon történő elvégzését.</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7</w:t>
      </w:r>
      <w:r w:rsidRPr="008C05BA">
        <w:rPr>
          <w:rFonts w:ascii="Times New Roman" w:hAnsi="Times New Roman" w:cs="Times New Roman"/>
          <w:color w:val="161616"/>
          <w:sz w:val="24"/>
          <w:szCs w:val="24"/>
        </w:rPr>
        <w:tab/>
        <w:t>A felek arra ösztönzik illetékes szervezeteiket, hogy hangsúlyozzák annak szükségességét, hogy a játékosok, az edzők és a részt vevő csapatok más képviselői tartsák tiszteletben a sportra vonatkozó alapvető elveket, így a tolerancia, a tisztelet és a tisztességes játék elvét, és ismerjék el, hogy az erőszakos, rasszista vagy egyéb provokatív magatartás kedvezőtlenül befolyásolhatja a nézők viselkedését.</w:t>
      </w:r>
    </w:p>
    <w:p w:rsidR="008C05BA" w:rsidRPr="008C05BA" w:rsidRDefault="008C05BA" w:rsidP="008C05BA">
      <w:pPr>
        <w:spacing w:after="0" w:line="240" w:lineRule="auto"/>
        <w:rPr>
          <w:rFonts w:ascii="Times New Roman" w:eastAsia="Times New Roman" w:hAnsi="Times New Roman" w:cs="Times New Roman"/>
          <w:sz w:val="24"/>
          <w:szCs w:val="24"/>
          <w:lang w:eastAsia="hu-HU"/>
        </w:rPr>
      </w:pP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6. cikk – Biztonság, biztosítás és szolgáltatásnyújtás nyilvános helyeken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1</w:t>
      </w:r>
      <w:r w:rsidRPr="008C05BA">
        <w:rPr>
          <w:rFonts w:ascii="Times New Roman" w:hAnsi="Times New Roman" w:cs="Times New Roman"/>
          <w:color w:val="161616"/>
          <w:sz w:val="24"/>
          <w:szCs w:val="24"/>
        </w:rPr>
        <w:tab/>
        <w:t>A felek arra ösztönöznek minden, a labdarúgó-mérkőzések és egyéb sportrendezvények nyilvános helyen történő megszervezésében résztvevő szervezetet és érdekelt felet, ideértve a települési önkormányzatokat, a rendőrséget, a helyi közösségeket és vállalkozásokat, a szurkolói képviseleteket, a labdarúgó-sportszervezeteket és nemzeti szövetségeket, hogy együttműködjenek egymással, különösen a következők tekintetében:</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a</w:t>
      </w:r>
      <w:r w:rsidRPr="008C05BA">
        <w:rPr>
          <w:rFonts w:ascii="Times New Roman" w:hAnsi="Times New Roman" w:cs="Times New Roman"/>
          <w:color w:val="161616"/>
          <w:sz w:val="24"/>
          <w:szCs w:val="24"/>
        </w:rPr>
        <w:tab/>
        <w:t>kockázatértékelés és megfelelő megelőző intézkedések kidolgozása, amelyek célja a zavarok minimálisra csökkentése, valamint a helyi közösségek és vállalkozások, így különösen a rendezvény helyszíne vagy a nyilvános közvetítési helyszínek közelében elhelyezkedők megnyugtatása;</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b</w:t>
      </w:r>
      <w:r w:rsidRPr="008C05BA">
        <w:rPr>
          <w:rFonts w:ascii="Times New Roman" w:hAnsi="Times New Roman" w:cs="Times New Roman"/>
          <w:color w:val="161616"/>
          <w:sz w:val="24"/>
          <w:szCs w:val="24"/>
        </w:rPr>
        <w:tab/>
        <w:t>biztonságos, védett és barátságos környezet kialakítása a szurkolók számára a rendezvény előtt vagy után gyülekezés céljára kijelölt nyilvános helyeken, vagy olyan helyeken, ahol a szurkolók várhatóan megjelennek saját akaratukból, valamint a városba, illetve a stadionhoz vezető vagy onnan elvezető tranzit útvonalakon.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2</w:t>
      </w:r>
      <w:r w:rsidRPr="008C05BA">
        <w:rPr>
          <w:rFonts w:ascii="Times New Roman" w:hAnsi="Times New Roman" w:cs="Times New Roman"/>
          <w:color w:val="161616"/>
          <w:sz w:val="24"/>
          <w:szCs w:val="24"/>
        </w:rPr>
        <w:tab/>
        <w:t>A felek biztosítják, hogy a kockázatértékelés, valamint a biztonsági és biztosítási intézkedések kidolgozása során figyelembe vegyék a stadionhoz és az onnan való elutazást.</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7. cikk – Készenléti és vészhelyzeti tervezés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A felek biztosítják több szervezetet érintő készenléti és vészhelyzeti tervek kidolgozását, valamint ezeknek a terveknek a rendszeres, közös gyakorlatok alkalmával történő kipróbálását és további finomítását. A nemzeti jogi, szabályozási vagy igazgatási kereteknek egyértelművé kell tenniük, hogy melyik szervezet felelős a gyakorlatok kezdeményezéséért, felügyeletéért és tanúsításáért.</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8. cikk – Szurkolókkal és helyi közösségekkel való együttműködés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1</w:t>
      </w:r>
      <w:r w:rsidRPr="008C05BA">
        <w:rPr>
          <w:rFonts w:ascii="Times New Roman" w:hAnsi="Times New Roman" w:cs="Times New Roman"/>
          <w:color w:val="161616"/>
          <w:sz w:val="24"/>
          <w:szCs w:val="24"/>
        </w:rPr>
        <w:tab/>
        <w:t>A felek ösztönöznek minden szervezetet a legfontosabb érdekelt felekkel, így a szurkolók képviselőivel és a helyi közösségekkel való proaktív és rendszeres kommunikációt támogató politika kidolgozására és folytatására, ami a párbeszéd elvén alapul, és célja a partnerségi szellem és pozitív együttműködés kialakítása, valamint az esetleges problémák megoldásának azonosítása.</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2</w:t>
      </w:r>
      <w:r w:rsidRPr="008C05BA">
        <w:rPr>
          <w:rFonts w:ascii="Times New Roman" w:hAnsi="Times New Roman" w:cs="Times New Roman"/>
          <w:color w:val="161616"/>
          <w:sz w:val="24"/>
          <w:szCs w:val="24"/>
        </w:rPr>
        <w:tab/>
        <w:t>A felek arra ösztönöznek minden állami- és magánszervezetet és egyéb érdekelt felet, ideértve a helyi közösségeket és a szurkolók képviselőit, hogy kezdeményezzenek több szervezetet érintő társadalmi, oktatási, bűnmegelőzési és egyéb közösségi programokat, és vegyenek részt azokban, amelyek célja a kölcsönös tisztelet és megértés előmozdítása különösen a szurkolók, sportszervezetek és szövetségek, valamint a biztonságért és biztosításért felelős szervezetek körében.</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9. cikk – Rendőrségi stratégiák és műveletek</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1</w:t>
      </w:r>
      <w:r w:rsidRPr="008C05BA">
        <w:rPr>
          <w:rFonts w:ascii="Times New Roman" w:hAnsi="Times New Roman" w:cs="Times New Roman"/>
          <w:color w:val="161616"/>
          <w:sz w:val="24"/>
          <w:szCs w:val="24"/>
        </w:rPr>
        <w:tab/>
        <w:t>A felek biztosítják rendőrségi stratégiák kidolgozását, rendszeres értékelését és további finomítását a nemzeti és nemzetközi tapasztalatok és bevált gyakorlatok figyelembevételével, valamint biztosítják, hogy ezek a stratégiák összhangban álljanak a biztonsághoz, biztosításhoz és a szolgáltatásnyújtáshoz kapcsolódó tágabb, integrált megközelítéssel.</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2</w:t>
      </w:r>
      <w:r w:rsidRPr="008C05BA">
        <w:rPr>
          <w:rFonts w:ascii="Times New Roman" w:hAnsi="Times New Roman" w:cs="Times New Roman"/>
          <w:color w:val="161616"/>
          <w:sz w:val="24"/>
          <w:szCs w:val="24"/>
        </w:rPr>
        <w:tab/>
        <w:t>A felek gondoskodnak arról, hogy a rendőrségi stratégiák vegyék figyelembe a bevált gyakorlatokat, ideértve különösen a következőket: hírszerzési tevékenység, folyamatos kockázatértékelés, kockázatalapú bevetés, arányos beavatkozás a kockázat vagy rendzavarás fokozódásának megakadályozása érdekében, hatékony párbeszéd a szurkolókkal és a tágabb közösséggel, bűncselekményre vonatkozó információk gyűjtése, valamint az ilyen bizonyítékok megosztása a bűnüldöző hatóságokkal.</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3</w:t>
      </w:r>
      <w:r w:rsidRPr="008C05BA">
        <w:rPr>
          <w:rFonts w:ascii="Times New Roman" w:hAnsi="Times New Roman" w:cs="Times New Roman"/>
          <w:color w:val="161616"/>
          <w:sz w:val="24"/>
          <w:szCs w:val="24"/>
        </w:rPr>
        <w:tab/>
        <w:t>A felek biztosítják, hogy a rendőrség partnerként együttműködjön a szervezőkkel, a szurkolókkal, a helyi közösségekkel és egyéb érdekelt felekkel annak érdekében, hogy a labdarúgó-mérkőzéseket és egyéb sportrendezvényeket biztonságossá, védetté és kellemessé tegyék minden érintett számára.</w:t>
      </w:r>
    </w:p>
    <w:p w:rsidR="008C05BA" w:rsidRPr="008C05BA" w:rsidRDefault="008C05BA" w:rsidP="008C05BA">
      <w:pPr>
        <w:spacing w:after="0" w:line="240" w:lineRule="auto"/>
        <w:rPr>
          <w:rFonts w:ascii="Times New Roman" w:eastAsia="Times New Roman" w:hAnsi="Times New Roman" w:cs="Times New Roman"/>
          <w:sz w:val="24"/>
          <w:szCs w:val="24"/>
          <w:lang w:eastAsia="hu-HU"/>
        </w:rPr>
      </w:pP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10. cikk – Tiltott magatartás megelőzése és szankcionálása</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1</w:t>
      </w:r>
      <w:r w:rsidRPr="008C05BA">
        <w:rPr>
          <w:rFonts w:ascii="Times New Roman" w:hAnsi="Times New Roman" w:cs="Times New Roman"/>
          <w:color w:val="161616"/>
          <w:sz w:val="24"/>
          <w:szCs w:val="24"/>
        </w:rPr>
        <w:tab/>
        <w:t>A felek minden lehetséges intézkedést megtesznek annak érdekében, hogy csökkentsék annak a kockázatát, hogy az egyének vagy csoportok részt vegyenek erőszakos vagy rendzavaró cselekményekben, illetve ilyen cselekményeket szervezzenek.</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2</w:t>
      </w:r>
      <w:r w:rsidRPr="008C05BA">
        <w:rPr>
          <w:rFonts w:ascii="Times New Roman" w:hAnsi="Times New Roman" w:cs="Times New Roman"/>
          <w:color w:val="161616"/>
          <w:sz w:val="24"/>
          <w:szCs w:val="24"/>
        </w:rPr>
        <w:tab/>
        <w:t>A felek a hazai és nemzetközi jogszabályokkal összhangban biztosítják a hatékony, a kockázat jellegéhez és helyéhez illeszkedő távoltartási intézkedések bevezetését az erőszakos vagy rendzavaró cselekmények megakadályozása és megelőzése érdekében.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3</w:t>
      </w:r>
      <w:r w:rsidRPr="008C05BA">
        <w:rPr>
          <w:rFonts w:ascii="Times New Roman" w:hAnsi="Times New Roman" w:cs="Times New Roman"/>
          <w:color w:val="161616"/>
          <w:sz w:val="24"/>
          <w:szCs w:val="24"/>
        </w:rPr>
        <w:tab/>
        <w:t>A felek a hazai és nemzetközi jogszabályokkal összhangban együttműködnek egymással annak biztosítása érdekében, hogy azok az egyének, akik jogsértést követnek el külföldön, megfelelő büntetésben részesüljenek abban az országban, ahol azt elkövették, vagy a lakóhelyük vagy állampolgárságuk szerinti országban.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4</w:t>
      </w:r>
      <w:r w:rsidRPr="008C05BA">
        <w:rPr>
          <w:rFonts w:ascii="Times New Roman" w:hAnsi="Times New Roman" w:cs="Times New Roman"/>
          <w:color w:val="161616"/>
          <w:sz w:val="24"/>
          <w:szCs w:val="24"/>
        </w:rPr>
        <w:tab/>
        <w:t>Szükség esetén a hazai és nemzetközi jogszabályokkal összhangban a felek mérlegelik annak lehetőségét, hogy felhatalmazzák a labdarúgással kapcsolatos erőszakos, illetve rendzavaró cselekményeket okozó vagy az ilyen cselekményekben résztvevő egyének szankcionálásáért felelős igazságügyi vagy közigazgatási hatóságokat arra, hogy korlátozásokat rendeljenek el más országban megrendezett labdarúgó-eseményekre történő utazásra vonatkozóan.</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11. cikk – Nemzetközi együttműködés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1</w:t>
      </w:r>
      <w:r w:rsidRPr="008C05BA">
        <w:rPr>
          <w:rFonts w:ascii="Times New Roman" w:hAnsi="Times New Roman" w:cs="Times New Roman"/>
          <w:color w:val="161616"/>
          <w:sz w:val="24"/>
          <w:szCs w:val="24"/>
        </w:rPr>
        <w:tab/>
        <w:t>A felek szorosan együttműködnek egymással valamennyi, ezen egyezmény hatálya alá tartozó kérdés és kapcsolódó ügy tekintetében a nemzetközi eseményekkel, a tapasztalatok megosztásával és a bevált gyakorlatok kidolgozásában való részvétellel kapcsolatos lehető legnagyobb összefogás elérése érdekében.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2</w:t>
      </w:r>
      <w:r w:rsidRPr="008C05BA">
        <w:rPr>
          <w:rFonts w:ascii="Times New Roman" w:hAnsi="Times New Roman" w:cs="Times New Roman"/>
          <w:color w:val="161616"/>
          <w:sz w:val="24"/>
          <w:szCs w:val="24"/>
        </w:rPr>
        <w:tab/>
        <w:t>A felek a meglévő nemzeti rendelkezések, így többek között a hatáskörök különböző szolgálatok és hatóságok közötti megosztásának sérelme nélkül nemzeti futballinformációs pontot (NFIP) hoznak létre vagy jelölnek ki a rendőri szerven belül. Az NFIP:</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a</w:t>
      </w:r>
      <w:r w:rsidRPr="008C05BA">
        <w:rPr>
          <w:rFonts w:ascii="Times New Roman" w:hAnsi="Times New Roman" w:cs="Times New Roman"/>
          <w:color w:val="161616"/>
          <w:sz w:val="24"/>
          <w:szCs w:val="24"/>
        </w:rPr>
        <w:tab/>
        <w:t>közvetlen és egyedüli kapcsolattartó pontként elősegíti a nemzetközi vonatkozású labdarúgó-mérkőzésekkel kapcsolatos általános (stratégiai, műveleti és taktikai) információk megosztását;</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b</w:t>
      </w:r>
      <w:r w:rsidRPr="008C05BA">
        <w:rPr>
          <w:rFonts w:ascii="Times New Roman" w:hAnsi="Times New Roman" w:cs="Times New Roman"/>
          <w:color w:val="161616"/>
          <w:sz w:val="24"/>
          <w:szCs w:val="24"/>
        </w:rPr>
        <w:tab/>
        <w:t>személyes adatokat cserél a vonatkozó hazai és nemzetközi szabályokkal összhangban;</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c</w:t>
      </w:r>
      <w:r w:rsidRPr="008C05BA">
        <w:rPr>
          <w:rFonts w:ascii="Times New Roman" w:hAnsi="Times New Roman" w:cs="Times New Roman"/>
          <w:color w:val="161616"/>
          <w:sz w:val="24"/>
          <w:szCs w:val="24"/>
        </w:rPr>
        <w:tab/>
        <w:t>elősegíti, összehangolja vagy megszervezi a nemzetközi vonatkozású labdarúgó-mérkőzésekkel kapcsolatos nemzetközi rendőrségi együttműködés megvalósítását;</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d</w:t>
      </w:r>
      <w:r w:rsidRPr="008C05BA">
        <w:rPr>
          <w:rFonts w:ascii="Times New Roman" w:hAnsi="Times New Roman" w:cs="Times New Roman"/>
          <w:color w:val="161616"/>
          <w:sz w:val="24"/>
          <w:szCs w:val="24"/>
        </w:rPr>
        <w:tab/>
        <w:t>képes a rábízott feladatok eredményes és gyors ellátására.</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3</w:t>
      </w:r>
      <w:r w:rsidRPr="008C05BA">
        <w:rPr>
          <w:rFonts w:ascii="Times New Roman" w:hAnsi="Times New Roman" w:cs="Times New Roman"/>
          <w:color w:val="161616"/>
          <w:sz w:val="24"/>
          <w:szCs w:val="24"/>
        </w:rPr>
        <w:tab/>
        <w:t>A felek gondoskodnak továbbá arról, hogy az NFIP nemzeti szakértői bázist biztosítson a labdarúgással kapcsolatos rendfenntartási műveletek, a szurkolói dinamika, valamint a kapcsolódó biztonsági és biztosítási kockázatok vonatkozásában.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4</w:t>
      </w:r>
      <w:r w:rsidRPr="008C05BA">
        <w:rPr>
          <w:rFonts w:ascii="Times New Roman" w:hAnsi="Times New Roman" w:cs="Times New Roman"/>
          <w:color w:val="161616"/>
          <w:sz w:val="24"/>
          <w:szCs w:val="24"/>
        </w:rPr>
        <w:tab/>
        <w:t>Valamennyi részes állam írásban közli az ezen egyezménnyel létrehozott, Sportrendezvények Biztonságával és Biztosításával Foglalkozó Bizottsággal saját NFIP-je nevét és kapcsolattartási adatait, valamint az azokban a későbbiekben bekövetkező bármilyen változást.</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5</w:t>
      </w:r>
      <w:r w:rsidRPr="008C05BA">
        <w:rPr>
          <w:rFonts w:ascii="Times New Roman" w:hAnsi="Times New Roman" w:cs="Times New Roman"/>
          <w:color w:val="161616"/>
          <w:sz w:val="24"/>
          <w:szCs w:val="24"/>
        </w:rPr>
        <w:tab/>
        <w:t>A felek nemzetközi szinten együttműködnek egymással a megelőző, oktatási és tájékoztatási programokkal kapcsolatos bevált gyakorlatok és információk megosztása tekintetében, valamint annak érdekében, hogy partnerséget építsenek ki a nemzeti és helyi kezdeményezések megvalósításában résztvevő, a helyi közösségre és a szurkolókra összpontosító, illetve általuk irányított valamennyi szervezettel.</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sz w:val="24"/>
          <w:szCs w:val="24"/>
          <w:lang w:eastAsia="hu-HU"/>
        </w:rPr>
      </w:pP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Eljárási rendelkezések</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12. cikk – Információszolgáltatás</w:t>
      </w:r>
    </w:p>
    <w:p w:rsidR="008C05BA" w:rsidRPr="008C05BA" w:rsidRDefault="008C05BA" w:rsidP="008C05BA">
      <w:pPr>
        <w:shd w:val="clear" w:color="auto" w:fill="FFFFFF"/>
        <w:spacing w:after="150" w:line="240" w:lineRule="auto"/>
        <w:ind w:left="709" w:hanging="1"/>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Mindegyik fél az Európa Tanács egyik hivatalos nyelvén továbbítja a Sportrendezvények Biztonságával és Biztosításával Foglalkozó Bizottságnak a jogalkotási és egyéb, az ezen egyezmény feltételeinek való megfelelés érdekében hozott intézkedésekkel kapcsolatos releváns információkat, akár a labdarúgás, akár egyéb sportág vonatkozásában.</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13. cikk – A Sportrendezvények Biztonságával és Biztosításával Foglalkozó Bizottság</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1</w:t>
      </w:r>
      <w:r w:rsidRPr="008C05BA">
        <w:rPr>
          <w:rFonts w:ascii="Times New Roman" w:hAnsi="Times New Roman" w:cs="Times New Roman"/>
          <w:color w:val="161616"/>
          <w:sz w:val="24"/>
          <w:szCs w:val="24"/>
        </w:rPr>
        <w:tab/>
        <w:t>Az ezen egyezményben foglaltak céljából megalakul a Sportrendezvények Biztonságával és Biztosításával Foglalkozó Bizottság.</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2</w:t>
      </w:r>
      <w:r w:rsidRPr="008C05BA">
        <w:rPr>
          <w:rFonts w:ascii="Times New Roman" w:hAnsi="Times New Roman" w:cs="Times New Roman"/>
          <w:color w:val="161616"/>
          <w:sz w:val="24"/>
          <w:szCs w:val="24"/>
        </w:rPr>
        <w:tab/>
        <w:t>Bármely, ezen egyezményben részes fél képviseltetheti magát a bizottságban egy vagy több küldöttel, lehetőleg a sportrendezvények védelméért és biztonságáért felelős vezető kormányzati szervezetek, valamint az NFIP képviseletében. Az ezen egyezményben részes felek mindegyike egy szavazattal rendelkezik.</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3</w:t>
      </w:r>
      <w:r w:rsidRPr="008C05BA">
        <w:rPr>
          <w:rFonts w:ascii="Times New Roman" w:hAnsi="Times New Roman" w:cs="Times New Roman"/>
          <w:color w:val="161616"/>
          <w:sz w:val="24"/>
          <w:szCs w:val="24"/>
        </w:rPr>
        <w:tab/>
        <w:t>Az Európa Tanács bármely tagállama vagy más, az Európai Kulturális Egyezményben részes állam, amelyik nem részese ezen egyezménynek, valamint bármely nem tagállam, amely részese a 120. számú egyezménynek, megfigyelőként képviseltetheti magát a bizottságban.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4</w:t>
      </w:r>
      <w:r w:rsidRPr="008C05BA">
        <w:rPr>
          <w:rFonts w:ascii="Times New Roman" w:hAnsi="Times New Roman" w:cs="Times New Roman"/>
          <w:color w:val="161616"/>
          <w:sz w:val="24"/>
          <w:szCs w:val="24"/>
        </w:rPr>
        <w:tab/>
        <w:t>A bizottság egyhangú döntéssel felkérhet bármely külső államot, amely nem tagállama az Európa Tanácsnak és nem részese ezen egyezménynek vagy a 120. számú egyezménynek, és bármely szervezetet, amely szeretné képviseltetni magát, hogy megfigyelőként vegyen részt a bizottság egy vagy több ülésén.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5</w:t>
      </w:r>
      <w:r w:rsidRPr="008C05BA">
        <w:rPr>
          <w:rFonts w:ascii="Times New Roman" w:hAnsi="Times New Roman" w:cs="Times New Roman"/>
          <w:color w:val="161616"/>
          <w:sz w:val="24"/>
          <w:szCs w:val="24"/>
        </w:rPr>
        <w:tab/>
        <w:t>A bizottságot az Európa Tanács főtitkára hívja össze. A bizottság első ülését azt a napot követő egy éven belül kell megtartani, amelyen az Európa Tanács tíz tagállama kifejezi, hogy az egyezményt magára nézve kötelező erejűnek ismeri el. Az első ülést követően a bizottság évente legalább egyszer ülésezik. Ezenfelül a bizottság mindig összeül, ha azt a felek többsége kéri.</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6</w:t>
      </w:r>
      <w:r w:rsidRPr="008C05BA">
        <w:rPr>
          <w:rFonts w:ascii="Times New Roman" w:hAnsi="Times New Roman" w:cs="Times New Roman"/>
          <w:color w:val="161616"/>
          <w:sz w:val="24"/>
          <w:szCs w:val="24"/>
        </w:rPr>
        <w:tab/>
        <w:t>A felek többségének a jelenléte szükséges a bizottság ülésének megtartásához.</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7</w:t>
      </w:r>
      <w:r w:rsidRPr="008C05BA">
        <w:rPr>
          <w:rFonts w:ascii="Times New Roman" w:hAnsi="Times New Roman" w:cs="Times New Roman"/>
          <w:color w:val="161616"/>
          <w:sz w:val="24"/>
          <w:szCs w:val="24"/>
        </w:rPr>
        <w:tab/>
        <w:t>Ezen egyezmény rendelkezéseire figyelemmel a bizottság kidolgozza és egyetértéssel elfogadja saját eljárási szabályzatát.</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14. cikk – A Sportrendezvények Biztonságával és Biztosításával Foglalkozó Bizottság feladatai</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1</w:t>
      </w:r>
      <w:r w:rsidRPr="008C05BA">
        <w:rPr>
          <w:rFonts w:ascii="Times New Roman" w:hAnsi="Times New Roman" w:cs="Times New Roman"/>
          <w:color w:val="161616"/>
          <w:sz w:val="24"/>
          <w:szCs w:val="24"/>
        </w:rPr>
        <w:tab/>
        <w:t>A bizottság felel ezen egyezmény alkalmazásának ellenőrzéséért. Ezen belül megteheti a következőket:</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a</w:t>
      </w:r>
      <w:r w:rsidRPr="008C05BA">
        <w:rPr>
          <w:rFonts w:ascii="Times New Roman" w:hAnsi="Times New Roman" w:cs="Times New Roman"/>
          <w:color w:val="161616"/>
          <w:sz w:val="24"/>
          <w:szCs w:val="24"/>
        </w:rPr>
        <w:tab/>
        <w:t>figyelemmel kíséri ezen egyezmény rendelkezéseit és megvizsgál minden szükséges módosítást;</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b</w:t>
      </w:r>
      <w:r w:rsidRPr="008C05BA">
        <w:rPr>
          <w:rFonts w:ascii="Times New Roman" w:hAnsi="Times New Roman" w:cs="Times New Roman"/>
          <w:color w:val="161616"/>
          <w:sz w:val="24"/>
          <w:szCs w:val="24"/>
        </w:rPr>
        <w:tab/>
        <w:t>konzultációkat folytat, szükség esetén pedig információkat cserél az érintett szervezetekkel;</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c</w:t>
      </w:r>
      <w:r w:rsidRPr="008C05BA">
        <w:rPr>
          <w:rFonts w:ascii="Times New Roman" w:hAnsi="Times New Roman" w:cs="Times New Roman"/>
          <w:color w:val="161616"/>
          <w:sz w:val="24"/>
          <w:szCs w:val="24"/>
        </w:rPr>
        <w:tab/>
        <w:t>ajánlásokat fogalmaz meg az ezen egyezményben részes felek számára az egyezmény végrehajtása érdekében szükséges intézkedésekre vonatkozóan;</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d</w:t>
      </w:r>
      <w:r w:rsidRPr="008C05BA">
        <w:rPr>
          <w:rFonts w:ascii="Times New Roman" w:hAnsi="Times New Roman" w:cs="Times New Roman"/>
          <w:color w:val="161616"/>
          <w:sz w:val="24"/>
          <w:szCs w:val="24"/>
        </w:rPr>
        <w:tab/>
        <w:t>ajánlásokat fogalmaz meg a nyilvánosságnak az ezen egyezmény keretében vállalt tevékenységekről történő tájékoztatását szolgáló megfelelő intézkedésekre vonatkozóan;</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e</w:t>
      </w:r>
      <w:r w:rsidRPr="008C05BA">
        <w:rPr>
          <w:rFonts w:ascii="Times New Roman" w:hAnsi="Times New Roman" w:cs="Times New Roman"/>
          <w:color w:val="161616"/>
          <w:sz w:val="24"/>
          <w:szCs w:val="24"/>
        </w:rPr>
        <w:tab/>
        <w:t>ajánlásokat fogalmaz meg a Miniszteri Bizottság számára arra vonatkozóan, hogy felkérjen az ezen egyezményhez való csatlakozásra olyan államokat, amelyek nem tagjai az Európa Tanácsnak;</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f</w:t>
      </w:r>
      <w:r w:rsidRPr="008C05BA">
        <w:rPr>
          <w:rFonts w:ascii="Times New Roman" w:hAnsi="Times New Roman" w:cs="Times New Roman"/>
          <w:color w:val="161616"/>
          <w:sz w:val="24"/>
          <w:szCs w:val="24"/>
        </w:rPr>
        <w:tab/>
        <w:t>javaslatokat tesz ezen egyezmény hatékonyságának növelése érdekében;</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g</w:t>
      </w:r>
      <w:r w:rsidRPr="008C05BA">
        <w:rPr>
          <w:rFonts w:ascii="Times New Roman" w:hAnsi="Times New Roman" w:cs="Times New Roman"/>
          <w:color w:val="161616"/>
          <w:sz w:val="24"/>
          <w:szCs w:val="24"/>
        </w:rPr>
        <w:tab/>
        <w:t>elősegíti az információk, tapasztalatok és bevált gyakorlatok gyűjtését, elemzését és cseréjét az államok között.</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2</w:t>
      </w:r>
      <w:r w:rsidRPr="008C05BA">
        <w:rPr>
          <w:rFonts w:ascii="Times New Roman" w:hAnsi="Times New Roman" w:cs="Times New Roman"/>
          <w:color w:val="161616"/>
          <w:sz w:val="24"/>
          <w:szCs w:val="24"/>
        </w:rPr>
        <w:tab/>
        <w:t>Az érintett felek előzetes hozzájárulásával a bizottság ellenőrzi az ezen egyezménynek való megfelelést a részes államokban tett látogatásokat magában foglaló program során annak érdekében, hogy tanácsot adjon és támogatást nyújtson ezen egyezmény végrehajtásával kapcsolatban.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3</w:t>
      </w:r>
      <w:r w:rsidRPr="008C05BA">
        <w:rPr>
          <w:rFonts w:ascii="Times New Roman" w:hAnsi="Times New Roman" w:cs="Times New Roman"/>
          <w:color w:val="161616"/>
          <w:sz w:val="24"/>
          <w:szCs w:val="24"/>
        </w:rPr>
        <w:tab/>
        <w:t>A bizottság továbbá összegyűjti a részes államok által a 12. cikk szerint szolgáltatott információkat, és a megfelelő adatokat továbbítja az egyezményben részes valamennyi államnak. Lehetősége van többek között arra, hogy minden részes államot tájékoztasson az új NFIP kijelöléséről, és továbbítsa annak kapcsolattartási adatait.</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4</w:t>
      </w:r>
      <w:r w:rsidRPr="008C05BA">
        <w:rPr>
          <w:rFonts w:ascii="Times New Roman" w:hAnsi="Times New Roman" w:cs="Times New Roman"/>
          <w:color w:val="161616"/>
          <w:sz w:val="24"/>
          <w:szCs w:val="24"/>
        </w:rPr>
        <w:tab/>
        <w:t>A bizottság feladatai ellátásai érdekében saját kezdeményezésére szakértői üléseket szervezhet.</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15. cikk – Módosítások</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1</w:t>
      </w:r>
      <w:r w:rsidRPr="008C05BA">
        <w:rPr>
          <w:rFonts w:ascii="Times New Roman" w:hAnsi="Times New Roman" w:cs="Times New Roman"/>
          <w:color w:val="161616"/>
          <w:sz w:val="24"/>
          <w:szCs w:val="24"/>
        </w:rPr>
        <w:tab/>
        <w:t>Bármely fél, a Sportrendezvények Biztonságával és Biztosításával Foglalkozó Bizottság, valamint az Európa Tanács Miniszteri Bizottsága javaslatot tehet ezen egyezmény módosítására.</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2</w:t>
      </w:r>
      <w:r w:rsidRPr="008C05BA">
        <w:rPr>
          <w:rFonts w:ascii="Times New Roman" w:hAnsi="Times New Roman" w:cs="Times New Roman"/>
          <w:color w:val="161616"/>
          <w:sz w:val="24"/>
          <w:szCs w:val="24"/>
        </w:rPr>
        <w:tab/>
        <w:t>A módosítási javaslatokat az Európa Tanács főtitkára közli az Európa Tanács tagállamaival, az Európai Kulturális Egyezményben részes más államokkal, a 120. számú egyezményhez az ezen egyezmény aláírásra való megnyitásának dátumát megelőzően csatlakozó külső államokkal, amelyek nem az Európa Tanács tagállamai, valamint minden külső állammal, amely már csatlakozott ehhez az egyezményhez, illetve amelyet felkértek az ezen egyezményhez való csatlakozásra a 18. cikk rendelkezései szerint.</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3</w:t>
      </w:r>
      <w:r w:rsidRPr="008C05BA">
        <w:rPr>
          <w:rFonts w:ascii="Times New Roman" w:hAnsi="Times New Roman" w:cs="Times New Roman"/>
          <w:color w:val="161616"/>
          <w:sz w:val="24"/>
          <w:szCs w:val="24"/>
        </w:rPr>
        <w:tab/>
        <w:t>Bármely, a felek vagy a Miniszteri Bizottság által javasolt módosításról értesíteni kell a bizottságot legalább két hónappal azt az ülést megelőzően, amelyen a módosítást tárgyalni kívánják. A bizottság a Miniszteri Bizottság elé terjeszti a javasolt módosítással kapcsolatos véleményét.</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4</w:t>
      </w:r>
      <w:r w:rsidRPr="008C05BA">
        <w:rPr>
          <w:rFonts w:ascii="Times New Roman" w:hAnsi="Times New Roman" w:cs="Times New Roman"/>
          <w:color w:val="161616"/>
          <w:sz w:val="24"/>
          <w:szCs w:val="24"/>
        </w:rPr>
        <w:tab/>
        <w:t>A Miniszteri Bizottság a javasolt módosítást és a bizottság által előterjesztett véleményt megfontolja, és az Európa Tanács Alapszabálya 20. cikkének d) pontjában meghatározott többségi döntéssel elfogadhatja a módosítást.</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5</w:t>
      </w:r>
      <w:r w:rsidRPr="008C05BA">
        <w:rPr>
          <w:rFonts w:ascii="Times New Roman" w:hAnsi="Times New Roman" w:cs="Times New Roman"/>
          <w:color w:val="161616"/>
          <w:sz w:val="24"/>
          <w:szCs w:val="24"/>
        </w:rPr>
        <w:tab/>
        <w:t>Az e cikk 4. bekezdése értelmében a Miniszteri Bizottság által elfogadott módosítás szövegét meg kell küldeni a feleknek saját belső eljárásaik keretében történő elfogadás céljából.</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6</w:t>
      </w:r>
      <w:r w:rsidRPr="008C05BA">
        <w:rPr>
          <w:rFonts w:ascii="Times New Roman" w:hAnsi="Times New Roman" w:cs="Times New Roman"/>
          <w:color w:val="161616"/>
          <w:sz w:val="24"/>
          <w:szCs w:val="24"/>
        </w:rPr>
        <w:tab/>
        <w:t>Az e cikk 4. bekezdése értelmében elfogadott módosítás az azt az időpontot követő egy hónapos időszak lejárta utáni hónap első napján lép hatályba, amikor valamennyi fél értesítette a főtitkárt a módosítás elfogadásáról.</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Záró rendelkezések</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16. cikk – Aláírás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1</w:t>
      </w:r>
      <w:r w:rsidRPr="008C05BA">
        <w:rPr>
          <w:rFonts w:ascii="Times New Roman" w:hAnsi="Times New Roman" w:cs="Times New Roman"/>
          <w:color w:val="161616"/>
          <w:sz w:val="24"/>
          <w:szCs w:val="24"/>
        </w:rPr>
        <w:tab/>
        <w:t>Ezen egyezmény aláírásra nyitva áll az Európa Tanács tagállamai, az Európai Kulturális Egyezményben részes államok, valamint bármely, az Európa Tanács tagállamain kívüli állam számára, amely az ezen egyezmény aláírásra való megnyitásának dátumát megelőzően csatlakozott az aláírásra Strasbourgban 1985. augusztus 19-én megnyitott, a sporteseményeken, különösen a labdarúgó mérkőzéseken megnyilvánuló nézői erőszakról és nem megfelelő viselkedésről szóló európai egyezményhez (120. számú ETS).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2</w:t>
      </w:r>
      <w:r w:rsidRPr="008C05BA">
        <w:rPr>
          <w:rFonts w:ascii="Times New Roman" w:hAnsi="Times New Roman" w:cs="Times New Roman"/>
          <w:color w:val="161616"/>
          <w:sz w:val="24"/>
          <w:szCs w:val="24"/>
        </w:rPr>
        <w:tab/>
        <w:t>Ezen egyezmény megerősítéshez, elfogadáshoz vagy jóváhagyáshoz kötött. A megerősítő, elfogadó vagy jóváhagyó okiratokat az Európa Tanács főtitkáránál helyezik letétbe.</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3</w:t>
      </w:r>
      <w:r w:rsidRPr="008C05BA">
        <w:rPr>
          <w:rFonts w:ascii="Times New Roman" w:hAnsi="Times New Roman" w:cs="Times New Roman"/>
          <w:color w:val="161616"/>
          <w:sz w:val="24"/>
          <w:szCs w:val="24"/>
        </w:rPr>
        <w:tab/>
        <w:t>A 120. számú egyezményben részes államok csak akkor helyezhetik letétbe megerősítő, elfogadó vagy jóváhagyó okirataikat, ha már felmondták vagy a letétbe helyezéssel egyidejűleg felmondják az említett egyezményt.</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4</w:t>
      </w:r>
      <w:r w:rsidRPr="008C05BA">
        <w:rPr>
          <w:rFonts w:ascii="Times New Roman" w:hAnsi="Times New Roman" w:cs="Times New Roman"/>
          <w:color w:val="161616"/>
          <w:sz w:val="24"/>
          <w:szCs w:val="24"/>
        </w:rPr>
        <w:tab/>
        <w:t>Megerősítő, elfogadó vagy jóváhagyó okiratai letétbe helyezésekor a szerződő állam nyilatkozhat arról, hogy továbbra is alkalmazza a 120. számú egyezményt, amíg ezen egyezmény hatályba lép a 17. cikk 1. pontjában foglalt rendelkezések szerint.</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17. cikk – Hatálybalépés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1</w:t>
      </w:r>
      <w:r w:rsidRPr="008C05BA">
        <w:rPr>
          <w:rFonts w:ascii="Times New Roman" w:hAnsi="Times New Roman" w:cs="Times New Roman"/>
          <w:color w:val="161616"/>
          <w:sz w:val="24"/>
          <w:szCs w:val="24"/>
        </w:rPr>
        <w:tab/>
        <w:t>Ezen egyezmény az azt az időpontot követő egy hónapos időszak lejárta utáni hónap első napján lép hatályba, amikor az Európa Tanács három tagállama magára nézve kötelező erejűnek ismerte el az egyezményt a 16. cikk rendelkezéseinek megfelelően.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2</w:t>
      </w:r>
      <w:r w:rsidRPr="008C05BA">
        <w:rPr>
          <w:rFonts w:ascii="Times New Roman" w:hAnsi="Times New Roman" w:cs="Times New Roman"/>
          <w:color w:val="161616"/>
          <w:sz w:val="24"/>
          <w:szCs w:val="24"/>
        </w:rPr>
        <w:tab/>
        <w:t>Bármely olyan aláíró állam vonatkozásában, amely csatlakozási szándékát ezt követően fejezi ki, az egyezmény az azt az időpontot követő egy hónapos időszak lejárta utáni hónap első napján lép hatályba, amikor a megerősítési, elfogadási vagy jóváhagyási okirat letétbe helyezése megtörtént.</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18. cikk – Azoknak az államoknak a csatlakozása, amelyek nem tagjai az Európa Tanácsnak</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1</w:t>
      </w:r>
      <w:r w:rsidRPr="008C05BA">
        <w:rPr>
          <w:rFonts w:ascii="Times New Roman" w:hAnsi="Times New Roman" w:cs="Times New Roman"/>
          <w:color w:val="161616"/>
          <w:sz w:val="24"/>
          <w:szCs w:val="24"/>
        </w:rPr>
        <w:tab/>
        <w:t>Ezen egyezmény hatálybalépését követően – a felekkel folytatott egyeztetés alapján – az Európa Tanács Miniszteri Bizottsága felkérhet bármely olyan államot, amely nem tagja az Európa Tanácsnak arra, hogy csatlakozzon az egyezményhez, az Európa Tanács Alapszabálya 20. cikkének d) pontjában meghatározott többségi döntés és a Miniszteri Bizottságban képviseletre jogosult szerződő államok képviselőinek egyhangú szavazata alapján.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2</w:t>
      </w:r>
      <w:r w:rsidRPr="008C05BA">
        <w:rPr>
          <w:rFonts w:ascii="Times New Roman" w:hAnsi="Times New Roman" w:cs="Times New Roman"/>
          <w:color w:val="161616"/>
          <w:sz w:val="24"/>
          <w:szCs w:val="24"/>
        </w:rPr>
        <w:tab/>
        <w:t>Bármely csatlakozó állam vonatkozásában az egyezmény az azt az időpontot követő egy hónapos időszak lejárta utáni hónap első napján lép hatályba, amikor a csatlakozási okmányt letétbe helyezték az Európa Tanács főtitkáránál.</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3</w:t>
      </w:r>
      <w:r w:rsidRPr="008C05BA">
        <w:rPr>
          <w:rFonts w:ascii="Times New Roman" w:hAnsi="Times New Roman" w:cs="Times New Roman"/>
          <w:color w:val="161616"/>
          <w:sz w:val="24"/>
          <w:szCs w:val="24"/>
        </w:rPr>
        <w:tab/>
        <w:t>Az a részes fél, amely nem tagállama az Európa Tanácsnak, a Miniszteri Bizottság által meghatározott módon járulhat hozzá a Sportrendezvények Biztonságával és Biztosításával Foglalkozó Bizottság finanszírozásához.</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19. cikk – Az egyezmény hatásai</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1</w:t>
      </w:r>
      <w:r w:rsidRPr="008C05BA">
        <w:rPr>
          <w:rFonts w:ascii="Times New Roman" w:hAnsi="Times New Roman" w:cs="Times New Roman"/>
          <w:color w:val="161616"/>
          <w:sz w:val="24"/>
          <w:szCs w:val="24"/>
        </w:rPr>
        <w:tab/>
        <w:t>Az ezen egyezmény részes felei, valamint a 120. számú egyezményt aláíró, azonban ezt az egyezményt meg nem erősítő felek közötti kapcsolatok tekintetében továbbra is a 120. számú egyezmény 4. és 5. cikke az irányadó.</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2</w:t>
      </w:r>
      <w:r w:rsidRPr="008C05BA">
        <w:rPr>
          <w:rFonts w:ascii="Times New Roman" w:hAnsi="Times New Roman" w:cs="Times New Roman"/>
          <w:color w:val="161616"/>
          <w:sz w:val="24"/>
          <w:szCs w:val="24"/>
        </w:rPr>
        <w:tab/>
        <w:t>Ezen egyezmény hatálybalépését követően, amennyiben egy állam felmondja a 120. számú egyezményt, de ez a felmondás még nem hatályos ezen egyezmény aláírásának időpontjában, ezen egyezmény az irányadó a 17. cikk 2. bekezdésében foglalt rendelkezések szerint.</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20. cikk – Területi alkalmazás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1</w:t>
      </w:r>
      <w:r w:rsidRPr="008C05BA">
        <w:rPr>
          <w:rFonts w:ascii="Times New Roman" w:hAnsi="Times New Roman" w:cs="Times New Roman"/>
          <w:color w:val="161616"/>
          <w:sz w:val="24"/>
          <w:szCs w:val="24"/>
        </w:rPr>
        <w:tab/>
        <w:t>A megerősítési, elfogadási, jóváhagyási vagy csatlakozási okmány aláírásakor vagy letétbe helyezésekor bármely állam meghatározhatja azt a területet vagy azokat a területeket, amelyekre ezen egyezmény érvényes.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2</w:t>
      </w:r>
      <w:r w:rsidRPr="008C05BA">
        <w:rPr>
          <w:rFonts w:ascii="Times New Roman" w:hAnsi="Times New Roman" w:cs="Times New Roman"/>
          <w:color w:val="161616"/>
          <w:sz w:val="24"/>
          <w:szCs w:val="24"/>
        </w:rPr>
        <w:tab/>
        <w:t>Az ezen egyezményt aláíró bármelyik fél tetszőleges későbbi időpontban egy, az Európa Tanács főtitkárának címzett nyilatkozatban kiterjesztheti ezen egyezmény hatályát bármely más, a nyilatkozatban megjelölt területre. Az ilyen terület tekintetében az egyezmény az azt az időpontot követő egy hónapos időszak lejárta utáni hónap első napján lép hatályba, amikor a főtitkár a nyilatkozatot átvette.</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3</w:t>
      </w:r>
      <w:r w:rsidRPr="008C05BA">
        <w:rPr>
          <w:rFonts w:ascii="Times New Roman" w:hAnsi="Times New Roman" w:cs="Times New Roman"/>
          <w:color w:val="161616"/>
          <w:sz w:val="24"/>
          <w:szCs w:val="24"/>
        </w:rPr>
        <w:tab/>
        <w:t>Az előző két bekezdés alapján tett, bármely területtel kapcsolatos nyilatkozat visszavonható egy, a főtitkárnak címzett értesítéssel. Az ilyen visszavonás az azt az időpontot követő hat hónapos időszak lejárta utáni hónap első napján lép hatályba, amikor a főtitkár az értesítést átvette.</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21. cikk – Felmondás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1</w:t>
      </w:r>
      <w:r w:rsidRPr="008C05BA">
        <w:rPr>
          <w:rFonts w:ascii="Times New Roman" w:hAnsi="Times New Roman" w:cs="Times New Roman"/>
          <w:color w:val="161616"/>
          <w:sz w:val="24"/>
          <w:szCs w:val="24"/>
        </w:rPr>
        <w:tab/>
        <w:t>Bármely fél bármikor felmondhatja ezt az egyezményt az Európa Tanács főtitkárának címzett értesítéssel.</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2</w:t>
      </w:r>
      <w:r w:rsidRPr="008C05BA">
        <w:rPr>
          <w:rFonts w:ascii="Times New Roman" w:hAnsi="Times New Roman" w:cs="Times New Roman"/>
          <w:color w:val="161616"/>
          <w:sz w:val="24"/>
          <w:szCs w:val="24"/>
        </w:rPr>
        <w:tab/>
        <w:t>Az ilyen felmondás az azt az időpontot követő hat hónapos időszak lejárta utáni hónap első napján lép hatályba, amikor a főtitkár az értesítést átvette.</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b/>
          <w:bCs/>
          <w:color w:val="161616"/>
          <w:sz w:val="24"/>
          <w:szCs w:val="24"/>
        </w:rPr>
        <w:t>22. cikk – Értesítések</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Az Európa Tanács főtitkára értesíti az Európa Tanács tagállamait, az Európai Kulturális Egyezmény egyéb részes feleit, valamint azokat az államokat, amelyek csatlakoztak ehhez az egyezményhez:</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a</w:t>
      </w:r>
      <w:r w:rsidRPr="008C05BA">
        <w:rPr>
          <w:rFonts w:ascii="Times New Roman" w:hAnsi="Times New Roman" w:cs="Times New Roman"/>
          <w:color w:val="161616"/>
          <w:sz w:val="24"/>
          <w:szCs w:val="24"/>
        </w:rPr>
        <w:tab/>
        <w:t>a 16. cikk szerinti bármely aláírásról;</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b</w:t>
      </w:r>
      <w:r w:rsidRPr="008C05BA">
        <w:rPr>
          <w:rFonts w:ascii="Times New Roman" w:hAnsi="Times New Roman" w:cs="Times New Roman"/>
          <w:color w:val="161616"/>
          <w:sz w:val="24"/>
          <w:szCs w:val="24"/>
        </w:rPr>
        <w:tab/>
        <w:t>bármely megerősítő, elfogadási, jóváhagyási vagy csatlakozási okirat 16. vagy 18. cikk szerinti letétbe helyezéséről;</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c</w:t>
      </w:r>
      <w:r w:rsidRPr="008C05BA">
        <w:rPr>
          <w:rFonts w:ascii="Times New Roman" w:hAnsi="Times New Roman" w:cs="Times New Roman"/>
          <w:color w:val="161616"/>
          <w:sz w:val="24"/>
          <w:szCs w:val="24"/>
        </w:rPr>
        <w:tab/>
        <w:t>az ezen egyezmény 17. és 18. cikk szerinti hatálybalépésének időpontjairól;</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d</w:t>
      </w:r>
      <w:r w:rsidRPr="008C05BA">
        <w:rPr>
          <w:rFonts w:ascii="Times New Roman" w:hAnsi="Times New Roman" w:cs="Times New Roman"/>
          <w:color w:val="161616"/>
          <w:sz w:val="24"/>
          <w:szCs w:val="24"/>
        </w:rPr>
        <w:tab/>
        <w:t>bármely módosító javaslatról, valamint a 15. cikk szerint elfogadott bármely módosításról és a módosítás hatálybalépésének időpontjáról;</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e</w:t>
      </w:r>
      <w:r w:rsidRPr="008C05BA">
        <w:rPr>
          <w:rFonts w:ascii="Times New Roman" w:hAnsi="Times New Roman" w:cs="Times New Roman"/>
          <w:color w:val="161616"/>
          <w:sz w:val="24"/>
          <w:szCs w:val="24"/>
        </w:rPr>
        <w:tab/>
        <w:t>a 20. cikkben foglalt rendelkezések szerinti bármely nyilatkozatról;</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f</w:t>
      </w:r>
      <w:r w:rsidRPr="008C05BA">
        <w:rPr>
          <w:rFonts w:ascii="Times New Roman" w:hAnsi="Times New Roman" w:cs="Times New Roman"/>
          <w:color w:val="161616"/>
          <w:sz w:val="24"/>
          <w:szCs w:val="24"/>
        </w:rPr>
        <w:tab/>
        <w:t>a 21. cikkben foglalt rendelkezések szerinti bármely felmondásról;</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g</w:t>
      </w:r>
      <w:r w:rsidRPr="008C05BA">
        <w:rPr>
          <w:rFonts w:ascii="Times New Roman" w:hAnsi="Times New Roman" w:cs="Times New Roman"/>
          <w:color w:val="161616"/>
          <w:sz w:val="24"/>
          <w:szCs w:val="24"/>
        </w:rPr>
        <w:tab/>
        <w:t>az ezen egyezménnyel kapcsolatos bármely más fejleményről, nyilatkozatról, értesítésről vagy közleményről.</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Fentiek hiteléül a kellő meghatalmazással rendelkező alulírottak aláírásukkal látták el ezt az egyezményt.</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Készült Saint-Denis-ben, 2016. július 3. napján, angol és francia nyelven, amely szövegek mindegyike egyaránt hiteles, egyetlen példányban, amelyet az Európa Tanács levéltárában helyeznek letétbe. Az Európa Tanács főtitkára hiteles másolatokat küld az Európa Tanács mindegyik tagállamának, az Európai Kulturális Egyezmény mindegyik részes államának, valamint azoknak az államoknak, amelyeket felkértek arra, hogy csatlakozzanak ehhez az egyezményhez.</w:t>
      </w:r>
    </w:p>
    <w:p w:rsidR="008C05BA" w:rsidRPr="008C05BA" w:rsidRDefault="008C05BA" w:rsidP="008C05BA">
      <w:pPr>
        <w:spacing w:after="0" w:line="240" w:lineRule="auto"/>
        <w:jc w:val="both"/>
        <w:rPr>
          <w:rFonts w:ascii="Times New Roman" w:hAnsi="Times New Roman" w:cs="Times New Roman"/>
          <w:sz w:val="24"/>
          <w:szCs w:val="24"/>
        </w:rPr>
      </w:pPr>
    </w:p>
    <w:p w:rsidR="00262DE8" w:rsidRDefault="00262DE8">
      <w:pPr>
        <w:rPr>
          <w:rFonts w:ascii="Times New Roman" w:eastAsia="Times New Roman" w:hAnsi="Times New Roman" w:cs="Times New Roman"/>
          <w:i/>
          <w:color w:val="161616"/>
          <w:sz w:val="24"/>
          <w:szCs w:val="24"/>
          <w:u w:val="single"/>
          <w:lang w:eastAsia="hu-HU"/>
        </w:rPr>
      </w:pPr>
      <w:r>
        <w:rPr>
          <w:rFonts w:ascii="Times New Roman" w:eastAsia="Times New Roman" w:hAnsi="Times New Roman" w:cs="Times New Roman"/>
          <w:i/>
          <w:color w:val="161616"/>
          <w:sz w:val="24"/>
          <w:szCs w:val="24"/>
          <w:u w:val="single"/>
          <w:lang w:eastAsia="hu-HU"/>
        </w:rPr>
        <w:br w:type="page"/>
      </w:r>
    </w:p>
    <w:p w:rsidR="008C05BA" w:rsidRPr="008C05BA" w:rsidRDefault="008C05BA" w:rsidP="00262DE8">
      <w:pPr>
        <w:shd w:val="clear" w:color="auto" w:fill="FFFFFF"/>
        <w:spacing w:after="150" w:line="240" w:lineRule="auto"/>
        <w:ind w:right="-142" w:hanging="1"/>
        <w:jc w:val="right"/>
        <w:rPr>
          <w:rFonts w:ascii="Times New Roman" w:eastAsia="Times New Roman" w:hAnsi="Times New Roman" w:cs="Times New Roman"/>
          <w:i/>
          <w:color w:val="161616"/>
          <w:sz w:val="24"/>
          <w:szCs w:val="24"/>
          <w:u w:val="single"/>
          <w:lang w:eastAsia="hu-HU"/>
        </w:rPr>
      </w:pPr>
      <w:r w:rsidRPr="008C05BA">
        <w:rPr>
          <w:rFonts w:ascii="Times New Roman" w:eastAsia="Times New Roman" w:hAnsi="Times New Roman" w:cs="Times New Roman"/>
          <w:i/>
          <w:color w:val="161616"/>
          <w:sz w:val="24"/>
          <w:szCs w:val="24"/>
          <w:u w:val="single"/>
          <w:lang w:eastAsia="hu-HU"/>
        </w:rPr>
        <w:t>2. melléklet a 2020. évi … . törvényhez</w:t>
      </w:r>
    </w:p>
    <w:p w:rsidR="008C05BA" w:rsidRPr="008C05BA" w:rsidRDefault="008C05BA" w:rsidP="008C05BA">
      <w:pPr>
        <w:spacing w:after="0" w:line="240" w:lineRule="auto"/>
        <w:jc w:val="both"/>
        <w:rPr>
          <w:rFonts w:ascii="Times New Roman" w:hAnsi="Times New Roman" w:cs="Times New Roman"/>
          <w:sz w:val="24"/>
          <w:szCs w:val="24"/>
        </w:rPr>
      </w:pPr>
    </w:p>
    <w:p w:rsidR="008C05BA" w:rsidRPr="008C05BA" w:rsidRDefault="008C05BA" w:rsidP="008C05BA">
      <w:pPr>
        <w:shd w:val="clear" w:color="auto" w:fill="FFFFFF"/>
        <w:spacing w:after="150" w:line="240" w:lineRule="auto"/>
        <w:jc w:val="center"/>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Council of Europe Convention on an Integrated Safety, Security and Service Approach at Football Matches and Other Sports Events</w:t>
      </w:r>
    </w:p>
    <w:p w:rsidR="008C05BA" w:rsidRPr="008C05BA" w:rsidRDefault="008C05BA" w:rsidP="008C05BA">
      <w:pPr>
        <w:shd w:val="clear" w:color="auto" w:fill="FFFFFF"/>
        <w:spacing w:after="150" w:line="240" w:lineRule="auto"/>
        <w:ind w:left="1134"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Preamble</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The member States of the Council of Europe and the other States Parties to the European Cultural Convention (ETS No. 18), signatories hereto,</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Considering that the aim of the Council of Europe is to achieve greater unity among its members;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Concerned with the right to physical integrity and the legitimate expectation of individuals to attend football matches and other sports events without fear of violence, public disorder or other criminal activity;</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Concerned to make football matches and other sports events enjoyable and welcoming for all citizens while also recognising that creating a welcoming environment can have a significant and positive impact on safety and security at such events;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Concerned with the need to promote the inclusion of all stakeholders in providing a safe environment at football matches and other sports events;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Concerned with the need to maintain the rule of law in and within the vicinity of football and other sports stadiums, on transit routes to and from the stadiums and in other areas frequented by many thousands of spectators;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Recognising that sport, and all agencies and stakeholders involved in organising and managing a football match or other sports event, must uphold core values of the Council of Europe, such as social cohesion, tolerance, respect and non-discrimination;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Recognising variations among States regarding their constitutional, judicial, cultural and historical circumstances, and the character and severity of safety and security problems associated with football matches and other sports events;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Recognising the need to take full account of national and international legislation on matters such as data protection, rehabilitation of offenders and human rights;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Recognising that a wide range of public and private agencies and other stakeholders, including spectators, have a shared objective in making football matches and other sports events safe, secure and welcoming for individuals and recognising that their collective actions will necessarily comprise a range of interrelated and overlapping measures;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Recognising that the overlapping character of these measures requires the relevant agencies to develop effective international, national and local partnerships in order to prepare and deliver an integrated and balanced multi-agency approach to safety, security and service in connection with football matches and other sports events;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Recognising that events outside of sports stadiums can have a direct impact on events inside the stadiums and vice versa;</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Recognising that consultation with key stakeholders, especially supporters and local communities, can assist the relevant agencies in reducing the risks to safety and security and in creating a welcoming atmosphere inside and outside of stadiums;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Being resolved to take common and co-operative action to reduce the risks to safety and security at football matches and other sports events in order to provide an enjoyable experience for spectators, participants and local communities;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Building upon the content of the European Convention on Spectator Violence and Misbehaviour at Sports Events and in particular at Football Matches (ETS No. 120), opened for signature in Strasbourg on 19 August 1985 (hereafter “Convention No. 120”);</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Taking into account that extensive European experience and good practices has resulted in the development of a new integrated and partnership approach towards the safety and security of spectators, reflected in particular in the Recommendation Rec (2015) 1 on Safety, Security and Service at Football Matches, and other Sports Events, adopted by the Standing Committee of the Convention No. 120 at its 40th meeting on 18 June 2015,</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Have agreed as follows:</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1 – Scope</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1 The Parties shall, within the limits of their respective constitutional provisions, take the necessary steps to give effect to the provisions of this Convention in respect of football matches or tournaments played in their territory by professional football clubs and national teams.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2 The Parties may apply the provisions of this Convention to other sports or sports events hosted in their territory, including non-professional football matches, especially in circumstances where safety or security risks are involved.</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2 – Aim</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The aim of this Convention is to provide a safe, secure and welcoming environment at football matches and other sports events. To that end, the Parties shall:</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a</w:t>
      </w:r>
      <w:r w:rsidRPr="008C05BA">
        <w:rPr>
          <w:rFonts w:ascii="Times New Roman" w:eastAsia="Times New Roman" w:hAnsi="Times New Roman" w:cs="Times New Roman"/>
          <w:color w:val="161616"/>
          <w:sz w:val="24"/>
          <w:szCs w:val="24"/>
          <w:lang w:val="en-GB" w:eastAsia="hu-HU"/>
        </w:rPr>
        <w:tab/>
        <w:t>adopt an integrated, multi-agency and balanced approach towards safety, security and service, based upon an ethos of effective local, national and international partnerships and co-operation;</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b</w:t>
      </w:r>
      <w:r w:rsidRPr="008C05BA">
        <w:rPr>
          <w:rFonts w:ascii="Times New Roman" w:eastAsia="Times New Roman" w:hAnsi="Times New Roman" w:cs="Times New Roman"/>
          <w:color w:val="161616"/>
          <w:sz w:val="24"/>
          <w:szCs w:val="24"/>
          <w:lang w:val="en-GB" w:eastAsia="hu-HU"/>
        </w:rPr>
        <w:tab/>
        <w:t>ensure that all public and private agencies, and other stakeholders, recognise that safety, security and service provision cannot be considered in isolation, and can have a direct influence on delivery of the other two components;</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c</w:t>
      </w:r>
      <w:r w:rsidRPr="008C05BA">
        <w:rPr>
          <w:rFonts w:ascii="Times New Roman" w:eastAsia="Times New Roman" w:hAnsi="Times New Roman" w:cs="Times New Roman"/>
          <w:color w:val="161616"/>
          <w:sz w:val="24"/>
          <w:szCs w:val="24"/>
          <w:lang w:val="en-GB" w:eastAsia="hu-HU"/>
        </w:rPr>
        <w:tab/>
        <w:t>take account of good practices in developing an integrated approach to safety, security and service.</w:t>
      </w:r>
    </w:p>
    <w:p w:rsidR="008C05BA" w:rsidRPr="008C05BA" w:rsidRDefault="008C05BA" w:rsidP="008C05BA">
      <w:pPr>
        <w:spacing w:after="0" w:line="240" w:lineRule="auto"/>
        <w:rPr>
          <w:rFonts w:ascii="Times New Roman" w:eastAsia="Times New Roman" w:hAnsi="Times New Roman" w:cs="Times New Roman"/>
          <w:sz w:val="24"/>
          <w:szCs w:val="24"/>
          <w:lang w:val="en-GB" w:eastAsia="hu-HU"/>
        </w:rPr>
      </w:pP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3 – Definitions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For the purposes of this Convention, the terms:</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a</w:t>
      </w:r>
      <w:r w:rsidRPr="008C05BA">
        <w:rPr>
          <w:rFonts w:ascii="Times New Roman" w:eastAsia="Times New Roman" w:hAnsi="Times New Roman" w:cs="Times New Roman"/>
          <w:color w:val="161616"/>
          <w:sz w:val="24"/>
          <w:szCs w:val="24"/>
          <w:lang w:val="en-GB" w:eastAsia="hu-HU"/>
        </w:rPr>
        <w:tab/>
        <w:t>“safety measures” shall mean any measure designed and implemented with the primary aim of protecting the health and well-being of individuals and groups who attend, or participate in, a football match or other sports event, inside or outside of the stadium, or who reside or work in the vicinity of the event;</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b</w:t>
      </w:r>
      <w:r w:rsidRPr="008C05BA">
        <w:rPr>
          <w:rFonts w:ascii="Times New Roman" w:eastAsia="Times New Roman" w:hAnsi="Times New Roman" w:cs="Times New Roman"/>
          <w:color w:val="161616"/>
          <w:sz w:val="24"/>
          <w:szCs w:val="24"/>
          <w:lang w:val="en-GB" w:eastAsia="hu-HU"/>
        </w:rPr>
        <w:tab/>
        <w:t>“security measures” shall mean any measure designed and implemented with the primary aim of preventing, reducing the risk and/or responding to any violence or other criminal activity or disorder committed in connection with a football or other sports event, inside or outside of a stadium;</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c</w:t>
      </w:r>
      <w:r w:rsidRPr="008C05BA">
        <w:rPr>
          <w:rFonts w:ascii="Times New Roman" w:eastAsia="Times New Roman" w:hAnsi="Times New Roman" w:cs="Times New Roman"/>
          <w:color w:val="161616"/>
          <w:sz w:val="24"/>
          <w:szCs w:val="24"/>
          <w:lang w:val="en-GB" w:eastAsia="hu-HU"/>
        </w:rPr>
        <w:tab/>
        <w:t>“service measures” shall mean any measure designed and implemented with the primary aim of making individuals and groups feel comfortable, appreciated and welcome when attending a football match or other sports event, inside or outside of a stadium;</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d</w:t>
      </w:r>
      <w:r w:rsidRPr="008C05BA">
        <w:rPr>
          <w:rFonts w:ascii="Times New Roman" w:eastAsia="Times New Roman" w:hAnsi="Times New Roman" w:cs="Times New Roman"/>
          <w:color w:val="161616"/>
          <w:sz w:val="24"/>
          <w:szCs w:val="24"/>
          <w:lang w:val="en-GB" w:eastAsia="hu-HU"/>
        </w:rPr>
        <w:tab/>
        <w:t>“agency” shall mean any public or private body with a constitutional, legislative, regulatory or other responsibility in respect of the preparation and implementation of any safety, security or service measure in connection with a football match or other sports event, inside or outside of a stadium;</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e</w:t>
      </w:r>
      <w:r w:rsidRPr="008C05BA">
        <w:rPr>
          <w:rFonts w:ascii="Times New Roman" w:eastAsia="Times New Roman" w:hAnsi="Times New Roman" w:cs="Times New Roman"/>
          <w:color w:val="161616"/>
          <w:sz w:val="24"/>
          <w:szCs w:val="24"/>
          <w:lang w:val="en-GB" w:eastAsia="hu-HU"/>
        </w:rPr>
        <w:tab/>
        <w:t>“stakeholder” shall mean spectators, local communities or other interested parties who do not have legislative or regulatory responsibilities but who can play an important role in helping to make football matches or other sports events safe, secure and welcoming, inside and outside of stadiums;</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f</w:t>
      </w:r>
      <w:r w:rsidRPr="008C05BA">
        <w:rPr>
          <w:rFonts w:ascii="Times New Roman" w:eastAsia="Times New Roman" w:hAnsi="Times New Roman" w:cs="Times New Roman"/>
          <w:color w:val="161616"/>
          <w:sz w:val="24"/>
          <w:szCs w:val="24"/>
          <w:lang w:val="en-GB" w:eastAsia="hu-HU"/>
        </w:rPr>
        <w:tab/>
        <w:t>“integrated approach” shall mean recognition that, irrespective of their primary purpose, safety, security and service measures at football matches and other sports events invariably overlap, are interrelated in terms of impact, need to be balanced and cannot be designed or implemented in isolation;</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g</w:t>
      </w:r>
      <w:r w:rsidRPr="008C05BA">
        <w:rPr>
          <w:rFonts w:ascii="Times New Roman" w:eastAsia="Times New Roman" w:hAnsi="Times New Roman" w:cs="Times New Roman"/>
          <w:color w:val="161616"/>
          <w:sz w:val="24"/>
          <w:szCs w:val="24"/>
          <w:lang w:val="en-GB" w:eastAsia="hu-HU"/>
        </w:rPr>
        <w:tab/>
        <w:t>“multi-agency integrated approach” shall mean recognition that the roles and actions of each agency involved in football or other sports planning and operational activities must be co-ordinated, complementary, proportionate and designed and implemented as part of a comprehensive safety, security and service strategy;</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h</w:t>
      </w:r>
      <w:r w:rsidRPr="008C05BA">
        <w:rPr>
          <w:rFonts w:ascii="Times New Roman" w:eastAsia="Times New Roman" w:hAnsi="Times New Roman" w:cs="Times New Roman"/>
          <w:color w:val="161616"/>
          <w:sz w:val="24"/>
          <w:szCs w:val="24"/>
          <w:lang w:val="en-GB" w:eastAsia="hu-HU"/>
        </w:rPr>
        <w:tab/>
        <w:t>“good practices” shall mean measures applied in one or more countries that have proven to be very effective in meeting the stated aim or objective;</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i</w:t>
      </w:r>
      <w:r w:rsidRPr="008C05BA">
        <w:rPr>
          <w:rFonts w:ascii="Times New Roman" w:eastAsia="Times New Roman" w:hAnsi="Times New Roman" w:cs="Times New Roman"/>
          <w:color w:val="161616"/>
          <w:sz w:val="24"/>
          <w:szCs w:val="24"/>
          <w:lang w:val="en-GB" w:eastAsia="hu-HU"/>
        </w:rPr>
        <w:tab/>
        <w:t>“relevant agency” shall mean a body (public or private) involved in the organisation and/or management of a football match or other sports event held inside or outside of a sports stadium.</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4 – Domestic co-ordination arrangements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1</w:t>
      </w:r>
      <w:r w:rsidRPr="008C05BA">
        <w:rPr>
          <w:rFonts w:ascii="Times New Roman" w:eastAsia="Times New Roman" w:hAnsi="Times New Roman" w:cs="Times New Roman"/>
          <w:color w:val="161616"/>
          <w:sz w:val="24"/>
          <w:szCs w:val="24"/>
          <w:lang w:val="en-GB" w:eastAsia="hu-HU"/>
        </w:rPr>
        <w:tab/>
        <w:t>The Parties shall ensure that national and local co-ordination arrangements are established for the purpose of developing and implementing a multi-agency integrated approach to safety, security and service at national and local level.</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2</w:t>
      </w:r>
      <w:r w:rsidRPr="008C05BA">
        <w:rPr>
          <w:rFonts w:ascii="Times New Roman" w:eastAsia="Times New Roman" w:hAnsi="Times New Roman" w:cs="Times New Roman"/>
          <w:color w:val="161616"/>
          <w:sz w:val="24"/>
          <w:szCs w:val="24"/>
          <w:lang w:val="en-GB" w:eastAsia="hu-HU"/>
        </w:rPr>
        <w:tab/>
        <w:t>The Parties shall ensure that co-ordination arrangements are established to identify, analyse and evaluate the risks pertaining to safety, security and services, and to allow the sharing of updated information on risk assessment.</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3</w:t>
      </w:r>
      <w:r w:rsidRPr="008C05BA">
        <w:rPr>
          <w:rFonts w:ascii="Times New Roman" w:eastAsia="Times New Roman" w:hAnsi="Times New Roman" w:cs="Times New Roman"/>
          <w:color w:val="161616"/>
          <w:sz w:val="24"/>
          <w:szCs w:val="24"/>
          <w:lang w:val="en-GB" w:eastAsia="hu-HU"/>
        </w:rPr>
        <w:tab/>
        <w:t>The Parties shall ensure that the co-ordination arrangements involve all key public and private agencies responsible for safety, security and service matters connected with the event, both inside and outside of the venue where the event is taking place.</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4</w:t>
      </w:r>
      <w:r w:rsidRPr="008C05BA">
        <w:rPr>
          <w:rFonts w:ascii="Times New Roman" w:eastAsia="Times New Roman" w:hAnsi="Times New Roman" w:cs="Times New Roman"/>
          <w:color w:val="161616"/>
          <w:sz w:val="24"/>
          <w:szCs w:val="24"/>
          <w:lang w:val="en-GB" w:eastAsia="hu-HU"/>
        </w:rPr>
        <w:tab/>
        <w:t>The Parties shall ensure that the co-ordination arrangements take full account of the safety, security and service principles set out in this Convention and that national and local strategies are developed, regularly evaluated and refined in the light of national and international experience and good practices.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5</w:t>
      </w:r>
      <w:r w:rsidRPr="008C05BA">
        <w:rPr>
          <w:rFonts w:ascii="Times New Roman" w:eastAsia="Times New Roman" w:hAnsi="Times New Roman" w:cs="Times New Roman"/>
          <w:color w:val="161616"/>
          <w:sz w:val="24"/>
          <w:szCs w:val="24"/>
          <w:lang w:val="en-GB" w:eastAsia="hu-HU"/>
        </w:rPr>
        <w:tab/>
        <w:t>The Parties shall ensure that national legal, regulatory or administrative frameworks clarify the respective roles and responsibilities of the relevant agencies and that these roles are complementary, consistent with an integrated approach and widely understood at strategic and operational levels.</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5 – Safety, security and service in sports stadiums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1</w:t>
      </w:r>
      <w:r w:rsidRPr="008C05BA">
        <w:rPr>
          <w:rFonts w:ascii="Times New Roman" w:eastAsia="Times New Roman" w:hAnsi="Times New Roman" w:cs="Times New Roman"/>
          <w:color w:val="161616"/>
          <w:sz w:val="24"/>
          <w:szCs w:val="24"/>
          <w:lang w:val="en-GB" w:eastAsia="hu-HU"/>
        </w:rPr>
        <w:tab/>
        <w:t>The Parties shall ensure that national legal, regulatory or administrative frameworks require event organisers, in consultation with all partner agencies, to provide a safe and secure environment for all participants and spectators.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2</w:t>
      </w:r>
      <w:r w:rsidRPr="008C05BA">
        <w:rPr>
          <w:rFonts w:ascii="Times New Roman" w:eastAsia="Times New Roman" w:hAnsi="Times New Roman" w:cs="Times New Roman"/>
          <w:color w:val="161616"/>
          <w:sz w:val="24"/>
          <w:szCs w:val="24"/>
          <w:lang w:val="en-GB" w:eastAsia="hu-HU"/>
        </w:rPr>
        <w:tab/>
        <w:t>The Parties shall ensure that the competent public authorities put in place regulations or arrangements to guarantee the effectiveness of stadium licensing procedures, certification arrangements and safety regulations in general and ensure their application, monitoring and enforcement.</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3</w:t>
      </w:r>
      <w:r w:rsidRPr="008C05BA">
        <w:rPr>
          <w:rFonts w:ascii="Times New Roman" w:eastAsia="Times New Roman" w:hAnsi="Times New Roman" w:cs="Times New Roman"/>
          <w:color w:val="161616"/>
          <w:sz w:val="24"/>
          <w:szCs w:val="24"/>
          <w:lang w:val="en-GB" w:eastAsia="hu-HU"/>
        </w:rPr>
        <w:tab/>
        <w:t>The Parties shall require the relevant agencies to ensure that stadium design, infrastructure and associated crowd management arrangements comply with national and international standards and good practices.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4</w:t>
      </w:r>
      <w:r w:rsidRPr="008C05BA">
        <w:rPr>
          <w:rFonts w:ascii="Times New Roman" w:eastAsia="Times New Roman" w:hAnsi="Times New Roman" w:cs="Times New Roman"/>
          <w:color w:val="161616"/>
          <w:sz w:val="24"/>
          <w:szCs w:val="24"/>
          <w:lang w:val="en-GB" w:eastAsia="hu-HU"/>
        </w:rPr>
        <w:tab/>
        <w:t>The Parties shall encourage the relevant agencies to ensure that stadiums provide an inclusive and welcoming environment for all sections of society, including children, the elderly and those with disabilities, and incorporate, in particular, the provision of appropriate sanitary and refreshment facilities and good viewing conditions for all spectators.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5</w:t>
      </w:r>
      <w:r w:rsidRPr="008C05BA">
        <w:rPr>
          <w:rFonts w:ascii="Times New Roman" w:eastAsia="Times New Roman" w:hAnsi="Times New Roman" w:cs="Times New Roman"/>
          <w:color w:val="161616"/>
          <w:sz w:val="24"/>
          <w:szCs w:val="24"/>
          <w:lang w:val="en-GB" w:eastAsia="hu-HU"/>
        </w:rPr>
        <w:tab/>
        <w:t>The Parties shall ensure that stadiums’ operating arrangements are comprehensive; make provision for effective liaison with the police, emergency services and partner agencies; and incorporate clear policies and procedures on matters that might impact on crowd management and associated safety and security risks, in particular:</w:t>
      </w:r>
    </w:p>
    <w:p w:rsidR="008C05BA" w:rsidRPr="008C05BA" w:rsidRDefault="008C05BA" w:rsidP="008C05BA">
      <w:pPr>
        <w:shd w:val="clear" w:color="auto" w:fill="FFFFFF"/>
        <w:spacing w:after="0" w:line="240" w:lineRule="auto"/>
        <w:ind w:left="1134"/>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 the use of pyrotechnics;</w:t>
      </w:r>
    </w:p>
    <w:p w:rsidR="008C05BA" w:rsidRPr="008C05BA" w:rsidRDefault="008C05BA" w:rsidP="008C05BA">
      <w:pPr>
        <w:shd w:val="clear" w:color="auto" w:fill="FFFFFF"/>
        <w:spacing w:after="0" w:line="240" w:lineRule="auto"/>
        <w:ind w:left="1134"/>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 any violent or other prohibited behaviour; and</w:t>
      </w:r>
    </w:p>
    <w:p w:rsidR="008C05BA" w:rsidRPr="008C05BA" w:rsidRDefault="008C05BA" w:rsidP="008C05BA">
      <w:pPr>
        <w:shd w:val="clear" w:color="auto" w:fill="FFFFFF"/>
        <w:spacing w:after="0" w:line="240" w:lineRule="auto"/>
        <w:ind w:left="1134"/>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 any racist or other discriminatory behaviour.</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6</w:t>
      </w:r>
      <w:r w:rsidRPr="008C05BA">
        <w:rPr>
          <w:rFonts w:ascii="Times New Roman" w:eastAsia="Times New Roman" w:hAnsi="Times New Roman" w:cs="Times New Roman"/>
          <w:color w:val="161616"/>
          <w:sz w:val="24"/>
          <w:szCs w:val="24"/>
          <w:lang w:val="en-GB" w:eastAsia="hu-HU"/>
        </w:rPr>
        <w:tab/>
        <w:t>The Parties shall require the relevant agencies to ensure that all personnel, from the public or private sectors, involved in making football matches and other sports events safe, secure and welcoming are equipped and trained to fulfil their functions effectively and in an appropriate manner.</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7</w:t>
      </w:r>
      <w:r w:rsidRPr="008C05BA">
        <w:rPr>
          <w:rFonts w:ascii="Times New Roman" w:eastAsia="Times New Roman" w:hAnsi="Times New Roman" w:cs="Times New Roman"/>
          <w:color w:val="161616"/>
          <w:sz w:val="24"/>
          <w:szCs w:val="24"/>
          <w:lang w:val="en-GB" w:eastAsia="hu-HU"/>
        </w:rPr>
        <w:tab/>
        <w:t>The Parties shall encourage their competent agencies to highlight the need for players, coaches or other representatives of participating teams to act in accordance with key sporting principles, such as tolerance, respect and fair play, and recognise that acting in a violent, racist or other provocative manner can have a negative impact on spectator behaviour.</w:t>
      </w:r>
    </w:p>
    <w:p w:rsidR="008C05BA" w:rsidRPr="008C05BA" w:rsidRDefault="008C05BA" w:rsidP="008C05BA">
      <w:pPr>
        <w:spacing w:after="0" w:line="240" w:lineRule="auto"/>
        <w:rPr>
          <w:rFonts w:ascii="Times New Roman" w:eastAsia="Times New Roman" w:hAnsi="Times New Roman" w:cs="Times New Roman"/>
          <w:sz w:val="24"/>
          <w:szCs w:val="24"/>
          <w:lang w:val="en-GB" w:eastAsia="hu-HU"/>
        </w:rPr>
      </w:pP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6 – Safety, security and service in public places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1</w:t>
      </w:r>
      <w:r w:rsidRPr="008C05BA">
        <w:rPr>
          <w:rFonts w:ascii="Times New Roman" w:eastAsia="Times New Roman" w:hAnsi="Times New Roman" w:cs="Times New Roman"/>
          <w:color w:val="161616"/>
          <w:sz w:val="24"/>
          <w:szCs w:val="24"/>
          <w:lang w:val="en-GB" w:eastAsia="hu-HU"/>
        </w:rPr>
        <w:tab/>
        <w:t>The Parties shall encourage all agencies and stakeholders involved in organising football matches and other sports events in public spaces, including the municipal authorities, police, local communities and businesses, supporter representatives, football clubs and national associations, to work together, notably in respect of:</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a</w:t>
      </w:r>
      <w:r w:rsidRPr="008C05BA">
        <w:rPr>
          <w:rFonts w:ascii="Times New Roman" w:eastAsia="Times New Roman" w:hAnsi="Times New Roman" w:cs="Times New Roman"/>
          <w:color w:val="161616"/>
          <w:sz w:val="24"/>
          <w:szCs w:val="24"/>
          <w:lang w:val="en-GB" w:eastAsia="hu-HU"/>
        </w:rPr>
        <w:tab/>
        <w:t>assessing risk and preparing appropriate preventative measures designed to minimise disruption and provide reassurances to the local community and businesses, in particular those located in the vicinity of where the event is taking place or public viewing areas;</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b</w:t>
      </w:r>
      <w:r w:rsidRPr="008C05BA">
        <w:rPr>
          <w:rFonts w:ascii="Times New Roman" w:eastAsia="Times New Roman" w:hAnsi="Times New Roman" w:cs="Times New Roman"/>
          <w:color w:val="161616"/>
          <w:sz w:val="24"/>
          <w:szCs w:val="24"/>
          <w:lang w:val="en-GB" w:eastAsia="hu-HU"/>
        </w:rPr>
        <w:tab/>
        <w:t>creating a safe, secure and welcoming environment in public spaces that are designated for supporters to gather before and after the event, or locations in which supporters can be expected to frequent of their own volition, and along transit routes to and from the city and/or to and from the stadium.</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2</w:t>
      </w:r>
      <w:r w:rsidRPr="008C05BA">
        <w:rPr>
          <w:rFonts w:ascii="Times New Roman" w:eastAsia="Times New Roman" w:hAnsi="Times New Roman" w:cs="Times New Roman"/>
          <w:color w:val="161616"/>
          <w:sz w:val="24"/>
          <w:szCs w:val="24"/>
          <w:lang w:val="en-GB" w:eastAsia="hu-HU"/>
        </w:rPr>
        <w:tab/>
        <w:t>The Parties shall ensure that risk assessment and safety and security measures take account of the journey to and from the stadium.</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7 – Contingency and emergency planning</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The Parties shall ensure that multi-agency contingency and emergency plans are developed, and that those plans are tested and refined in regular joint exercises. National legal, regulatory or administrative frameworks shall make clear which agency is responsible for initiating, supervising and certifying the exercises.</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8 – Engagement with supporters and local communities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1</w:t>
      </w:r>
      <w:r w:rsidRPr="008C05BA">
        <w:rPr>
          <w:rFonts w:ascii="Times New Roman" w:eastAsia="Times New Roman" w:hAnsi="Times New Roman" w:cs="Times New Roman"/>
          <w:color w:val="161616"/>
          <w:sz w:val="24"/>
          <w:szCs w:val="24"/>
          <w:lang w:val="en-GB" w:eastAsia="hu-HU"/>
        </w:rPr>
        <w:tab/>
        <w:t>The Parties shall encourage all agencies to develop and pursue a policy of proactive and regular communication with key stakeholders, including supporter representatives and local communities, based on the principle of dialogue, and with the aim of generating a partnership ethos and positive co-operation as well as identifying solutions to potential problems.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2</w:t>
      </w:r>
      <w:r w:rsidRPr="008C05BA">
        <w:rPr>
          <w:rFonts w:ascii="Times New Roman" w:eastAsia="Times New Roman" w:hAnsi="Times New Roman" w:cs="Times New Roman"/>
          <w:color w:val="161616"/>
          <w:sz w:val="24"/>
          <w:szCs w:val="24"/>
          <w:lang w:val="en-GB" w:eastAsia="hu-HU"/>
        </w:rPr>
        <w:tab/>
        <w:t>The Parties shall encourage all public and private agencies and other stakeholders, including local communities and supporter representatives, to initiate or participate in multi-agency social, educational, crime-prevention and other community projects designed to foster mutual respect and understanding, especially among supporters, sports clubs and associations as well as agencies responsible for safety and security.</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9 – Police strategies and operations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1</w:t>
      </w:r>
      <w:r w:rsidRPr="008C05BA">
        <w:rPr>
          <w:rFonts w:ascii="Times New Roman" w:eastAsia="Times New Roman" w:hAnsi="Times New Roman" w:cs="Times New Roman"/>
          <w:color w:val="161616"/>
          <w:sz w:val="24"/>
          <w:szCs w:val="24"/>
          <w:lang w:val="en-GB" w:eastAsia="hu-HU"/>
        </w:rPr>
        <w:tab/>
        <w:t>The Parties shall ensure that policing strategies are developed, regularly evaluated and refined in the light of national and international experience and good practices, and are consistent with the wider, integrated approach to safety, security and service.</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2</w:t>
      </w:r>
      <w:r w:rsidRPr="008C05BA">
        <w:rPr>
          <w:rFonts w:ascii="Times New Roman" w:eastAsia="Times New Roman" w:hAnsi="Times New Roman" w:cs="Times New Roman"/>
          <w:color w:val="161616"/>
          <w:sz w:val="24"/>
          <w:szCs w:val="24"/>
          <w:lang w:val="en-GB" w:eastAsia="hu-HU"/>
        </w:rPr>
        <w:tab/>
        <w:t>The Parties shall ensure that policing strategies take account of good practices including, in particular: intelligence gathering, continuous risk assessment, risk-based deployment, proportionate intervention to prevent the escalation of risk or disorder, effective dialogue with supporters and the wider community, and evidence gathering of criminal activity as well as the sharing of such evidence with the competent authorities responsible for prosecution.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3</w:t>
      </w:r>
      <w:r w:rsidRPr="008C05BA">
        <w:rPr>
          <w:rFonts w:ascii="Times New Roman" w:eastAsia="Times New Roman" w:hAnsi="Times New Roman" w:cs="Times New Roman"/>
          <w:color w:val="161616"/>
          <w:sz w:val="24"/>
          <w:szCs w:val="24"/>
          <w:lang w:val="en-GB" w:eastAsia="hu-HU"/>
        </w:rPr>
        <w:tab/>
        <w:t>The Parties shall ensure that the police work in partnership with organisers, supporters, local communities and other stakeholders in making football matches and other sports events safe, secure and welcoming for all concerned.</w:t>
      </w:r>
    </w:p>
    <w:p w:rsidR="008C05BA" w:rsidRPr="008C05BA" w:rsidRDefault="008C05BA" w:rsidP="008C05BA">
      <w:pPr>
        <w:spacing w:after="0" w:line="240" w:lineRule="auto"/>
        <w:rPr>
          <w:rFonts w:ascii="Times New Roman" w:eastAsia="Times New Roman" w:hAnsi="Times New Roman" w:cs="Times New Roman"/>
          <w:sz w:val="24"/>
          <w:szCs w:val="24"/>
          <w:lang w:val="en-GB" w:eastAsia="hu-HU"/>
        </w:rPr>
      </w:pP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10 – Prevention and sanctioning of offending behaviour</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1</w:t>
      </w:r>
      <w:r w:rsidRPr="008C05BA">
        <w:rPr>
          <w:rFonts w:ascii="Times New Roman" w:eastAsia="Times New Roman" w:hAnsi="Times New Roman" w:cs="Times New Roman"/>
          <w:color w:val="161616"/>
          <w:sz w:val="24"/>
          <w:szCs w:val="24"/>
          <w:lang w:val="en-GB" w:eastAsia="hu-HU"/>
        </w:rPr>
        <w:tab/>
        <w:t>The Parties shall take all possible measures to reduce the risk of individuals or groups participating in, or organising incidents of violence or disorder.</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2</w:t>
      </w:r>
      <w:r w:rsidRPr="008C05BA">
        <w:rPr>
          <w:rFonts w:ascii="Times New Roman" w:eastAsia="Times New Roman" w:hAnsi="Times New Roman" w:cs="Times New Roman"/>
          <w:color w:val="161616"/>
          <w:sz w:val="24"/>
          <w:szCs w:val="24"/>
          <w:lang w:val="en-GB" w:eastAsia="hu-HU"/>
        </w:rPr>
        <w:tab/>
        <w:t>The Parties shall, in accordance with national and international law, ensure that effective exclusion arrangements, appropriate to the character and location of risk, are in place to deter and prevent incidents of violence or disorder.</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3</w:t>
      </w:r>
      <w:r w:rsidRPr="008C05BA">
        <w:rPr>
          <w:rFonts w:ascii="Times New Roman" w:eastAsia="Times New Roman" w:hAnsi="Times New Roman" w:cs="Times New Roman"/>
          <w:color w:val="161616"/>
          <w:sz w:val="24"/>
          <w:szCs w:val="24"/>
          <w:lang w:val="en-GB" w:eastAsia="hu-HU"/>
        </w:rPr>
        <w:tab/>
        <w:t>The Parties shall, in accordance with national and international law, co-operate in seeking to ensure that individuals committing offences abroad receive appropriate sanctions, either in the country where the offence is committed or in their country of residence or citizenship.</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4</w:t>
      </w:r>
      <w:r w:rsidRPr="008C05BA">
        <w:rPr>
          <w:rFonts w:ascii="Times New Roman" w:eastAsia="Times New Roman" w:hAnsi="Times New Roman" w:cs="Times New Roman"/>
          <w:color w:val="161616"/>
          <w:sz w:val="24"/>
          <w:szCs w:val="24"/>
          <w:lang w:val="en-GB" w:eastAsia="hu-HU"/>
        </w:rPr>
        <w:tab/>
        <w:t>Where appropriate, and in accordance with national and international law, the Parties shall consider empowering the judicial or administrative authorities responsible to impose sanctions on individuals who have caused or contributed to incidents of football-related violence and/or disorder, with the possibility of imposing restrictions on travel to football events held in another country.</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11 – International co-operation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1</w:t>
      </w:r>
      <w:r w:rsidRPr="008C05BA">
        <w:rPr>
          <w:rFonts w:ascii="Times New Roman" w:eastAsia="Times New Roman" w:hAnsi="Times New Roman" w:cs="Times New Roman"/>
          <w:color w:val="161616"/>
          <w:sz w:val="24"/>
          <w:szCs w:val="24"/>
          <w:lang w:val="en-GB" w:eastAsia="hu-HU"/>
        </w:rPr>
        <w:tab/>
        <w:t>The Parties shall co-operate closely on all matters covered by this Convention and related matters, in order to maximise collaboration in respect of international events, share experiences and participate in the development of good practices.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2</w:t>
      </w:r>
      <w:r w:rsidRPr="008C05BA">
        <w:rPr>
          <w:rFonts w:ascii="Times New Roman" w:eastAsia="Times New Roman" w:hAnsi="Times New Roman" w:cs="Times New Roman"/>
          <w:color w:val="161616"/>
          <w:sz w:val="24"/>
          <w:szCs w:val="24"/>
          <w:lang w:val="en-GB" w:eastAsia="hu-HU"/>
        </w:rPr>
        <w:tab/>
        <w:t>The Parties shall, without prejudice to existing national provisions, in particular the allocation of powers among the different services and authorities, set up or designate a national football information point within the police force (NFIP). The NFIP shall:</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a</w:t>
      </w:r>
      <w:r w:rsidRPr="008C05BA">
        <w:rPr>
          <w:rFonts w:ascii="Times New Roman" w:eastAsia="Times New Roman" w:hAnsi="Times New Roman" w:cs="Times New Roman"/>
          <w:color w:val="161616"/>
          <w:sz w:val="24"/>
          <w:szCs w:val="24"/>
          <w:lang w:val="en-GB" w:eastAsia="hu-HU"/>
        </w:rPr>
        <w:tab/>
        <w:t>act as the direct and single contact point for exchanging general (strategic, operational and tactical) information in connection with a football match with an international dimension;</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b</w:t>
      </w:r>
      <w:r w:rsidRPr="008C05BA">
        <w:rPr>
          <w:rFonts w:ascii="Times New Roman" w:eastAsia="Times New Roman" w:hAnsi="Times New Roman" w:cs="Times New Roman"/>
          <w:color w:val="161616"/>
          <w:sz w:val="24"/>
          <w:szCs w:val="24"/>
          <w:lang w:val="en-GB" w:eastAsia="hu-HU"/>
        </w:rPr>
        <w:tab/>
        <w:t>exchange personal data in accordance with the applicable domestic and international rules;</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c</w:t>
      </w:r>
      <w:r w:rsidRPr="008C05BA">
        <w:rPr>
          <w:rFonts w:ascii="Times New Roman" w:eastAsia="Times New Roman" w:hAnsi="Times New Roman" w:cs="Times New Roman"/>
          <w:color w:val="161616"/>
          <w:sz w:val="24"/>
          <w:szCs w:val="24"/>
          <w:lang w:val="en-GB" w:eastAsia="hu-HU"/>
        </w:rPr>
        <w:tab/>
        <w:t>facilitate, co-ordinate or organise the implementation of international police co-operation in connection with football matches with an international dimension;</w:t>
      </w:r>
    </w:p>
    <w:p w:rsidR="008C05BA" w:rsidRPr="008C05BA" w:rsidRDefault="008C05BA" w:rsidP="008C05BA">
      <w:pPr>
        <w:shd w:val="clear" w:color="auto" w:fill="FFFFFF"/>
        <w:spacing w:after="150" w:line="240" w:lineRule="auto"/>
        <w:ind w:left="1134"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d</w:t>
      </w:r>
      <w:r w:rsidRPr="008C05BA">
        <w:rPr>
          <w:rFonts w:ascii="Times New Roman" w:eastAsia="Times New Roman" w:hAnsi="Times New Roman" w:cs="Times New Roman"/>
          <w:color w:val="161616"/>
          <w:sz w:val="24"/>
          <w:szCs w:val="24"/>
          <w:lang w:val="en-GB" w:eastAsia="hu-HU"/>
        </w:rPr>
        <w:tab/>
        <w:t>be capable of fulfilling efficiently and promptly the tasks assigned to it.</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3</w:t>
      </w:r>
      <w:r w:rsidRPr="008C05BA">
        <w:rPr>
          <w:rFonts w:ascii="Times New Roman" w:eastAsia="Times New Roman" w:hAnsi="Times New Roman" w:cs="Times New Roman"/>
          <w:color w:val="161616"/>
          <w:sz w:val="24"/>
          <w:szCs w:val="24"/>
          <w:lang w:val="en-GB" w:eastAsia="hu-HU"/>
        </w:rPr>
        <w:tab/>
        <w:t>The Parties shall further ensure that the NFIP provides a national source of expertise regarding football policing operations, supporter dynamics and associated safety and security risks.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4</w:t>
      </w:r>
      <w:r w:rsidRPr="008C05BA">
        <w:rPr>
          <w:rFonts w:ascii="Times New Roman" w:eastAsia="Times New Roman" w:hAnsi="Times New Roman" w:cs="Times New Roman"/>
          <w:color w:val="161616"/>
          <w:sz w:val="24"/>
          <w:szCs w:val="24"/>
          <w:lang w:val="en-GB" w:eastAsia="hu-HU"/>
        </w:rPr>
        <w:tab/>
        <w:t>Each State Party shall notify the Committee on Safety and Security at Sports Events, created by this Convention, in writing, of the name and contact details of its NFIP, and any subsequent changes with regard to it.</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5</w:t>
      </w:r>
      <w:r w:rsidRPr="008C05BA">
        <w:rPr>
          <w:rFonts w:ascii="Times New Roman" w:eastAsia="Times New Roman" w:hAnsi="Times New Roman" w:cs="Times New Roman"/>
          <w:color w:val="161616"/>
          <w:sz w:val="24"/>
          <w:szCs w:val="24"/>
          <w:lang w:val="en-GB" w:eastAsia="hu-HU"/>
        </w:rPr>
        <w:tab/>
        <w:t>The Parties shall co-operate at international level in respect of sharing good practices and information on preventative, educational and informative projects and the establishment of partnerships with all agencies involved in the delivery of national and local initiatives, focused on or driven by the local community and supporters.</w:t>
      </w:r>
    </w:p>
    <w:p w:rsidR="008C05BA" w:rsidRPr="008C05BA" w:rsidRDefault="008C05BA" w:rsidP="008C05BA">
      <w:pPr>
        <w:spacing w:after="0" w:line="240" w:lineRule="auto"/>
        <w:rPr>
          <w:rFonts w:ascii="Times New Roman" w:eastAsia="Times New Roman" w:hAnsi="Times New Roman" w:cs="Times New Roman"/>
          <w:sz w:val="24"/>
          <w:szCs w:val="24"/>
          <w:lang w:val="en-GB" w:eastAsia="hu-HU"/>
        </w:rPr>
      </w:pP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Procedural Clauses</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12 – Provision of information</w:t>
      </w:r>
    </w:p>
    <w:p w:rsidR="008C05BA" w:rsidRPr="008C05BA" w:rsidRDefault="008C05BA" w:rsidP="008C05BA">
      <w:pPr>
        <w:shd w:val="clear" w:color="auto" w:fill="FFFFFF"/>
        <w:spacing w:after="150" w:line="240" w:lineRule="auto"/>
        <w:ind w:left="709" w:hanging="1"/>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Each Party shall forward to the Committee on Safety and Security at Sports Events, in one of the official languages of the Council of Europe, all relevant information concerning legislative and other measures taken by it for the purpose of complying with the terms of this Convention, whether with regard to football or other sports.</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13 – Committee on Safety and Security at Sports Events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1</w:t>
      </w:r>
      <w:r w:rsidRPr="008C05BA">
        <w:rPr>
          <w:rFonts w:ascii="Times New Roman" w:eastAsia="Times New Roman" w:hAnsi="Times New Roman" w:cs="Times New Roman"/>
          <w:color w:val="161616"/>
          <w:sz w:val="24"/>
          <w:szCs w:val="24"/>
          <w:lang w:val="en-GB" w:eastAsia="hu-HU"/>
        </w:rPr>
        <w:tab/>
        <w:t>For the purposes of this Convention, the Committee on Safety and Security at Sports Events is hereby established.</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2</w:t>
      </w:r>
      <w:r w:rsidRPr="008C05BA">
        <w:rPr>
          <w:rFonts w:ascii="Times New Roman" w:eastAsia="Times New Roman" w:hAnsi="Times New Roman" w:cs="Times New Roman"/>
          <w:color w:val="161616"/>
          <w:sz w:val="24"/>
          <w:szCs w:val="24"/>
          <w:lang w:val="en-GB" w:eastAsia="hu-HU"/>
        </w:rPr>
        <w:tab/>
        <w:t>Any Party to this Convention may be represented on the committee by one or more delegates representing lead governmental agencies, preferably with responsibility for sport safety and security, and the NFIP. Each Party to this Convention shall have one vote.</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3</w:t>
      </w:r>
      <w:r w:rsidRPr="008C05BA">
        <w:rPr>
          <w:rFonts w:ascii="Times New Roman" w:eastAsia="Times New Roman" w:hAnsi="Times New Roman" w:cs="Times New Roman"/>
          <w:color w:val="161616"/>
          <w:sz w:val="24"/>
          <w:szCs w:val="24"/>
          <w:lang w:val="en-GB" w:eastAsia="hu-HU"/>
        </w:rPr>
        <w:tab/>
        <w:t>Any member State of the Council of Europe or other State Party to the European Cultural Convention which is not a Party to this Convention, as well as any non-member State which is a Party to Convention No. 120, may be represented on the committee as an observer.</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4</w:t>
      </w:r>
      <w:r w:rsidRPr="008C05BA">
        <w:rPr>
          <w:rFonts w:ascii="Times New Roman" w:eastAsia="Times New Roman" w:hAnsi="Times New Roman" w:cs="Times New Roman"/>
          <w:color w:val="161616"/>
          <w:sz w:val="24"/>
          <w:szCs w:val="24"/>
          <w:lang w:val="en-GB" w:eastAsia="hu-HU"/>
        </w:rPr>
        <w:tab/>
        <w:t>The committee may, by unanimous decision, invite any non-member State of the Council of Europe which is not a Party to this Convention or to Convention No. 120 and any organisation interested in being represented to be an observer at one or more of its meetings.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5</w:t>
      </w:r>
      <w:r w:rsidRPr="008C05BA">
        <w:rPr>
          <w:rFonts w:ascii="Times New Roman" w:eastAsia="Times New Roman" w:hAnsi="Times New Roman" w:cs="Times New Roman"/>
          <w:color w:val="161616"/>
          <w:sz w:val="24"/>
          <w:szCs w:val="24"/>
          <w:lang w:val="en-GB" w:eastAsia="hu-HU"/>
        </w:rPr>
        <w:tab/>
        <w:t>The committee shall be convened by the Secretary General of the Council of Europe. Its first meeting shall be held within one year of the date on which ten member States of the Council of Europe have expressed their consent to be bound by the Convention. It shall subsequently meet at least every year after its first meeting. In addition it shall meet whenever a majority of the Parties so request.</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6</w:t>
      </w:r>
      <w:r w:rsidRPr="008C05BA">
        <w:rPr>
          <w:rFonts w:ascii="Times New Roman" w:eastAsia="Times New Roman" w:hAnsi="Times New Roman" w:cs="Times New Roman"/>
          <w:color w:val="161616"/>
          <w:sz w:val="24"/>
          <w:szCs w:val="24"/>
          <w:lang w:val="en-GB" w:eastAsia="hu-HU"/>
        </w:rPr>
        <w:tab/>
        <w:t>A majority of the Parties shall constitute a quorum for holding a meeting of the committee.</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7</w:t>
      </w:r>
      <w:r w:rsidRPr="008C05BA">
        <w:rPr>
          <w:rFonts w:ascii="Times New Roman" w:eastAsia="Times New Roman" w:hAnsi="Times New Roman" w:cs="Times New Roman"/>
          <w:color w:val="161616"/>
          <w:sz w:val="24"/>
          <w:szCs w:val="24"/>
          <w:lang w:val="en-GB" w:eastAsia="hu-HU"/>
        </w:rPr>
        <w:tab/>
        <w:t>Subject to the provisions of this Convention, the committee shall draw up and adopt by consensus its own rules of procedure.</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14 – Functions of the Committee on Safety and Security at Sports Events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1</w:t>
      </w:r>
      <w:r w:rsidRPr="008C05BA">
        <w:rPr>
          <w:rFonts w:ascii="Times New Roman" w:eastAsia="Times New Roman" w:hAnsi="Times New Roman" w:cs="Times New Roman"/>
          <w:color w:val="161616"/>
          <w:sz w:val="24"/>
          <w:szCs w:val="24"/>
          <w:lang w:val="en-GB" w:eastAsia="hu-HU"/>
        </w:rPr>
        <w:tab/>
        <w:t>The committee shall be responsible for monitoring the application of this Convention. It may in particular:</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a</w:t>
      </w:r>
      <w:r w:rsidRPr="008C05BA">
        <w:rPr>
          <w:rFonts w:ascii="Times New Roman" w:eastAsia="Times New Roman" w:hAnsi="Times New Roman" w:cs="Times New Roman"/>
          <w:color w:val="161616"/>
          <w:sz w:val="24"/>
          <w:szCs w:val="24"/>
          <w:lang w:val="en-GB" w:eastAsia="hu-HU"/>
        </w:rPr>
        <w:tab/>
        <w:t>keep under review the provisions of this Convention and examine any necessary modifications;</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b</w:t>
      </w:r>
      <w:r w:rsidRPr="008C05BA">
        <w:rPr>
          <w:rFonts w:ascii="Times New Roman" w:eastAsia="Times New Roman" w:hAnsi="Times New Roman" w:cs="Times New Roman"/>
          <w:color w:val="161616"/>
          <w:sz w:val="24"/>
          <w:szCs w:val="24"/>
          <w:lang w:val="en-GB" w:eastAsia="hu-HU"/>
        </w:rPr>
        <w:tab/>
        <w:t>hold consultations and, where appropriate, exchange information with relevant organisations;</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c</w:t>
      </w:r>
      <w:r w:rsidRPr="008C05BA">
        <w:rPr>
          <w:rFonts w:ascii="Times New Roman" w:eastAsia="Times New Roman" w:hAnsi="Times New Roman" w:cs="Times New Roman"/>
          <w:color w:val="161616"/>
          <w:sz w:val="24"/>
          <w:szCs w:val="24"/>
          <w:lang w:val="en-GB" w:eastAsia="hu-HU"/>
        </w:rPr>
        <w:tab/>
        <w:t>make recommendations to the Parties to this Convention concerning measures to be taken for its implementation;</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d</w:t>
      </w:r>
      <w:r w:rsidRPr="008C05BA">
        <w:rPr>
          <w:rFonts w:ascii="Times New Roman" w:eastAsia="Times New Roman" w:hAnsi="Times New Roman" w:cs="Times New Roman"/>
          <w:color w:val="161616"/>
          <w:sz w:val="24"/>
          <w:szCs w:val="24"/>
          <w:lang w:val="en-GB" w:eastAsia="hu-HU"/>
        </w:rPr>
        <w:tab/>
        <w:t>recommend the appropriate measures to keep the public informed about the activities undertaken within the framework of this Convention;</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e</w:t>
      </w:r>
      <w:r w:rsidRPr="008C05BA">
        <w:rPr>
          <w:rFonts w:ascii="Times New Roman" w:eastAsia="Times New Roman" w:hAnsi="Times New Roman" w:cs="Times New Roman"/>
          <w:color w:val="161616"/>
          <w:sz w:val="24"/>
          <w:szCs w:val="24"/>
          <w:lang w:val="en-GB" w:eastAsia="hu-HU"/>
        </w:rPr>
        <w:tab/>
        <w:t>make recommendations to the Committee of Ministers concerning non-member States of the Council of Europe to be invited to accede to this Convention;</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f</w:t>
      </w:r>
      <w:r w:rsidRPr="008C05BA">
        <w:rPr>
          <w:rFonts w:ascii="Times New Roman" w:eastAsia="Times New Roman" w:hAnsi="Times New Roman" w:cs="Times New Roman"/>
          <w:color w:val="161616"/>
          <w:sz w:val="24"/>
          <w:szCs w:val="24"/>
          <w:lang w:val="en-GB" w:eastAsia="hu-HU"/>
        </w:rPr>
        <w:tab/>
        <w:t>make any proposal for improving the effectiveness of this Convention;</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g</w:t>
      </w:r>
      <w:r w:rsidRPr="008C05BA">
        <w:rPr>
          <w:rFonts w:ascii="Times New Roman" w:eastAsia="Times New Roman" w:hAnsi="Times New Roman" w:cs="Times New Roman"/>
          <w:color w:val="161616"/>
          <w:sz w:val="24"/>
          <w:szCs w:val="24"/>
          <w:lang w:val="en-GB" w:eastAsia="hu-HU"/>
        </w:rPr>
        <w:tab/>
        <w:t>facilitate the collection, analysis and exchange of information, experience and good practices between States.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2</w:t>
      </w:r>
      <w:r w:rsidRPr="008C05BA">
        <w:rPr>
          <w:rFonts w:ascii="Times New Roman" w:eastAsia="Times New Roman" w:hAnsi="Times New Roman" w:cs="Times New Roman"/>
          <w:color w:val="161616"/>
          <w:sz w:val="24"/>
          <w:szCs w:val="24"/>
          <w:lang w:val="en-GB" w:eastAsia="hu-HU"/>
        </w:rPr>
        <w:tab/>
        <w:t>The committee, with the prior agreement of the Parties concerned, shall monitor compliance with this Convention through a programme of visits to the States Parties, in order to provide advice and support on the implementation of this Convention.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3</w:t>
      </w:r>
      <w:r w:rsidRPr="008C05BA">
        <w:rPr>
          <w:rFonts w:ascii="Times New Roman" w:eastAsia="Times New Roman" w:hAnsi="Times New Roman" w:cs="Times New Roman"/>
          <w:color w:val="161616"/>
          <w:sz w:val="24"/>
          <w:szCs w:val="24"/>
          <w:lang w:val="en-GB" w:eastAsia="hu-HU"/>
        </w:rPr>
        <w:tab/>
        <w:t>The committee shall also gather the information provided by States Parties according to Article 12, and transmit relevant data to all States Parties of the Convention. It may in particular inform each State Party about the nomination of a new NFIP, and circulate its contact details.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4</w:t>
      </w:r>
      <w:r w:rsidRPr="008C05BA">
        <w:rPr>
          <w:rFonts w:ascii="Times New Roman" w:eastAsia="Times New Roman" w:hAnsi="Times New Roman" w:cs="Times New Roman"/>
          <w:color w:val="161616"/>
          <w:sz w:val="24"/>
          <w:szCs w:val="24"/>
          <w:lang w:val="en-GB" w:eastAsia="hu-HU"/>
        </w:rPr>
        <w:tab/>
        <w:t>In order to discharge its functions, the committee may, on its own initiative, arrange for meetings of groups of experts.</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15 – Amendments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1</w:t>
      </w:r>
      <w:r w:rsidRPr="008C05BA">
        <w:rPr>
          <w:rFonts w:ascii="Times New Roman" w:eastAsia="Times New Roman" w:hAnsi="Times New Roman" w:cs="Times New Roman"/>
          <w:color w:val="161616"/>
          <w:sz w:val="24"/>
          <w:szCs w:val="24"/>
          <w:lang w:val="en-GB" w:eastAsia="hu-HU"/>
        </w:rPr>
        <w:tab/>
        <w:t>Amendments to this Convention may be proposed by a Party, the Committee on Safety and Security at Sports Events or the Committee of Ministers of the Council of Europe.</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2</w:t>
      </w:r>
      <w:r w:rsidRPr="008C05BA">
        <w:rPr>
          <w:rFonts w:ascii="Times New Roman" w:eastAsia="Times New Roman" w:hAnsi="Times New Roman" w:cs="Times New Roman"/>
          <w:color w:val="161616"/>
          <w:sz w:val="24"/>
          <w:szCs w:val="24"/>
          <w:lang w:val="en-GB" w:eastAsia="hu-HU"/>
        </w:rPr>
        <w:tab/>
        <w:t>Any proposal for amendment shall be communicated by the Secretary General of the Council of Europe to the member States of the Council of Europe, to the other States Parties to the European Cultural Convention, to any non-member State of the Council of Europe having acceded to Convention No. 120 prior to the date of opening for signature of this Convention and to every non-member State which has acceded to or has been invited to accede to this Convention in accordance with the provisions of Article 18.</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3</w:t>
      </w:r>
      <w:r w:rsidRPr="008C05BA">
        <w:rPr>
          <w:rFonts w:ascii="Times New Roman" w:eastAsia="Times New Roman" w:hAnsi="Times New Roman" w:cs="Times New Roman"/>
          <w:color w:val="161616"/>
          <w:sz w:val="24"/>
          <w:szCs w:val="24"/>
          <w:lang w:val="en-GB" w:eastAsia="hu-HU"/>
        </w:rPr>
        <w:tab/>
        <w:t>Any amendment proposed by a Party or the Committee of Ministers shall be communicated to the committee at least two months before the meeting at which it is to be considered. The committee shall submit its opinion on the proposed amendment to the Committee of Ministers.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4</w:t>
      </w:r>
      <w:r w:rsidRPr="008C05BA">
        <w:rPr>
          <w:rFonts w:ascii="Times New Roman" w:eastAsia="Times New Roman" w:hAnsi="Times New Roman" w:cs="Times New Roman"/>
          <w:color w:val="161616"/>
          <w:sz w:val="24"/>
          <w:szCs w:val="24"/>
          <w:lang w:val="en-GB" w:eastAsia="hu-HU"/>
        </w:rPr>
        <w:tab/>
        <w:t>The Committee of Ministers shall consider the proposed amendment and any opinion submitted by the committee and may adopt the amendment by the majority provided for in Article 20.d of the Statute of the Council of Europe.</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5</w:t>
      </w:r>
      <w:r w:rsidRPr="008C05BA">
        <w:rPr>
          <w:rFonts w:ascii="Times New Roman" w:eastAsia="Times New Roman" w:hAnsi="Times New Roman" w:cs="Times New Roman"/>
          <w:color w:val="161616"/>
          <w:sz w:val="24"/>
          <w:szCs w:val="24"/>
          <w:lang w:val="en-GB" w:eastAsia="hu-HU"/>
        </w:rPr>
        <w:tab/>
        <w:t>The text of any amendment adopted by the Committee of Ministers in accordance with paragraph 4 of this article shall be forwarded to the Parties for acceptance in accordance with their respective internal procedures.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6</w:t>
      </w:r>
      <w:r w:rsidRPr="008C05BA">
        <w:rPr>
          <w:rFonts w:ascii="Times New Roman" w:eastAsia="Times New Roman" w:hAnsi="Times New Roman" w:cs="Times New Roman"/>
          <w:color w:val="161616"/>
          <w:sz w:val="24"/>
          <w:szCs w:val="24"/>
          <w:lang w:val="en-GB" w:eastAsia="hu-HU"/>
        </w:rPr>
        <w:tab/>
        <w:t>Any amendment adopted in accordance with paragraph 4 of this article shall come into force on the first day of the month following the expiration of a period of one month after all Parties have informed the Secretary General of their acceptance thereof.</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Final Clauses</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16 – Signature</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1</w:t>
      </w:r>
      <w:r w:rsidRPr="008C05BA">
        <w:rPr>
          <w:rFonts w:ascii="Times New Roman" w:eastAsia="Times New Roman" w:hAnsi="Times New Roman" w:cs="Times New Roman"/>
          <w:color w:val="161616"/>
          <w:sz w:val="24"/>
          <w:szCs w:val="24"/>
          <w:lang w:val="en-GB" w:eastAsia="hu-HU"/>
        </w:rPr>
        <w:tab/>
        <w:t>This Convention shall be open for signature by the member States of the Council of Europe, the States Parties to the European Cultural Convention and any non-member State of the Council of Europe having acceded to the European Convention on Spectator Violence and Misbehaviour at Sports Events and in particular at Football Matches (ETS No. 120), opened for signature in Strasbourg on 19 August 1985, prior to the date of opening for signature of this Convention.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2</w:t>
      </w:r>
      <w:r w:rsidRPr="008C05BA">
        <w:rPr>
          <w:rFonts w:ascii="Times New Roman" w:eastAsia="Times New Roman" w:hAnsi="Times New Roman" w:cs="Times New Roman"/>
          <w:color w:val="161616"/>
          <w:sz w:val="24"/>
          <w:szCs w:val="24"/>
          <w:lang w:val="en-GB" w:eastAsia="hu-HU"/>
        </w:rPr>
        <w:tab/>
        <w:t>This Convention is subject to ratification, acceptance or approval. Instruments of ratification, acceptance or approval shall be deposited with the Secretary General of the Council of Europe.</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3</w:t>
      </w:r>
      <w:r w:rsidRPr="008C05BA">
        <w:rPr>
          <w:rFonts w:ascii="Times New Roman" w:eastAsia="Times New Roman" w:hAnsi="Times New Roman" w:cs="Times New Roman"/>
          <w:color w:val="161616"/>
          <w:sz w:val="24"/>
          <w:szCs w:val="24"/>
          <w:lang w:val="en-GB" w:eastAsia="hu-HU"/>
        </w:rPr>
        <w:tab/>
        <w:t>No State Party to Convention No. 120 may deposit its instrument of ratification, acceptance or approval unless it has already denounced the said convention or denounces it simultaneously.</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4</w:t>
      </w:r>
      <w:r w:rsidRPr="008C05BA">
        <w:rPr>
          <w:rFonts w:ascii="Times New Roman" w:eastAsia="Times New Roman" w:hAnsi="Times New Roman" w:cs="Times New Roman"/>
          <w:color w:val="161616"/>
          <w:sz w:val="24"/>
          <w:szCs w:val="24"/>
          <w:lang w:val="en-GB" w:eastAsia="hu-HU"/>
        </w:rPr>
        <w:tab/>
        <w:t>When depositing its instrument of ratification, acceptance or approval in accordance with the preceding paragraph, a Contracting State may declare that it will continue to apply Convention No. 120 until the entry into force of this Convention according to the provisions of Article 17, paragraph 1.</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17 – Entry into force</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1</w:t>
      </w:r>
      <w:r w:rsidRPr="008C05BA">
        <w:rPr>
          <w:rFonts w:ascii="Times New Roman" w:eastAsia="Times New Roman" w:hAnsi="Times New Roman" w:cs="Times New Roman"/>
          <w:color w:val="161616"/>
          <w:sz w:val="24"/>
          <w:szCs w:val="24"/>
          <w:lang w:val="en-GB" w:eastAsia="hu-HU"/>
        </w:rPr>
        <w:tab/>
        <w:t>The Convention shall enter into force on the first day of the month following the expiration of a period of one month after the date on which three member States of the Council of Europe have expressed their consent to be bound by the Convention in accordance with the provisions of Article 16.</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2</w:t>
      </w:r>
      <w:r w:rsidRPr="008C05BA">
        <w:rPr>
          <w:rFonts w:ascii="Times New Roman" w:eastAsia="Times New Roman" w:hAnsi="Times New Roman" w:cs="Times New Roman"/>
          <w:color w:val="161616"/>
          <w:sz w:val="24"/>
          <w:szCs w:val="24"/>
          <w:lang w:val="en-GB" w:eastAsia="hu-HU"/>
        </w:rPr>
        <w:tab/>
        <w:t>In respect of any Signatory State which subsequently expresses its consent to be bound by it, the Convention shall enter into force on the first day of the month following the expiration of a period of one month after the date of the deposit of the instrument of ratification, acceptance or approval.</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18 – Accession by non-member States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1</w:t>
      </w:r>
      <w:r w:rsidRPr="008C05BA">
        <w:rPr>
          <w:rFonts w:ascii="Times New Roman" w:eastAsia="Times New Roman" w:hAnsi="Times New Roman" w:cs="Times New Roman"/>
          <w:color w:val="161616"/>
          <w:sz w:val="24"/>
          <w:szCs w:val="24"/>
          <w:lang w:val="en-GB" w:eastAsia="hu-HU"/>
        </w:rPr>
        <w:tab/>
        <w:t>After the entry into force of this Convention, the Committee of Ministers of the Council of Europe, after consulting the Parties, may invite any non-member State of the Council of Europe to accede to the Convention by a decision taken by the majority provided for in Article 20.d of the Statute of the Council of Europe and by the unanimous vote of the representatives of the Contracting States entitled to sit on the Committee of Ministers.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2</w:t>
      </w:r>
      <w:r w:rsidRPr="008C05BA">
        <w:rPr>
          <w:rFonts w:ascii="Times New Roman" w:eastAsia="Times New Roman" w:hAnsi="Times New Roman" w:cs="Times New Roman"/>
          <w:color w:val="161616"/>
          <w:sz w:val="24"/>
          <w:szCs w:val="24"/>
          <w:lang w:val="en-GB" w:eastAsia="hu-HU"/>
        </w:rPr>
        <w:tab/>
        <w:t>In respect of any acceding State, the Convention shall enter into force on the first day of the month following the expiration of a period of one month after the date of the deposit of the instrument of accession with the Secretary General of the Council of Europe.</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3</w:t>
      </w:r>
      <w:r w:rsidRPr="008C05BA">
        <w:rPr>
          <w:rFonts w:ascii="Times New Roman" w:eastAsia="Times New Roman" w:hAnsi="Times New Roman" w:cs="Times New Roman"/>
          <w:color w:val="161616"/>
          <w:sz w:val="24"/>
          <w:szCs w:val="24"/>
          <w:lang w:val="en-GB" w:eastAsia="hu-HU"/>
        </w:rPr>
        <w:tab/>
        <w:t>A Party which is not a member State of the Council of Europe shall contribute to the financing of the Committee on Safety and Security at Sports Events in a manner to be decided by the Committee of Ministers.</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19 – Effects of the Convention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1</w:t>
      </w:r>
      <w:r w:rsidRPr="008C05BA">
        <w:rPr>
          <w:rFonts w:ascii="Times New Roman" w:eastAsia="Times New Roman" w:hAnsi="Times New Roman" w:cs="Times New Roman"/>
          <w:color w:val="161616"/>
          <w:sz w:val="24"/>
          <w:szCs w:val="24"/>
          <w:lang w:val="en-GB" w:eastAsia="hu-HU"/>
        </w:rPr>
        <w:tab/>
        <w:t>In relations between a Party to this Convention and a Party to Convention No. 120 which has not ratified this Convention, Articles 4 and 5 of Convention No. 120 shall continue to apply.</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2</w:t>
      </w:r>
      <w:r w:rsidRPr="008C05BA">
        <w:rPr>
          <w:rFonts w:ascii="Times New Roman" w:eastAsia="Times New Roman" w:hAnsi="Times New Roman" w:cs="Times New Roman"/>
          <w:color w:val="161616"/>
          <w:sz w:val="24"/>
          <w:szCs w:val="24"/>
          <w:lang w:val="en-GB" w:eastAsia="hu-HU"/>
        </w:rPr>
        <w:tab/>
        <w:t>After the entry into force of this Convention, if a State has denounced Convention No. 120 but such denunciation is not yet effective at the time of ratification of this Convention, this Convention shall apply according to the provisions of Article 17, paragraph 2.</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20 – Territorial application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1</w:t>
      </w:r>
      <w:r w:rsidRPr="008C05BA">
        <w:rPr>
          <w:rFonts w:ascii="Times New Roman" w:eastAsia="Times New Roman" w:hAnsi="Times New Roman" w:cs="Times New Roman"/>
          <w:color w:val="161616"/>
          <w:sz w:val="24"/>
          <w:szCs w:val="24"/>
          <w:lang w:val="en-GB" w:eastAsia="hu-HU"/>
        </w:rPr>
        <w:tab/>
        <w:t>Any State may, at the time of signature or when depositing its instrument of ratification, acceptance, approval or accession, specify the territory or territories to which this Convention shall apply.</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2</w:t>
      </w:r>
      <w:r w:rsidRPr="008C05BA">
        <w:rPr>
          <w:rFonts w:ascii="Times New Roman" w:eastAsia="Times New Roman" w:hAnsi="Times New Roman" w:cs="Times New Roman"/>
          <w:color w:val="161616"/>
          <w:sz w:val="24"/>
          <w:szCs w:val="24"/>
          <w:lang w:val="en-GB" w:eastAsia="hu-HU"/>
        </w:rPr>
        <w:tab/>
        <w:t>Any Party may, at any later date, by declaration addressed to the Secretary General of the Council of Europe, extend the application of this Convention to any other territory specified in the declaration. In respect of such a territory, the Convention shall enter into force on the first day of the month following the expiration of a period of one month after the date of receipt of said declaration by the Secretary General.</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3</w:t>
      </w:r>
      <w:r w:rsidRPr="008C05BA">
        <w:rPr>
          <w:rFonts w:ascii="Times New Roman" w:eastAsia="Times New Roman" w:hAnsi="Times New Roman" w:cs="Times New Roman"/>
          <w:color w:val="161616"/>
          <w:sz w:val="24"/>
          <w:szCs w:val="24"/>
          <w:lang w:val="en-GB" w:eastAsia="hu-HU"/>
        </w:rPr>
        <w:tab/>
        <w:t>Any declaration made under the two preceding paragraphs may, in respect of any territory mentioned in the declaration, be withdrawn by a notification addressed to the Secretary General. This withdrawal shall become effective on the first day of the month following the expiration of a period of six months after the date of receipt of the notification by the Secretary General.</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21 – Denunciation</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1</w:t>
      </w:r>
      <w:r w:rsidRPr="008C05BA">
        <w:rPr>
          <w:rFonts w:ascii="Times New Roman" w:eastAsia="Times New Roman" w:hAnsi="Times New Roman" w:cs="Times New Roman"/>
          <w:color w:val="161616"/>
          <w:sz w:val="24"/>
          <w:szCs w:val="24"/>
          <w:lang w:val="en-GB" w:eastAsia="hu-HU"/>
        </w:rPr>
        <w:tab/>
        <w:t>Any Party may, at any time, denounce this Convention by means of a notification addressed to the Secretary General of the Council of Europe.</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2</w:t>
      </w:r>
      <w:r w:rsidRPr="008C05BA">
        <w:rPr>
          <w:rFonts w:ascii="Times New Roman" w:eastAsia="Times New Roman" w:hAnsi="Times New Roman" w:cs="Times New Roman"/>
          <w:color w:val="161616"/>
          <w:sz w:val="24"/>
          <w:szCs w:val="24"/>
          <w:lang w:val="en-GB" w:eastAsia="hu-HU"/>
        </w:rPr>
        <w:tab/>
        <w:t>This denunciation shall become effective on the first day of the month following the expiration of a period of six months after the date of receipt of the notification by the Secretary General.</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b/>
          <w:bCs/>
          <w:color w:val="161616"/>
          <w:sz w:val="24"/>
          <w:szCs w:val="24"/>
          <w:lang w:val="en-GB" w:eastAsia="hu-HU"/>
        </w:rPr>
        <w:t>Article 22 – Notifications</w:t>
      </w:r>
    </w:p>
    <w:p w:rsidR="008C05BA" w:rsidRPr="008C05BA" w:rsidRDefault="008C05BA" w:rsidP="008C05BA">
      <w:pPr>
        <w:shd w:val="clear" w:color="auto" w:fill="FFFFFF"/>
        <w:spacing w:after="150" w:line="240" w:lineRule="auto"/>
        <w:ind w:left="709" w:hanging="425"/>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The Secretary General of the Council of Europe shall notify the member States of the Council of Europe, the other States Parties to the European Cultural Convention and any State which has acceded to this Convention, of:</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a</w:t>
      </w:r>
      <w:r w:rsidRPr="008C05BA">
        <w:rPr>
          <w:rFonts w:ascii="Times New Roman" w:eastAsia="Times New Roman" w:hAnsi="Times New Roman" w:cs="Times New Roman"/>
          <w:color w:val="161616"/>
          <w:sz w:val="24"/>
          <w:szCs w:val="24"/>
          <w:lang w:val="en-GB" w:eastAsia="hu-HU"/>
        </w:rPr>
        <w:tab/>
        <w:t>any signature in accordance with Article 16;</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b</w:t>
      </w:r>
      <w:r w:rsidRPr="008C05BA">
        <w:rPr>
          <w:rFonts w:ascii="Times New Roman" w:eastAsia="Times New Roman" w:hAnsi="Times New Roman" w:cs="Times New Roman"/>
          <w:color w:val="161616"/>
          <w:sz w:val="24"/>
          <w:szCs w:val="24"/>
          <w:lang w:val="en-GB" w:eastAsia="hu-HU"/>
        </w:rPr>
        <w:tab/>
        <w:t>the deposit of any instrument of ratification, acceptance, approval or accession in accordance with Article 16 or Article 18;</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c</w:t>
      </w:r>
      <w:r w:rsidRPr="008C05BA">
        <w:rPr>
          <w:rFonts w:ascii="Times New Roman" w:eastAsia="Times New Roman" w:hAnsi="Times New Roman" w:cs="Times New Roman"/>
          <w:color w:val="161616"/>
          <w:sz w:val="24"/>
          <w:szCs w:val="24"/>
          <w:lang w:val="en-GB" w:eastAsia="hu-HU"/>
        </w:rPr>
        <w:tab/>
        <w:t>any date of entry into force of this Convention in accordance with Articles 17 and 18;</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d</w:t>
      </w:r>
      <w:r w:rsidRPr="008C05BA">
        <w:rPr>
          <w:rFonts w:ascii="Times New Roman" w:eastAsia="Times New Roman" w:hAnsi="Times New Roman" w:cs="Times New Roman"/>
          <w:color w:val="161616"/>
          <w:sz w:val="24"/>
          <w:szCs w:val="24"/>
          <w:lang w:val="en-GB" w:eastAsia="hu-HU"/>
        </w:rPr>
        <w:tab/>
        <w:t>any proposal for amendment or any amendment adopted in accordance with Article 15 and the date on which the amendment comes into force;</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e</w:t>
      </w:r>
      <w:r w:rsidRPr="008C05BA">
        <w:rPr>
          <w:rFonts w:ascii="Times New Roman" w:eastAsia="Times New Roman" w:hAnsi="Times New Roman" w:cs="Times New Roman"/>
          <w:color w:val="161616"/>
          <w:sz w:val="24"/>
          <w:szCs w:val="24"/>
          <w:lang w:val="en-GB" w:eastAsia="hu-HU"/>
        </w:rPr>
        <w:tab/>
        <w:t>any declaration made under the provisions of Article 20;</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f</w:t>
      </w:r>
      <w:r w:rsidRPr="008C05BA">
        <w:rPr>
          <w:rFonts w:ascii="Times New Roman" w:eastAsia="Times New Roman" w:hAnsi="Times New Roman" w:cs="Times New Roman"/>
          <w:color w:val="161616"/>
          <w:sz w:val="24"/>
          <w:szCs w:val="24"/>
          <w:lang w:val="en-GB" w:eastAsia="hu-HU"/>
        </w:rPr>
        <w:tab/>
        <w:t>any denunciation made in pursuance of the provisions of Article 21;</w:t>
      </w:r>
    </w:p>
    <w:p w:rsidR="008C05BA" w:rsidRPr="008C05BA" w:rsidRDefault="008C05BA" w:rsidP="008C05BA">
      <w:pPr>
        <w:shd w:val="clear" w:color="auto" w:fill="FFFFFF"/>
        <w:spacing w:after="150" w:line="240" w:lineRule="auto"/>
        <w:ind w:left="1134" w:hanging="426"/>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g</w:t>
      </w:r>
      <w:r w:rsidRPr="008C05BA">
        <w:rPr>
          <w:rFonts w:ascii="Times New Roman" w:eastAsia="Times New Roman" w:hAnsi="Times New Roman" w:cs="Times New Roman"/>
          <w:color w:val="161616"/>
          <w:sz w:val="24"/>
          <w:szCs w:val="24"/>
          <w:lang w:val="en-GB" w:eastAsia="hu-HU"/>
        </w:rPr>
        <w:tab/>
        <w:t>any other act, declaration, notification or communication relating to this Convention.</w:t>
      </w:r>
    </w:p>
    <w:p w:rsidR="008C05BA" w:rsidRPr="008C05BA" w:rsidRDefault="008C05BA" w:rsidP="008C05BA">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In witness whereof the undersigned, being duly authorised thereto, have signed this Convention.</w:t>
      </w:r>
    </w:p>
    <w:p w:rsidR="008C05BA" w:rsidRPr="00262DE8" w:rsidRDefault="008C05BA" w:rsidP="00262DE8">
      <w:pPr>
        <w:shd w:val="clear" w:color="auto" w:fill="FFFFFF"/>
        <w:spacing w:after="150" w:line="240" w:lineRule="auto"/>
        <w:jc w:val="both"/>
        <w:rPr>
          <w:rFonts w:ascii="Times New Roman" w:eastAsia="Times New Roman" w:hAnsi="Times New Roman" w:cs="Times New Roman"/>
          <w:color w:val="161616"/>
          <w:sz w:val="24"/>
          <w:szCs w:val="24"/>
          <w:lang w:val="en-GB" w:eastAsia="hu-HU"/>
        </w:rPr>
      </w:pPr>
      <w:r w:rsidRPr="008C05BA">
        <w:rPr>
          <w:rFonts w:ascii="Times New Roman" w:eastAsia="Times New Roman" w:hAnsi="Times New Roman" w:cs="Times New Roman"/>
          <w:color w:val="161616"/>
          <w:sz w:val="24"/>
          <w:szCs w:val="24"/>
          <w:lang w:val="en-GB" w:eastAsia="hu-HU"/>
        </w:rPr>
        <w:t>Done at Saint-Denis, this 3rd day of July 2016 in English and French, both texts being equally authentic, in a single copy which shall be deposited in the archives of the Council of Europe. The Secretary General of the Council of Europe shall transmit certified copies to each member State of the Council of Europe, to each State Party to the European Cultural Convention, and any State invited to accede to this Convention.</w:t>
      </w:r>
      <w:r w:rsidRPr="008C05BA">
        <w:rPr>
          <w:rFonts w:ascii="Times New Roman" w:hAnsi="Times New Roman" w:cs="Times New Roman"/>
          <w:sz w:val="24"/>
        </w:rPr>
        <w:br w:type="page"/>
      </w:r>
    </w:p>
    <w:p w:rsidR="008C05BA" w:rsidRPr="008C05BA" w:rsidRDefault="008C05BA" w:rsidP="008C05BA">
      <w:pPr>
        <w:spacing w:after="0"/>
        <w:jc w:val="center"/>
        <w:rPr>
          <w:rFonts w:ascii="Times New Roman" w:hAnsi="Times New Roman" w:cs="Times New Roman"/>
          <w:b/>
          <w:sz w:val="24"/>
        </w:rPr>
      </w:pPr>
      <w:r w:rsidRPr="008C05BA">
        <w:rPr>
          <w:rFonts w:ascii="Times New Roman" w:hAnsi="Times New Roman" w:cs="Times New Roman"/>
          <w:b/>
          <w:sz w:val="24"/>
        </w:rPr>
        <w:t>Általános indokolás</w:t>
      </w:r>
    </w:p>
    <w:p w:rsidR="008C05BA" w:rsidRPr="008C05BA" w:rsidRDefault="008C05BA" w:rsidP="008C05BA">
      <w:pPr>
        <w:spacing w:after="0" w:line="240" w:lineRule="auto"/>
        <w:jc w:val="both"/>
        <w:rPr>
          <w:rFonts w:ascii="Times New Roman" w:eastAsia="Calibri" w:hAnsi="Times New Roman" w:cs="Times New Roman"/>
          <w:sz w:val="24"/>
          <w:szCs w:val="24"/>
        </w:rPr>
      </w:pPr>
    </w:p>
    <w:p w:rsidR="008C05BA" w:rsidRPr="008C05BA" w:rsidRDefault="008C05BA" w:rsidP="008C05BA">
      <w:pPr>
        <w:spacing w:after="0" w:line="240" w:lineRule="auto"/>
        <w:jc w:val="both"/>
        <w:rPr>
          <w:rFonts w:ascii="Times New Roman" w:eastAsia="Calibri" w:hAnsi="Times New Roman" w:cs="Times New Roman"/>
          <w:sz w:val="24"/>
          <w:szCs w:val="24"/>
        </w:rPr>
      </w:pPr>
      <w:r w:rsidRPr="008C05BA">
        <w:rPr>
          <w:rFonts w:ascii="Times New Roman" w:eastAsia="Calibri" w:hAnsi="Times New Roman" w:cs="Times New Roman"/>
          <w:sz w:val="24"/>
          <w:szCs w:val="24"/>
        </w:rPr>
        <w:t>A tervezethez tartozó indokolás a Magyar Közlöny kiadásáról, valamint a jogszabály kihirdetése során történő és a közjogi szervezetszabályozó eszköz közzététele során történő megjelöléséről szóló 5/2019. (III. 13.) IM rendelet 20. § (2) bekezdés a) pontja alapján közzétételre kerül.</w:t>
      </w:r>
    </w:p>
    <w:p w:rsidR="008C05BA" w:rsidRPr="008C05BA" w:rsidRDefault="008C05BA" w:rsidP="008C05BA">
      <w:pPr>
        <w:spacing w:after="0"/>
        <w:jc w:val="center"/>
        <w:rPr>
          <w:rFonts w:ascii="Times New Roman" w:hAnsi="Times New Roman" w:cs="Times New Roman"/>
          <w:b/>
          <w:sz w:val="24"/>
        </w:rPr>
      </w:pPr>
    </w:p>
    <w:p w:rsidR="008C05BA" w:rsidRPr="008C05BA" w:rsidRDefault="008C05BA" w:rsidP="008C05BA">
      <w:pPr>
        <w:spacing w:after="0" w:line="240" w:lineRule="auto"/>
        <w:jc w:val="both"/>
        <w:rPr>
          <w:rFonts w:ascii="Times New Roman" w:eastAsia="Calibri" w:hAnsi="Times New Roman" w:cs="Times New Roman"/>
          <w:sz w:val="24"/>
          <w:szCs w:val="24"/>
        </w:rPr>
      </w:pPr>
      <w:r w:rsidRPr="008C05BA">
        <w:rPr>
          <w:rFonts w:ascii="Times New Roman" w:eastAsia="Calibri" w:hAnsi="Times New Roman" w:cs="Times New Roman"/>
          <w:sz w:val="24"/>
          <w:szCs w:val="24"/>
        </w:rPr>
        <w:t>Az 1980-as években a labdarúgó-mérkőzéseken előforduló számos erőszakos cselekmény és rendzavarás rámutatott arra, hogy az úgynevezett „futballhuliganizmus” olyan, Európa-szerte megnyilvánuló jelenség, amely európai szintű intézményi választ követel meg az Európa Tanácstól. A fentiekre figyelemmel készült el a sporteseményeken, különösen a labdarúgó mérkőzéseken megnyilvánuló nézői erőszakról és nem megfelelő viselkedésről szóló egyezmény (a továbbiakban: 120. számú egyezmény), amit 1985. augusztus 19-én nyitottak meg aláírásra. A 120. számú egyezmény 1985. november 1-jén lépett hatályba, és 42 részes állam ratifikálta azt. A 120. számú egyezményhez hazánk 1990. április 18-án csatlakozott, az Magyarország vonatkozásában 1990. június 1-jén lépett hatályba. A 120. számú egyezményt a 2003. évi LXIII. törvény hirdette ki.</w:t>
      </w:r>
    </w:p>
    <w:p w:rsidR="008C05BA" w:rsidRPr="008C05BA" w:rsidRDefault="008C05BA" w:rsidP="008C05BA">
      <w:pPr>
        <w:spacing w:after="0" w:line="240" w:lineRule="auto"/>
        <w:jc w:val="both"/>
        <w:rPr>
          <w:rFonts w:ascii="Times New Roman" w:eastAsia="Calibri" w:hAnsi="Times New Roman" w:cs="Times New Roman"/>
          <w:sz w:val="24"/>
          <w:szCs w:val="24"/>
        </w:rPr>
      </w:pPr>
      <w:r w:rsidRPr="008C05BA">
        <w:rPr>
          <w:rFonts w:ascii="Times New Roman" w:eastAsia="Calibri" w:hAnsi="Times New Roman" w:cs="Times New Roman"/>
          <w:sz w:val="24"/>
          <w:szCs w:val="24"/>
        </w:rPr>
        <w:t xml:space="preserve">Az Európa Tanács Miniszteri Bizottsága 2013 decemberében határozott a 120. számú egyezmény felülvizsgálatáról. A felülvizsgálat eredményeként készült el </w:t>
      </w:r>
      <w:r w:rsidRPr="008C05BA">
        <w:rPr>
          <w:rFonts w:ascii="Times New Roman" w:hAnsi="Times New Roman" w:cs="Times New Roman"/>
          <w:sz w:val="24"/>
          <w:szCs w:val="24"/>
        </w:rPr>
        <w:t xml:space="preserve">az Európa Tanács labdarúgó-mérkőzések és egyéb sportrendezvények biztonságához, biztosításához és az ott nyújtott szolgáltatásokhoz kapcsolódó integrált megközelítésről szóló Egyezménye (a továbbiakban: </w:t>
      </w:r>
      <w:r w:rsidRPr="008C05BA">
        <w:rPr>
          <w:rFonts w:ascii="Times New Roman" w:eastAsia="Calibri" w:hAnsi="Times New Roman" w:cs="Times New Roman"/>
          <w:sz w:val="24"/>
          <w:szCs w:val="24"/>
        </w:rPr>
        <w:t xml:space="preserve">Egyezmény), amely 2016. július 3-án nyílt meg aláírásra. Az Egyezmény célja annak lehetővé tétele, hogy a labdarúgó- és egyéb sportrendezvények védett, biztonságos és kellemes környezetet nyújtsanak minden egyén számára. E cél elérése érdekében az Egyezmény a labdarúgó- és más sportrendezvényekre vonatkozó, egymáshoz kapcsolódó intézkedések kidolgozásában résztvevő valamennyi szervezet közötti partnerség és együttműködés kialakításának szükségességére helyezi a hangsúlyt. Az Egyezmény </w:t>
      </w:r>
      <w:r w:rsidRPr="008C05BA">
        <w:rPr>
          <w:rFonts w:ascii="Times New Roman" w:hAnsi="Times New Roman" w:cs="Times New Roman"/>
          <w:sz w:val="24"/>
          <w:szCs w:val="24"/>
        </w:rPr>
        <w:t>tartalma jellemzően nem előíró jellegű, hanem inkább az alapvető elveket lefektető keretdokumentumként szolgál.</w:t>
      </w:r>
    </w:p>
    <w:p w:rsidR="008C05BA" w:rsidRDefault="008C05BA" w:rsidP="008C05BA">
      <w:pPr>
        <w:spacing w:after="0" w:line="240" w:lineRule="auto"/>
        <w:jc w:val="both"/>
        <w:rPr>
          <w:rFonts w:ascii="Times New Roman" w:eastAsia="Calibri" w:hAnsi="Times New Roman" w:cs="Times New Roman"/>
          <w:sz w:val="24"/>
          <w:szCs w:val="24"/>
        </w:rPr>
      </w:pPr>
      <w:r w:rsidRPr="008C05BA">
        <w:rPr>
          <w:rFonts w:ascii="Times New Roman" w:eastAsia="Calibri" w:hAnsi="Times New Roman" w:cs="Times New Roman"/>
          <w:sz w:val="24"/>
          <w:szCs w:val="24"/>
        </w:rPr>
        <w:t>Az Egyezmény 16. cikke értelmében az Egyezmény a 120. számú egyezmény helyébe lép, ezért annak Magyarország vonatkozásában történő megszüntetése, és a 120. számú egyezményt kihirdető törvény hatályon kívül helyezése is szükséges.</w:t>
      </w:r>
    </w:p>
    <w:p w:rsidR="008C05BA" w:rsidRPr="008C05BA" w:rsidRDefault="008C05BA" w:rsidP="008C05BA">
      <w:pPr>
        <w:spacing w:after="0" w:line="240" w:lineRule="auto"/>
        <w:jc w:val="both"/>
        <w:rPr>
          <w:rFonts w:ascii="Times New Roman" w:eastAsia="Calibri" w:hAnsi="Times New Roman" w:cs="Times New Roman"/>
          <w:sz w:val="24"/>
          <w:szCs w:val="24"/>
        </w:rPr>
      </w:pPr>
    </w:p>
    <w:p w:rsidR="008C05BA" w:rsidRPr="008C05BA" w:rsidRDefault="008C05BA" w:rsidP="008C05BA">
      <w:pPr>
        <w:spacing w:after="0"/>
        <w:jc w:val="center"/>
        <w:rPr>
          <w:rFonts w:ascii="Times New Roman" w:hAnsi="Times New Roman" w:cs="Times New Roman"/>
          <w:b/>
          <w:sz w:val="24"/>
        </w:rPr>
      </w:pPr>
    </w:p>
    <w:p w:rsidR="008C05BA" w:rsidRPr="008C05BA" w:rsidRDefault="008C05BA" w:rsidP="008C05BA">
      <w:pPr>
        <w:spacing w:after="0"/>
        <w:jc w:val="center"/>
        <w:rPr>
          <w:rFonts w:ascii="Times New Roman" w:hAnsi="Times New Roman" w:cs="Times New Roman"/>
          <w:b/>
          <w:sz w:val="24"/>
        </w:rPr>
      </w:pPr>
      <w:r w:rsidRPr="008C05BA">
        <w:rPr>
          <w:rFonts w:ascii="Times New Roman" w:hAnsi="Times New Roman" w:cs="Times New Roman"/>
          <w:b/>
          <w:sz w:val="24"/>
        </w:rPr>
        <w:t>Részletes indokolás</w:t>
      </w:r>
    </w:p>
    <w:p w:rsidR="008C05BA" w:rsidRPr="008C05BA" w:rsidRDefault="008C05BA" w:rsidP="008C05BA">
      <w:pPr>
        <w:spacing w:after="0" w:line="240" w:lineRule="auto"/>
        <w:jc w:val="center"/>
        <w:rPr>
          <w:rFonts w:ascii="Times New Roman" w:eastAsia="Times New Roman" w:hAnsi="Times New Roman" w:cs="Times New Roman"/>
          <w:b/>
          <w:sz w:val="24"/>
          <w:szCs w:val="24"/>
          <w:lang w:eastAsia="hu-HU"/>
        </w:rPr>
      </w:pPr>
    </w:p>
    <w:p w:rsidR="008C05BA" w:rsidRPr="008C05BA" w:rsidRDefault="008C05BA" w:rsidP="008C05BA">
      <w:pPr>
        <w:spacing w:after="0" w:line="240" w:lineRule="auto"/>
        <w:jc w:val="center"/>
        <w:rPr>
          <w:rFonts w:ascii="Times New Roman" w:eastAsia="Calibri" w:hAnsi="Times New Roman" w:cs="Times New Roman"/>
          <w:i/>
          <w:sz w:val="24"/>
          <w:szCs w:val="24"/>
        </w:rPr>
      </w:pPr>
      <w:r w:rsidRPr="008C05BA">
        <w:rPr>
          <w:rFonts w:ascii="Times New Roman" w:eastAsia="Calibri" w:hAnsi="Times New Roman" w:cs="Times New Roman"/>
          <w:i/>
          <w:sz w:val="24"/>
          <w:szCs w:val="24"/>
        </w:rPr>
        <w:t>az 1. és 2. §-hoz</w:t>
      </w:r>
    </w:p>
    <w:p w:rsidR="008C05BA" w:rsidRPr="008C05BA" w:rsidRDefault="008C05BA" w:rsidP="008C05BA">
      <w:pPr>
        <w:spacing w:after="0" w:line="240" w:lineRule="auto"/>
        <w:jc w:val="both"/>
        <w:rPr>
          <w:rFonts w:ascii="Times New Roman" w:eastAsia="Calibri" w:hAnsi="Times New Roman" w:cs="Times New Roman"/>
          <w:sz w:val="24"/>
          <w:szCs w:val="24"/>
        </w:rPr>
      </w:pPr>
    </w:p>
    <w:p w:rsidR="008C05BA" w:rsidRPr="008C05BA" w:rsidRDefault="008C05BA" w:rsidP="008C05BA">
      <w:pPr>
        <w:spacing w:after="0" w:line="240" w:lineRule="auto"/>
        <w:jc w:val="both"/>
        <w:rPr>
          <w:rFonts w:ascii="Times New Roman" w:eastAsia="Calibri" w:hAnsi="Times New Roman" w:cs="Times New Roman"/>
          <w:sz w:val="24"/>
          <w:szCs w:val="24"/>
        </w:rPr>
      </w:pPr>
      <w:r w:rsidRPr="008C05BA">
        <w:rPr>
          <w:rFonts w:ascii="Times New Roman" w:eastAsia="Calibri" w:hAnsi="Times New Roman" w:cs="Times New Roman"/>
          <w:sz w:val="24"/>
          <w:szCs w:val="24"/>
        </w:rPr>
        <w:t>Összhangban a nemzetközi szerződésekkel kapcsolatos eljárásról szóló 2005. évi L. törvény (a továbbiakban: Nsztv.) 7. §-ával és 9. § (1) bekezdésével, az Országgyűlés a törvénnyel felhatalmazást ad az Egyezmény kötelező hatályának elismerésére és kihirdeti azt.</w:t>
      </w:r>
    </w:p>
    <w:p w:rsidR="008C05BA" w:rsidRPr="008C05BA" w:rsidRDefault="008C05BA" w:rsidP="008C05BA">
      <w:pPr>
        <w:spacing w:after="0" w:line="240" w:lineRule="auto"/>
        <w:jc w:val="both"/>
        <w:rPr>
          <w:rFonts w:ascii="Times New Roman" w:eastAsia="Calibri" w:hAnsi="Times New Roman" w:cs="Times New Roman"/>
          <w:sz w:val="24"/>
          <w:szCs w:val="24"/>
        </w:rPr>
      </w:pPr>
    </w:p>
    <w:p w:rsidR="008C05BA" w:rsidRPr="008C05BA" w:rsidRDefault="008C05BA" w:rsidP="008C05BA">
      <w:pPr>
        <w:spacing w:after="0" w:line="240" w:lineRule="auto"/>
        <w:jc w:val="center"/>
        <w:rPr>
          <w:rFonts w:ascii="Times New Roman" w:eastAsia="Calibri" w:hAnsi="Times New Roman" w:cs="Times New Roman"/>
          <w:i/>
          <w:sz w:val="24"/>
          <w:szCs w:val="24"/>
        </w:rPr>
      </w:pPr>
      <w:r w:rsidRPr="008C05BA">
        <w:rPr>
          <w:rFonts w:ascii="Times New Roman" w:eastAsia="Calibri" w:hAnsi="Times New Roman" w:cs="Times New Roman"/>
          <w:i/>
          <w:sz w:val="24"/>
          <w:szCs w:val="24"/>
        </w:rPr>
        <w:t>a 3. §-hoz, az 1. és 2. melléklethez</w:t>
      </w:r>
    </w:p>
    <w:p w:rsidR="008C05BA" w:rsidRPr="008C05BA" w:rsidRDefault="008C05BA" w:rsidP="008C05BA">
      <w:pPr>
        <w:spacing w:after="0" w:line="240" w:lineRule="auto"/>
        <w:jc w:val="both"/>
        <w:rPr>
          <w:rFonts w:ascii="Times New Roman" w:eastAsia="Calibri" w:hAnsi="Times New Roman" w:cs="Times New Roman"/>
          <w:sz w:val="24"/>
          <w:szCs w:val="24"/>
        </w:rPr>
      </w:pPr>
    </w:p>
    <w:p w:rsidR="008C05BA" w:rsidRPr="008C05BA" w:rsidRDefault="008C05BA" w:rsidP="008C05BA">
      <w:pPr>
        <w:spacing w:after="0" w:line="240" w:lineRule="auto"/>
        <w:jc w:val="both"/>
        <w:rPr>
          <w:rFonts w:ascii="Times New Roman" w:eastAsia="Calibri" w:hAnsi="Times New Roman" w:cs="Times New Roman"/>
          <w:sz w:val="24"/>
          <w:szCs w:val="24"/>
        </w:rPr>
      </w:pPr>
      <w:r w:rsidRPr="008C05BA">
        <w:rPr>
          <w:rFonts w:ascii="Times New Roman" w:eastAsia="Calibri" w:hAnsi="Times New Roman" w:cs="Times New Roman"/>
          <w:sz w:val="24"/>
          <w:szCs w:val="24"/>
        </w:rPr>
        <w:t>Az Egyezmény hiteles angol nyelvű szövegét és annak hivatalos magyar nyelvű fordítását tartalmazza.</w:t>
      </w:r>
    </w:p>
    <w:p w:rsidR="008C05BA" w:rsidRPr="008C05BA" w:rsidRDefault="008C05BA" w:rsidP="008C05BA">
      <w:pPr>
        <w:spacing w:after="0" w:line="240" w:lineRule="auto"/>
        <w:jc w:val="both"/>
        <w:rPr>
          <w:rFonts w:ascii="Times New Roman" w:hAnsi="Times New Roman" w:cs="Times New Roman"/>
          <w:color w:val="161616"/>
          <w:sz w:val="24"/>
          <w:szCs w:val="24"/>
        </w:rPr>
      </w:pPr>
      <w:r w:rsidRPr="008C05BA">
        <w:rPr>
          <w:rFonts w:ascii="Times New Roman" w:hAnsi="Times New Roman" w:cs="Times New Roman"/>
          <w:color w:val="161616"/>
          <w:sz w:val="24"/>
          <w:szCs w:val="24"/>
        </w:rPr>
        <w:t>Az Egyezmény hatálya a hivatásos versenyrendszerben résztvevő labdarúgó-sportszervezetek és nemzeti válogatottak részvételével játszott labdarúgó-mérkőzésekre és bajnokságokra terjed ki, de annak előírásait a csatlakozó államok szélesebb körben is alkalmazhatják.</w:t>
      </w:r>
      <w:r w:rsidRPr="008C05BA" w:rsidDel="0028656D">
        <w:rPr>
          <w:rFonts w:ascii="Times New Roman" w:hAnsi="Times New Roman" w:cs="Times New Roman"/>
          <w:color w:val="161616"/>
          <w:sz w:val="24"/>
          <w:szCs w:val="24"/>
        </w:rPr>
        <w:t xml:space="preserve"> </w:t>
      </w:r>
      <w:r w:rsidRPr="008C05BA">
        <w:rPr>
          <w:rFonts w:ascii="Times New Roman" w:hAnsi="Times New Roman" w:cs="Times New Roman"/>
          <w:color w:val="161616"/>
          <w:sz w:val="24"/>
          <w:szCs w:val="24"/>
        </w:rPr>
        <w:t>Az Egyezmény célja, hogy biztonságos és barátságos környezetet biztosítson a labdarúgó-mérkőzéseken és más sportrendezvényeken. A célok eléréséhez pedig szükség van a biztonsághoz, biztosításhoz és a szolgáltatásnyújtáshoz kapcsolódó integrált megközelítésre.</w:t>
      </w:r>
    </w:p>
    <w:p w:rsidR="008C05BA" w:rsidRPr="008C05BA" w:rsidRDefault="008C05BA" w:rsidP="008C05BA">
      <w:pPr>
        <w:spacing w:after="0" w:line="240" w:lineRule="auto"/>
        <w:jc w:val="both"/>
        <w:rPr>
          <w:rFonts w:ascii="Times New Roman" w:hAnsi="Times New Roman" w:cs="Times New Roman"/>
          <w:color w:val="161616"/>
          <w:sz w:val="24"/>
          <w:szCs w:val="24"/>
        </w:rPr>
      </w:pPr>
      <w:r w:rsidRPr="008C05BA">
        <w:rPr>
          <w:rFonts w:ascii="Times New Roman" w:hAnsi="Times New Roman" w:cs="Times New Roman"/>
          <w:color w:val="161616"/>
          <w:sz w:val="24"/>
          <w:szCs w:val="24"/>
        </w:rPr>
        <w:t>Az Egyezmény javasolja nemzeti és helyi koordinációs megállapodások megkötését a biztonsághoz, biztosításhoz és a szolgáltatásnyújtáshoz kapcsolódó, több szervezetet érintő integrált megközelítés nemzeti és helyi szinten történő kidolgozásának céljából, a kockázatok azonosítása, elemzése és értékelése érdekében. A megállapodások - lehetőség szerint - ki kell, hogy terjedjenek a fenti területekért felelős valamennyi kulcsfontosságú állami- és magánszervezetre.</w:t>
      </w:r>
    </w:p>
    <w:p w:rsidR="008C05BA" w:rsidRPr="008C05BA" w:rsidRDefault="008C05BA" w:rsidP="008C05BA">
      <w:pPr>
        <w:spacing w:after="0" w:line="240" w:lineRule="auto"/>
        <w:jc w:val="both"/>
        <w:rPr>
          <w:rFonts w:ascii="Times New Roman" w:hAnsi="Times New Roman" w:cs="Times New Roman"/>
          <w:color w:val="161616"/>
          <w:sz w:val="24"/>
          <w:szCs w:val="24"/>
        </w:rPr>
      </w:pPr>
      <w:r w:rsidRPr="008C05BA">
        <w:rPr>
          <w:rFonts w:ascii="Times New Roman" w:hAnsi="Times New Roman" w:cs="Times New Roman"/>
          <w:color w:val="161616"/>
          <w:sz w:val="24"/>
          <w:szCs w:val="24"/>
        </w:rPr>
        <w:t>Az Egyezmény kiemeli annak fontosságát, hogy a nemzeti jogi, szabályozási vagy igazgatási keretek pontosan határozzák meg az egyes érintett szervezetek szerepeit és feladatait.</w:t>
      </w:r>
    </w:p>
    <w:p w:rsidR="008C05BA" w:rsidRPr="008C05BA" w:rsidRDefault="008C05BA" w:rsidP="008C05BA">
      <w:pPr>
        <w:spacing w:after="0" w:line="240" w:lineRule="auto"/>
        <w:jc w:val="both"/>
        <w:rPr>
          <w:rFonts w:ascii="Times New Roman" w:hAnsi="Times New Roman" w:cs="Times New Roman"/>
          <w:color w:val="161616"/>
          <w:sz w:val="24"/>
          <w:szCs w:val="24"/>
        </w:rPr>
      </w:pPr>
      <w:r w:rsidRPr="008C05BA">
        <w:rPr>
          <w:rFonts w:ascii="Times New Roman" w:hAnsi="Times New Roman" w:cs="Times New Roman"/>
          <w:color w:val="161616"/>
          <w:sz w:val="24"/>
          <w:szCs w:val="24"/>
        </w:rPr>
        <w:t>Az Egyezmény kitér továbbá arra is, hogy a stadionengedélyezési eljárásoknak, tanúsítási rendszereknek és a stadionok működtetési szabályainak a biztonsági szempontokra is figyelemmel kell lenniük. A stadionoknak befogadó és kellemes, barátságos környezetet kell biztosítaniuk mindenki részére.</w:t>
      </w:r>
    </w:p>
    <w:p w:rsidR="008C05BA" w:rsidRPr="008C05BA" w:rsidRDefault="008C05BA" w:rsidP="008C05BA">
      <w:pPr>
        <w:spacing w:after="0" w:line="240" w:lineRule="auto"/>
        <w:jc w:val="both"/>
        <w:rPr>
          <w:rFonts w:ascii="Times New Roman" w:eastAsia="Times New Roman" w:hAnsi="Times New Roman" w:cs="Times New Roman"/>
          <w:color w:val="161616"/>
          <w:sz w:val="24"/>
          <w:szCs w:val="24"/>
        </w:rPr>
      </w:pPr>
      <w:r w:rsidRPr="008C05BA">
        <w:rPr>
          <w:rFonts w:ascii="Times New Roman" w:hAnsi="Times New Roman" w:cs="Times New Roman"/>
          <w:color w:val="161616"/>
          <w:sz w:val="24"/>
          <w:szCs w:val="24"/>
        </w:rPr>
        <w:t>Az Egyezmény részes államainak a biztonsági szabályzatukban szerepeltetniük kell a pirotechnikai eszközök használatára, az erőszakos vagy tiltott viselkedésre és bármilyen rasszista vagy egyéb megkülönböztető magatartásra vonatkozó szabályokat.</w:t>
      </w:r>
    </w:p>
    <w:p w:rsidR="008C05BA" w:rsidRPr="008C05BA" w:rsidRDefault="008C05BA" w:rsidP="008C05BA">
      <w:pPr>
        <w:spacing w:after="0" w:line="240" w:lineRule="auto"/>
        <w:jc w:val="both"/>
        <w:rPr>
          <w:rFonts w:ascii="Times New Roman" w:hAnsi="Times New Roman" w:cs="Times New Roman"/>
          <w:color w:val="161616"/>
          <w:sz w:val="24"/>
          <w:szCs w:val="24"/>
        </w:rPr>
      </w:pPr>
      <w:r w:rsidRPr="008C05BA">
        <w:rPr>
          <w:rFonts w:ascii="Times New Roman" w:hAnsi="Times New Roman" w:cs="Times New Roman"/>
          <w:color w:val="161616"/>
          <w:sz w:val="24"/>
          <w:szCs w:val="24"/>
        </w:rPr>
        <w:t>Az Egyezmény a játékosokra, az edzőkre és a csapatok egyéb képviselőire vonatkozóan is megfogalmazza a sport alapvető elveinek, így a tolerancia, a tisztelet és a tisztességes játék elve tiszteletben tartását.</w:t>
      </w:r>
    </w:p>
    <w:p w:rsidR="008C05BA" w:rsidRPr="008C05BA" w:rsidRDefault="008C05BA" w:rsidP="008C05BA">
      <w:pPr>
        <w:spacing w:after="0" w:line="240" w:lineRule="auto"/>
        <w:jc w:val="both"/>
        <w:rPr>
          <w:rFonts w:ascii="Times New Roman" w:hAnsi="Times New Roman" w:cs="Times New Roman"/>
          <w:color w:val="161616"/>
          <w:sz w:val="24"/>
          <w:szCs w:val="24"/>
        </w:rPr>
      </w:pPr>
      <w:r w:rsidRPr="008C05BA">
        <w:rPr>
          <w:rFonts w:ascii="Times New Roman" w:hAnsi="Times New Roman" w:cs="Times New Roman"/>
          <w:color w:val="161616"/>
          <w:sz w:val="24"/>
          <w:szCs w:val="24"/>
        </w:rPr>
        <w:t>Az Egyezmény a kockázatértékelés és a megelőző intézkedések kidolgozása, valamint a védett, biztonságos és kellemes környezet kialakítása szempontjából hangsúlyozza a szervezők és valamennyi érdekelt fél – így a települési önkormányzatok, a rendőrség, a helyi közösségek és vállalkozások, a szurkolók képviselői, a labdarúgó sportszervezetek és nemzeti szövetségek – együttműködésének szükségességét. Emellett kiemeli a szurkolók képviselőivel és a helyi közösségekkel való proaktív és rendszeres kommunikációt támogató politika kidolgozásának és alkalmazásának fontosságát.</w:t>
      </w:r>
    </w:p>
    <w:p w:rsidR="008C05BA" w:rsidRPr="008C05BA" w:rsidRDefault="008C05BA" w:rsidP="008C05BA">
      <w:pPr>
        <w:spacing w:after="0" w:line="240" w:lineRule="auto"/>
        <w:jc w:val="both"/>
        <w:rPr>
          <w:rFonts w:ascii="Times New Roman" w:hAnsi="Times New Roman" w:cs="Times New Roman"/>
          <w:color w:val="161616"/>
          <w:sz w:val="24"/>
          <w:szCs w:val="24"/>
        </w:rPr>
      </w:pPr>
      <w:r w:rsidRPr="008C05BA">
        <w:rPr>
          <w:rFonts w:ascii="Times New Roman" w:hAnsi="Times New Roman" w:cs="Times New Roman"/>
          <w:color w:val="161616"/>
          <w:sz w:val="24"/>
          <w:szCs w:val="24"/>
        </w:rPr>
        <w:t>Az Egyezmény alapján a rendőrségi stratégiáknak összhangban kell állniuk a biztonsághoz, a biztosításhoz és a szolgáltatásnyújtáshoz kapcsolódó tágabb, integrált megközelítéssel, emellett gondoskodni kell ezen stratégiák rendszeres értékeléséről és szükség szerinti módosításáról a nemzeti és nemzetközi tapasztalatok és bevált gyakorlatok figyelembevételével.</w:t>
      </w:r>
    </w:p>
    <w:p w:rsidR="008C05BA" w:rsidRPr="008C05BA" w:rsidRDefault="008C05BA" w:rsidP="008C05BA">
      <w:pPr>
        <w:spacing w:after="0" w:line="240" w:lineRule="auto"/>
        <w:jc w:val="both"/>
        <w:rPr>
          <w:rFonts w:ascii="Times New Roman" w:hAnsi="Times New Roman" w:cs="Times New Roman"/>
          <w:color w:val="161616"/>
          <w:sz w:val="24"/>
          <w:szCs w:val="24"/>
        </w:rPr>
      </w:pPr>
      <w:r w:rsidRPr="008C05BA">
        <w:rPr>
          <w:rFonts w:ascii="Times New Roman" w:hAnsi="Times New Roman" w:cs="Times New Roman"/>
          <w:color w:val="161616"/>
          <w:sz w:val="24"/>
          <w:szCs w:val="24"/>
        </w:rPr>
        <w:t>Az Egyezmény szankciókat is megfogalmaz a tiltott magatartások megelőzésére és adott esetben büntetésére. Rendelkezik a kizárási, kitiltási intézkedések szükségességéről, a külföldi jogsértők megbüntetéséről és az erőszakos vagy más módon rendzavaró cselekményeket elkövetők külföldi sportrendezvényre történő utazásának lehetőség szerinti korlátozásáról.</w:t>
      </w:r>
    </w:p>
    <w:p w:rsidR="008C05BA" w:rsidRPr="008C05BA" w:rsidRDefault="008C05BA" w:rsidP="008C05BA">
      <w:pPr>
        <w:spacing w:after="0" w:line="240" w:lineRule="auto"/>
        <w:jc w:val="both"/>
        <w:rPr>
          <w:rFonts w:ascii="Times New Roman" w:hAnsi="Times New Roman" w:cs="Times New Roman"/>
          <w:color w:val="161616"/>
          <w:sz w:val="24"/>
          <w:szCs w:val="24"/>
        </w:rPr>
      </w:pPr>
      <w:r w:rsidRPr="008C05BA">
        <w:rPr>
          <w:rFonts w:ascii="Times New Roman" w:hAnsi="Times New Roman" w:cs="Times New Roman"/>
          <w:color w:val="161616"/>
          <w:sz w:val="24"/>
          <w:szCs w:val="24"/>
        </w:rPr>
        <w:t xml:space="preserve">A nemzetközi együttműködés keretében a részes feleknek rendőri szervük keretein belül nemzeti futballinformációs pontot kell létrehozniuk vagy kijelölniük. Létrejön a Sportrendezvények Biztonságával és Biztosításával Foglalkozó Bizottság, amelynek feladata az Egyezmény rendelkezéseinek figyelemmel kísérése, egyeztetések lefolytatása, információ-csere és ajánlások megfogalmazása. </w:t>
      </w:r>
    </w:p>
    <w:p w:rsidR="008C05BA" w:rsidRPr="008C05BA" w:rsidRDefault="008C05BA" w:rsidP="008C05BA">
      <w:pPr>
        <w:spacing w:after="0" w:line="240" w:lineRule="auto"/>
        <w:jc w:val="both"/>
        <w:rPr>
          <w:rFonts w:ascii="Times New Roman" w:eastAsia="Calibri" w:hAnsi="Times New Roman" w:cs="Times New Roman"/>
          <w:sz w:val="24"/>
          <w:szCs w:val="24"/>
        </w:rPr>
      </w:pPr>
    </w:p>
    <w:p w:rsidR="008C05BA" w:rsidRPr="008C05BA" w:rsidRDefault="008C05BA" w:rsidP="008C05BA">
      <w:pPr>
        <w:spacing w:after="0" w:line="240" w:lineRule="auto"/>
        <w:jc w:val="center"/>
        <w:rPr>
          <w:rFonts w:ascii="Times New Roman" w:eastAsia="Calibri" w:hAnsi="Times New Roman" w:cs="Times New Roman"/>
          <w:i/>
          <w:sz w:val="24"/>
          <w:szCs w:val="24"/>
        </w:rPr>
      </w:pPr>
      <w:r w:rsidRPr="008C05BA">
        <w:rPr>
          <w:rFonts w:ascii="Times New Roman" w:eastAsia="Calibri" w:hAnsi="Times New Roman" w:cs="Times New Roman"/>
          <w:i/>
          <w:sz w:val="24"/>
          <w:szCs w:val="24"/>
        </w:rPr>
        <w:t>a 4. §-hoz</w:t>
      </w:r>
    </w:p>
    <w:p w:rsidR="008C05BA" w:rsidRPr="008C05BA" w:rsidRDefault="008C05BA" w:rsidP="008C05BA">
      <w:pPr>
        <w:spacing w:after="0" w:line="240" w:lineRule="auto"/>
        <w:jc w:val="both"/>
        <w:rPr>
          <w:rFonts w:ascii="Times New Roman" w:eastAsia="Calibri" w:hAnsi="Times New Roman" w:cs="Times New Roman"/>
          <w:sz w:val="24"/>
          <w:szCs w:val="24"/>
        </w:rPr>
      </w:pPr>
    </w:p>
    <w:p w:rsidR="008C05BA" w:rsidRPr="008C05BA" w:rsidRDefault="008C05BA" w:rsidP="008C05BA">
      <w:pPr>
        <w:spacing w:after="0" w:line="240" w:lineRule="auto"/>
        <w:jc w:val="both"/>
        <w:rPr>
          <w:rFonts w:ascii="Times New Roman" w:hAnsi="Times New Roman" w:cs="Times New Roman"/>
          <w:sz w:val="24"/>
          <w:szCs w:val="24"/>
        </w:rPr>
      </w:pPr>
      <w:r w:rsidRPr="008C05BA">
        <w:rPr>
          <w:rFonts w:ascii="Times New Roman" w:hAnsi="Times New Roman" w:cs="Times New Roman"/>
          <w:sz w:val="24"/>
          <w:szCs w:val="24"/>
        </w:rPr>
        <w:t>Az Egyezmény 16. cikke értelmében a 120. számú egyezményben részes államok csak akkor helyezhetik letétbe megerősítő, elfogadó vagy jóváhagyó okirataikat, ha már felmondták vagy a letétbe helyezéssel egyidejűleg felmondják a 120. számú egyezményt. Ennek megfelelően az Országgyűlés az Nsztv. 12. §-ának megfelelően felhatalmazást ad a 2003. évi LXIII. törvénnyel kihirdetett 120. számú egyezmény Magyarország vonatkozásában történő megszüntetésére.</w:t>
      </w:r>
    </w:p>
    <w:p w:rsidR="008C05BA" w:rsidRPr="008C05BA" w:rsidRDefault="008C05BA" w:rsidP="008C05BA">
      <w:pPr>
        <w:spacing w:after="0" w:line="240" w:lineRule="auto"/>
        <w:jc w:val="center"/>
        <w:rPr>
          <w:rFonts w:ascii="Times New Roman" w:eastAsia="Calibri" w:hAnsi="Times New Roman" w:cs="Times New Roman"/>
          <w:i/>
          <w:sz w:val="24"/>
          <w:szCs w:val="24"/>
        </w:rPr>
      </w:pPr>
    </w:p>
    <w:p w:rsidR="008C05BA" w:rsidRPr="008C05BA" w:rsidRDefault="008C05BA" w:rsidP="008C05BA">
      <w:pPr>
        <w:spacing w:after="0" w:line="240" w:lineRule="auto"/>
        <w:jc w:val="center"/>
        <w:rPr>
          <w:rFonts w:ascii="Times New Roman" w:eastAsia="Calibri" w:hAnsi="Times New Roman" w:cs="Times New Roman"/>
          <w:i/>
          <w:sz w:val="24"/>
          <w:szCs w:val="24"/>
        </w:rPr>
      </w:pPr>
      <w:r w:rsidRPr="008C05BA">
        <w:rPr>
          <w:rFonts w:ascii="Times New Roman" w:eastAsia="Calibri" w:hAnsi="Times New Roman" w:cs="Times New Roman"/>
          <w:i/>
          <w:sz w:val="24"/>
          <w:szCs w:val="24"/>
        </w:rPr>
        <w:t>az 5. §-hoz</w:t>
      </w:r>
    </w:p>
    <w:p w:rsidR="008C05BA" w:rsidRPr="008C05BA" w:rsidRDefault="008C05BA" w:rsidP="008C05BA">
      <w:pPr>
        <w:spacing w:after="0" w:line="240" w:lineRule="auto"/>
        <w:jc w:val="both"/>
        <w:rPr>
          <w:rFonts w:ascii="Times New Roman" w:eastAsia="Calibri" w:hAnsi="Times New Roman" w:cs="Times New Roman"/>
          <w:sz w:val="24"/>
          <w:szCs w:val="24"/>
        </w:rPr>
      </w:pPr>
    </w:p>
    <w:p w:rsidR="008C05BA" w:rsidRPr="008C05BA" w:rsidRDefault="008C05BA" w:rsidP="008C05BA">
      <w:pPr>
        <w:spacing w:after="0" w:line="240" w:lineRule="auto"/>
        <w:jc w:val="both"/>
        <w:rPr>
          <w:rFonts w:ascii="Times New Roman" w:eastAsia="Calibri" w:hAnsi="Times New Roman" w:cs="Times New Roman"/>
          <w:sz w:val="24"/>
          <w:szCs w:val="24"/>
        </w:rPr>
      </w:pPr>
      <w:r w:rsidRPr="008C05BA">
        <w:rPr>
          <w:rFonts w:ascii="Times New Roman" w:eastAsia="Calibri" w:hAnsi="Times New Roman" w:cs="Times New Roman"/>
          <w:sz w:val="24"/>
          <w:szCs w:val="24"/>
        </w:rPr>
        <w:t xml:space="preserve">A § a törvény hatálybalépéséről rendelkezik. Az Egyezmény 2017. november 1-jén nemzetközi jogilag hatályba lépett. Az Egyezményhez ezt követően csatlakozó </w:t>
      </w:r>
      <w:r w:rsidRPr="008C05BA">
        <w:rPr>
          <w:rFonts w:ascii="Times New Roman" w:hAnsi="Times New Roman" w:cs="Times New Roman"/>
          <w:color w:val="161616"/>
          <w:sz w:val="24"/>
          <w:szCs w:val="24"/>
        </w:rPr>
        <w:t>állam vonatkozásában az Egyezmény azon időpontot követő egy hónapos időszak lejárta utáni hónap első napján lép hatályba, amikor a megerősítési, elfogadási vagy jóváhagyási okirat letétbe helyezése megtörtént.</w:t>
      </w:r>
    </w:p>
    <w:p w:rsidR="008C05BA" w:rsidRPr="008C05BA" w:rsidRDefault="008C05BA" w:rsidP="008C05BA">
      <w:pPr>
        <w:spacing w:after="0" w:line="240" w:lineRule="auto"/>
        <w:jc w:val="both"/>
        <w:rPr>
          <w:rFonts w:ascii="Times New Roman" w:eastAsia="Calibri" w:hAnsi="Times New Roman" w:cs="Times New Roman"/>
          <w:sz w:val="24"/>
          <w:szCs w:val="24"/>
        </w:rPr>
      </w:pPr>
      <w:r w:rsidRPr="008C05BA">
        <w:rPr>
          <w:rFonts w:ascii="Times New Roman" w:eastAsia="Calibri" w:hAnsi="Times New Roman" w:cs="Times New Roman"/>
          <w:sz w:val="24"/>
          <w:szCs w:val="24"/>
        </w:rPr>
        <w:t xml:space="preserve">Az Nsztv. 10. § (4) bekezdésére figyelemmel az Egyezmény hatálybalépésének, valamint a 120. számú egyezmény </w:t>
      </w:r>
      <w:r w:rsidRPr="008C05BA">
        <w:rPr>
          <w:rFonts w:ascii="Times New Roman" w:hAnsi="Times New Roman" w:cs="Times New Roman"/>
          <w:sz w:val="24"/>
          <w:szCs w:val="24"/>
        </w:rPr>
        <w:t>Magyarország vonatkozásában történő megszüntetésének</w:t>
      </w:r>
      <w:r w:rsidRPr="008C05BA" w:rsidDel="00232E64">
        <w:rPr>
          <w:rFonts w:ascii="Times New Roman" w:eastAsia="Calibri" w:hAnsi="Times New Roman" w:cs="Times New Roman"/>
          <w:sz w:val="24"/>
          <w:szCs w:val="24"/>
        </w:rPr>
        <w:t xml:space="preserve"> </w:t>
      </w:r>
      <w:r w:rsidRPr="008C05BA">
        <w:rPr>
          <w:rFonts w:ascii="Times New Roman" w:eastAsia="Calibri" w:hAnsi="Times New Roman" w:cs="Times New Roman"/>
          <w:sz w:val="24"/>
          <w:szCs w:val="24"/>
        </w:rPr>
        <w:t>naptári napját a külpolitikáért felelős miniszter – annak ismertté válását követően – a Magyar Közlönyben haladéktalanul közzétett közleményével állapítja meg.</w:t>
      </w:r>
    </w:p>
    <w:p w:rsidR="008C05BA" w:rsidRPr="008C05BA" w:rsidRDefault="008C05BA" w:rsidP="008C05BA">
      <w:pPr>
        <w:spacing w:after="0" w:line="240" w:lineRule="auto"/>
        <w:jc w:val="both"/>
        <w:rPr>
          <w:rFonts w:ascii="Times New Roman" w:eastAsia="Calibri" w:hAnsi="Times New Roman" w:cs="Times New Roman"/>
          <w:sz w:val="24"/>
          <w:szCs w:val="24"/>
        </w:rPr>
      </w:pPr>
    </w:p>
    <w:p w:rsidR="008C05BA" w:rsidRPr="008C05BA" w:rsidRDefault="008C05BA" w:rsidP="008C05BA">
      <w:pPr>
        <w:spacing w:after="0" w:line="240" w:lineRule="auto"/>
        <w:jc w:val="center"/>
        <w:rPr>
          <w:rFonts w:ascii="Times New Roman" w:eastAsia="Calibri" w:hAnsi="Times New Roman" w:cs="Times New Roman"/>
          <w:i/>
          <w:sz w:val="24"/>
          <w:szCs w:val="24"/>
        </w:rPr>
      </w:pPr>
      <w:r w:rsidRPr="008C05BA">
        <w:rPr>
          <w:rFonts w:ascii="Times New Roman" w:eastAsia="Calibri" w:hAnsi="Times New Roman" w:cs="Times New Roman"/>
          <w:i/>
          <w:sz w:val="24"/>
          <w:szCs w:val="24"/>
        </w:rPr>
        <w:t>a 6. §-hoz</w:t>
      </w:r>
    </w:p>
    <w:p w:rsidR="008C05BA" w:rsidRPr="008C05BA" w:rsidRDefault="008C05BA" w:rsidP="008C05BA">
      <w:pPr>
        <w:spacing w:after="0" w:line="240" w:lineRule="auto"/>
        <w:jc w:val="both"/>
        <w:rPr>
          <w:rFonts w:ascii="Times New Roman" w:eastAsia="Calibri" w:hAnsi="Times New Roman" w:cs="Times New Roman"/>
          <w:sz w:val="24"/>
          <w:szCs w:val="24"/>
        </w:rPr>
      </w:pPr>
    </w:p>
    <w:p w:rsidR="008C05BA" w:rsidRPr="008C05BA" w:rsidRDefault="008C05BA" w:rsidP="008C05BA">
      <w:pPr>
        <w:spacing w:after="0" w:line="240" w:lineRule="auto"/>
        <w:jc w:val="both"/>
        <w:rPr>
          <w:rFonts w:ascii="Times New Roman" w:eastAsia="Calibri" w:hAnsi="Times New Roman" w:cs="Times New Roman"/>
          <w:sz w:val="24"/>
          <w:szCs w:val="24"/>
        </w:rPr>
      </w:pPr>
      <w:r w:rsidRPr="008C05BA">
        <w:rPr>
          <w:rFonts w:ascii="Times New Roman" w:eastAsia="Calibri" w:hAnsi="Times New Roman" w:cs="Times New Roman"/>
          <w:sz w:val="24"/>
          <w:szCs w:val="24"/>
        </w:rPr>
        <w:t>A törvény végrehajtáshoz szükséges intézkedésekről a sportpolitikáért felelős, valamint a rendészetért felelős miniszter gondoskodik.</w:t>
      </w:r>
    </w:p>
    <w:p w:rsidR="008C05BA" w:rsidRPr="008C05BA" w:rsidRDefault="008C05BA" w:rsidP="008C05BA">
      <w:pPr>
        <w:spacing w:after="0" w:line="240" w:lineRule="auto"/>
        <w:jc w:val="both"/>
        <w:rPr>
          <w:rFonts w:ascii="Times New Roman" w:eastAsia="Calibri" w:hAnsi="Times New Roman" w:cs="Times New Roman"/>
          <w:sz w:val="24"/>
          <w:szCs w:val="24"/>
        </w:rPr>
      </w:pPr>
    </w:p>
    <w:p w:rsidR="008C05BA" w:rsidRPr="008C05BA" w:rsidRDefault="008C05BA" w:rsidP="008C05BA">
      <w:pPr>
        <w:spacing w:after="0" w:line="240" w:lineRule="auto"/>
        <w:jc w:val="center"/>
        <w:rPr>
          <w:rFonts w:ascii="Times New Roman" w:eastAsia="Calibri" w:hAnsi="Times New Roman" w:cs="Times New Roman"/>
          <w:i/>
          <w:sz w:val="24"/>
          <w:szCs w:val="24"/>
        </w:rPr>
      </w:pPr>
      <w:r w:rsidRPr="008C05BA">
        <w:rPr>
          <w:rFonts w:ascii="Times New Roman" w:eastAsia="Calibri" w:hAnsi="Times New Roman" w:cs="Times New Roman"/>
          <w:i/>
          <w:sz w:val="24"/>
          <w:szCs w:val="24"/>
        </w:rPr>
        <w:t>a 7. §-hoz</w:t>
      </w:r>
    </w:p>
    <w:p w:rsidR="008C05BA" w:rsidRPr="008C05BA" w:rsidRDefault="008C05BA" w:rsidP="008C05BA">
      <w:pPr>
        <w:spacing w:after="0" w:line="240" w:lineRule="auto"/>
        <w:jc w:val="both"/>
        <w:rPr>
          <w:rFonts w:ascii="Times New Roman" w:eastAsia="Calibri" w:hAnsi="Times New Roman" w:cs="Times New Roman"/>
          <w:sz w:val="24"/>
          <w:szCs w:val="24"/>
        </w:rPr>
      </w:pPr>
    </w:p>
    <w:p w:rsidR="008C05BA" w:rsidRPr="008C05BA" w:rsidRDefault="008C05BA" w:rsidP="008C05BA">
      <w:pPr>
        <w:spacing w:after="0" w:line="240" w:lineRule="auto"/>
        <w:jc w:val="both"/>
        <w:rPr>
          <w:rFonts w:ascii="Times New Roman" w:eastAsia="Calibri" w:hAnsi="Times New Roman" w:cs="Times New Roman"/>
          <w:sz w:val="24"/>
          <w:szCs w:val="24"/>
        </w:rPr>
      </w:pPr>
      <w:r w:rsidRPr="008C05BA">
        <w:rPr>
          <w:rFonts w:ascii="Times New Roman" w:eastAsia="Calibri" w:hAnsi="Times New Roman" w:cs="Times New Roman"/>
          <w:sz w:val="24"/>
          <w:szCs w:val="24"/>
        </w:rPr>
        <w:t xml:space="preserve">A 120. számú egyezmény </w:t>
      </w:r>
      <w:r w:rsidRPr="008C05BA">
        <w:rPr>
          <w:rFonts w:ascii="Times New Roman" w:hAnsi="Times New Roman" w:cs="Times New Roman"/>
          <w:sz w:val="24"/>
          <w:szCs w:val="24"/>
        </w:rPr>
        <w:t>Magyarország vonatkozásában történő megszüntetésére</w:t>
      </w:r>
      <w:r w:rsidRPr="008C05BA" w:rsidDel="00C806C3">
        <w:rPr>
          <w:rFonts w:ascii="Times New Roman" w:eastAsia="Calibri" w:hAnsi="Times New Roman" w:cs="Times New Roman"/>
          <w:sz w:val="24"/>
          <w:szCs w:val="24"/>
        </w:rPr>
        <w:t xml:space="preserve"> </w:t>
      </w:r>
      <w:r w:rsidRPr="008C05BA">
        <w:rPr>
          <w:rFonts w:ascii="Times New Roman" w:eastAsia="Calibri" w:hAnsi="Times New Roman" w:cs="Times New Roman"/>
          <w:sz w:val="24"/>
          <w:szCs w:val="24"/>
        </w:rPr>
        <w:t>és az Egyezményhez való csatlakozásra figyelemmel hatályon kívül kell helyezni az Európa Tanács keretében, Strasbourgban, 1985. augusztus 19-én létrejött, a sporteseményeken, különösen a labdarúgó mérkőzéseken megnyilvánuló nézői erőszakról és nem megfelelő viselkedésről szóló Egyezmény kihirdetéséről szóló 2003. évi LXIII. törvényt.</w:t>
      </w:r>
    </w:p>
    <w:p w:rsidR="008C05BA" w:rsidRPr="008C05BA" w:rsidRDefault="008C05BA" w:rsidP="008C05BA">
      <w:pPr>
        <w:spacing w:after="0" w:line="240" w:lineRule="auto"/>
        <w:jc w:val="both"/>
        <w:rPr>
          <w:rFonts w:ascii="Times New Roman" w:eastAsia="Calibri" w:hAnsi="Times New Roman" w:cs="Times New Roman"/>
          <w:sz w:val="24"/>
          <w:szCs w:val="24"/>
        </w:rPr>
      </w:pPr>
    </w:p>
    <w:p w:rsidR="008C05BA" w:rsidRPr="008C05BA" w:rsidRDefault="008C05BA" w:rsidP="008C05BA">
      <w:pPr>
        <w:rPr>
          <w:rFonts w:ascii="Times New Roman" w:eastAsia="Times New Roman" w:hAnsi="Times New Roman" w:cs="Times New Roman"/>
          <w:b/>
          <w:sz w:val="24"/>
          <w:szCs w:val="24"/>
          <w:lang w:eastAsia="hu-HU"/>
        </w:rPr>
      </w:pPr>
      <w:r w:rsidRPr="008C05BA">
        <w:rPr>
          <w:rFonts w:ascii="Times New Roman" w:eastAsia="Times New Roman" w:hAnsi="Times New Roman" w:cs="Times New Roman"/>
          <w:b/>
          <w:sz w:val="24"/>
          <w:szCs w:val="24"/>
          <w:lang w:eastAsia="hu-HU"/>
        </w:rPr>
        <w:br w:type="page"/>
      </w:r>
    </w:p>
    <w:p w:rsidR="004F2A16" w:rsidRDefault="004F2A16"/>
    <w:sectPr w:rsidR="004F2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Myriad Pro"/>
    <w:panose1 w:val="00000000000000000000"/>
    <w:charset w:val="00"/>
    <w:family w:val="swiss"/>
    <w:notTrueType/>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5BA"/>
    <w:rsid w:val="00262DE8"/>
    <w:rsid w:val="00347EFE"/>
    <w:rsid w:val="004E5729"/>
    <w:rsid w:val="004F2A16"/>
    <w:rsid w:val="008258AE"/>
    <w:rsid w:val="008C05B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8C05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4">
    <w:name w:val="heading 4"/>
    <w:basedOn w:val="Norml"/>
    <w:next w:val="Norml"/>
    <w:link w:val="Cmsor4Char"/>
    <w:uiPriority w:val="9"/>
    <w:semiHidden/>
    <w:unhideWhenUsed/>
    <w:qFormat/>
    <w:rsid w:val="008C05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C05BA"/>
    <w:rPr>
      <w:rFonts w:ascii="Times New Roman" w:eastAsia="Times New Roman" w:hAnsi="Times New Roman" w:cs="Times New Roman"/>
      <w:b/>
      <w:bCs/>
      <w:kern w:val="36"/>
      <w:sz w:val="48"/>
      <w:szCs w:val="48"/>
      <w:lang w:eastAsia="hu-HU"/>
    </w:rPr>
  </w:style>
  <w:style w:type="character" w:customStyle="1" w:styleId="Cmsor4Char">
    <w:name w:val="Címsor 4 Char"/>
    <w:basedOn w:val="Bekezdsalapbettpusa"/>
    <w:link w:val="Cmsor4"/>
    <w:uiPriority w:val="9"/>
    <w:semiHidden/>
    <w:rsid w:val="008C05BA"/>
    <w:rPr>
      <w:rFonts w:asciiTheme="majorHAnsi" w:eastAsiaTheme="majorEastAsia" w:hAnsiTheme="majorHAnsi" w:cstheme="majorBidi"/>
      <w:b/>
      <w:bCs/>
      <w:i/>
      <w:iCs/>
      <w:color w:val="4F81BD" w:themeColor="accent1"/>
    </w:rPr>
  </w:style>
  <w:style w:type="numbering" w:customStyle="1" w:styleId="Nemlista1">
    <w:name w:val="Nem lista1"/>
    <w:next w:val="Nemlista"/>
    <w:uiPriority w:val="99"/>
    <w:semiHidden/>
    <w:unhideWhenUsed/>
    <w:rsid w:val="008C05BA"/>
  </w:style>
  <w:style w:type="paragraph" w:styleId="Listaszerbekezds">
    <w:name w:val="List Paragraph"/>
    <w:aliases w:val="Welt L Char,List Paragraph à moi,Welt L,Bullet List,FooterText,List Paragraph1,numbered,Paragraphe de liste1,Bulletr List Paragraph,列出段落,列出段落1,Listeafsnit1,Parágrafo da Lista1,List Paragraph2,List Paragraph21,リスト段落1,Párrafo de lista1"/>
    <w:basedOn w:val="Norml"/>
    <w:link w:val="ListaszerbekezdsChar"/>
    <w:uiPriority w:val="34"/>
    <w:qFormat/>
    <w:rsid w:val="008C05BA"/>
    <w:pPr>
      <w:ind w:left="720"/>
      <w:contextualSpacing/>
    </w:pPr>
  </w:style>
  <w:style w:type="paragraph" w:styleId="lfej">
    <w:name w:val="header"/>
    <w:basedOn w:val="Norml"/>
    <w:link w:val="lfejChar"/>
    <w:rsid w:val="008C05BA"/>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8C05BA"/>
    <w:rPr>
      <w:rFonts w:ascii="Times New Roman" w:eastAsia="Times New Roman" w:hAnsi="Times New Roman" w:cs="Times New Roman"/>
      <w:sz w:val="24"/>
      <w:szCs w:val="24"/>
      <w:lang w:eastAsia="hu-HU"/>
    </w:rPr>
  </w:style>
  <w:style w:type="paragraph" w:styleId="llb">
    <w:name w:val="footer"/>
    <w:basedOn w:val="Norml"/>
    <w:link w:val="llbChar"/>
    <w:uiPriority w:val="99"/>
    <w:rsid w:val="008C05BA"/>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rsid w:val="008C05BA"/>
    <w:rPr>
      <w:rFonts w:ascii="Times New Roman" w:eastAsia="Times New Roman" w:hAnsi="Times New Roman" w:cs="Times New Roman"/>
      <w:sz w:val="24"/>
      <w:szCs w:val="24"/>
      <w:lang w:eastAsia="hu-HU"/>
    </w:rPr>
  </w:style>
  <w:style w:type="character" w:styleId="Oldalszm">
    <w:name w:val="page number"/>
    <w:basedOn w:val="Bekezdsalapbettpusa"/>
    <w:rsid w:val="008C05BA"/>
  </w:style>
  <w:style w:type="character" w:styleId="Hiperhivatkozs">
    <w:name w:val="Hyperlink"/>
    <w:rsid w:val="008C05BA"/>
    <w:rPr>
      <w:color w:val="0000FF"/>
      <w:u w:val="single"/>
    </w:rPr>
  </w:style>
  <w:style w:type="paragraph" w:styleId="NormlWeb">
    <w:name w:val="Normal (Web)"/>
    <w:basedOn w:val="Norml"/>
    <w:uiPriority w:val="99"/>
    <w:rsid w:val="008C05BA"/>
    <w:pPr>
      <w:spacing w:after="0" w:line="240" w:lineRule="auto"/>
    </w:pPr>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8C05BA"/>
    <w:rPr>
      <w:sz w:val="16"/>
      <w:szCs w:val="16"/>
    </w:rPr>
  </w:style>
  <w:style w:type="paragraph" w:styleId="Jegyzetszveg">
    <w:name w:val="annotation text"/>
    <w:basedOn w:val="Norml"/>
    <w:link w:val="JegyzetszvegChar"/>
    <w:uiPriority w:val="99"/>
    <w:semiHidden/>
    <w:unhideWhenUsed/>
    <w:rsid w:val="008C05BA"/>
    <w:pPr>
      <w:spacing w:line="240" w:lineRule="auto"/>
    </w:pPr>
    <w:rPr>
      <w:sz w:val="20"/>
      <w:szCs w:val="20"/>
    </w:rPr>
  </w:style>
  <w:style w:type="character" w:customStyle="1" w:styleId="JegyzetszvegChar">
    <w:name w:val="Jegyzetszöveg Char"/>
    <w:basedOn w:val="Bekezdsalapbettpusa"/>
    <w:link w:val="Jegyzetszveg"/>
    <w:uiPriority w:val="99"/>
    <w:semiHidden/>
    <w:rsid w:val="008C05BA"/>
    <w:rPr>
      <w:sz w:val="20"/>
      <w:szCs w:val="20"/>
    </w:rPr>
  </w:style>
  <w:style w:type="paragraph" w:styleId="Megjegyzstrgya">
    <w:name w:val="annotation subject"/>
    <w:basedOn w:val="Jegyzetszveg"/>
    <w:next w:val="Jegyzetszveg"/>
    <w:link w:val="MegjegyzstrgyaChar"/>
    <w:uiPriority w:val="99"/>
    <w:semiHidden/>
    <w:unhideWhenUsed/>
    <w:rsid w:val="008C05BA"/>
    <w:rPr>
      <w:b/>
      <w:bCs/>
    </w:rPr>
  </w:style>
  <w:style w:type="character" w:customStyle="1" w:styleId="MegjegyzstrgyaChar">
    <w:name w:val="Megjegyzés tárgya Char"/>
    <w:basedOn w:val="JegyzetszvegChar"/>
    <w:link w:val="Megjegyzstrgya"/>
    <w:uiPriority w:val="99"/>
    <w:semiHidden/>
    <w:rsid w:val="008C05BA"/>
    <w:rPr>
      <w:b/>
      <w:bCs/>
      <w:sz w:val="20"/>
      <w:szCs w:val="20"/>
    </w:rPr>
  </w:style>
  <w:style w:type="paragraph" w:styleId="Buborkszveg">
    <w:name w:val="Balloon Text"/>
    <w:basedOn w:val="Norml"/>
    <w:link w:val="BuborkszvegChar"/>
    <w:uiPriority w:val="99"/>
    <w:semiHidden/>
    <w:unhideWhenUsed/>
    <w:rsid w:val="008C05B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C05BA"/>
    <w:rPr>
      <w:rFonts w:ascii="Tahoma" w:hAnsi="Tahoma" w:cs="Tahoma"/>
      <w:sz w:val="16"/>
      <w:szCs w:val="16"/>
    </w:rPr>
  </w:style>
  <w:style w:type="character" w:customStyle="1" w:styleId="apple-converted-space">
    <w:name w:val="apple-converted-space"/>
    <w:basedOn w:val="Bekezdsalapbettpusa"/>
    <w:rsid w:val="008C05BA"/>
  </w:style>
  <w:style w:type="table" w:styleId="Rcsostblzat">
    <w:name w:val="Table Grid"/>
    <w:basedOn w:val="Normltblzat"/>
    <w:uiPriority w:val="59"/>
    <w:rsid w:val="008C0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Welt L Char Char,List Paragraph à moi Char,Welt L Char1,Bullet List Char,FooterText Char,List Paragraph1 Char,numbered Char,Paragraphe de liste1 Char,Bulletr List Paragraph Char,列出段落 Char,列出段落1 Char,Listeafsnit1 Char,リスト段落1 Char"/>
    <w:link w:val="Listaszerbekezds"/>
    <w:uiPriority w:val="34"/>
    <w:locked/>
    <w:rsid w:val="008C05BA"/>
  </w:style>
  <w:style w:type="paragraph" w:styleId="Lbjegyzetszveg">
    <w:name w:val="footnote text"/>
    <w:basedOn w:val="Norml"/>
    <w:link w:val="LbjegyzetszvegChar"/>
    <w:uiPriority w:val="99"/>
    <w:semiHidden/>
    <w:unhideWhenUsed/>
    <w:rsid w:val="008C05BA"/>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C05BA"/>
    <w:rPr>
      <w:sz w:val="20"/>
      <w:szCs w:val="20"/>
    </w:rPr>
  </w:style>
  <w:style w:type="character" w:styleId="Lbjegyzet-hivatkozs">
    <w:name w:val="footnote reference"/>
    <w:basedOn w:val="Bekezdsalapbettpusa"/>
    <w:uiPriority w:val="99"/>
    <w:semiHidden/>
    <w:unhideWhenUsed/>
    <w:rsid w:val="008C05BA"/>
    <w:rPr>
      <w:vertAlign w:val="superscript"/>
    </w:rPr>
  </w:style>
  <w:style w:type="paragraph" w:styleId="Vltozat">
    <w:name w:val="Revision"/>
    <w:hidden/>
    <w:uiPriority w:val="99"/>
    <w:semiHidden/>
    <w:rsid w:val="008C05BA"/>
    <w:pPr>
      <w:spacing w:after="0" w:line="240" w:lineRule="auto"/>
    </w:pPr>
  </w:style>
  <w:style w:type="paragraph" w:customStyle="1" w:styleId="Pa12">
    <w:name w:val="Pa12"/>
    <w:basedOn w:val="Norml"/>
    <w:next w:val="Norml"/>
    <w:uiPriority w:val="99"/>
    <w:rsid w:val="008C05BA"/>
    <w:pPr>
      <w:autoSpaceDE w:val="0"/>
      <w:autoSpaceDN w:val="0"/>
      <w:adjustRightInd w:val="0"/>
      <w:spacing w:after="0" w:line="181" w:lineRule="atLeast"/>
    </w:pPr>
    <w:rPr>
      <w:rFonts w:ascii="Myriad Pro" w:hAnsi="Myriad Pro"/>
      <w:sz w:val="24"/>
      <w:szCs w:val="24"/>
    </w:rPr>
  </w:style>
  <w:style w:type="paragraph" w:styleId="Szvegtrzs">
    <w:name w:val="Body Text"/>
    <w:basedOn w:val="Norml"/>
    <w:link w:val="SzvegtrzsChar"/>
    <w:uiPriority w:val="99"/>
    <w:semiHidden/>
    <w:unhideWhenUsed/>
    <w:rsid w:val="008C05BA"/>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uiPriority w:val="99"/>
    <w:semiHidden/>
    <w:rsid w:val="008C05BA"/>
    <w:rPr>
      <w:rFonts w:ascii="Times New Roman" w:eastAsia="Times New Roman" w:hAnsi="Times New Roman" w:cs="Times New Roman"/>
      <w:sz w:val="24"/>
      <w:szCs w:val="24"/>
      <w:lang w:eastAsia="hu-HU"/>
    </w:rPr>
  </w:style>
  <w:style w:type="paragraph" w:styleId="Nincstrkz">
    <w:name w:val="No Spacing"/>
    <w:basedOn w:val="Norml"/>
    <w:uiPriority w:val="1"/>
    <w:qFormat/>
    <w:rsid w:val="008C05BA"/>
    <w:pPr>
      <w:spacing w:after="0" w:line="240" w:lineRule="auto"/>
    </w:pPr>
    <w:rPr>
      <w:rFonts w:ascii="Cambria" w:eastAsia="Times New Roman" w:hAnsi="Cambria" w:cs="Times New Roman"/>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8C05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4">
    <w:name w:val="heading 4"/>
    <w:basedOn w:val="Norml"/>
    <w:next w:val="Norml"/>
    <w:link w:val="Cmsor4Char"/>
    <w:uiPriority w:val="9"/>
    <w:semiHidden/>
    <w:unhideWhenUsed/>
    <w:qFormat/>
    <w:rsid w:val="008C05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C05BA"/>
    <w:rPr>
      <w:rFonts w:ascii="Times New Roman" w:eastAsia="Times New Roman" w:hAnsi="Times New Roman" w:cs="Times New Roman"/>
      <w:b/>
      <w:bCs/>
      <w:kern w:val="36"/>
      <w:sz w:val="48"/>
      <w:szCs w:val="48"/>
      <w:lang w:eastAsia="hu-HU"/>
    </w:rPr>
  </w:style>
  <w:style w:type="character" w:customStyle="1" w:styleId="Cmsor4Char">
    <w:name w:val="Címsor 4 Char"/>
    <w:basedOn w:val="Bekezdsalapbettpusa"/>
    <w:link w:val="Cmsor4"/>
    <w:uiPriority w:val="9"/>
    <w:semiHidden/>
    <w:rsid w:val="008C05BA"/>
    <w:rPr>
      <w:rFonts w:asciiTheme="majorHAnsi" w:eastAsiaTheme="majorEastAsia" w:hAnsiTheme="majorHAnsi" w:cstheme="majorBidi"/>
      <w:b/>
      <w:bCs/>
      <w:i/>
      <w:iCs/>
      <w:color w:val="4F81BD" w:themeColor="accent1"/>
    </w:rPr>
  </w:style>
  <w:style w:type="numbering" w:customStyle="1" w:styleId="Nemlista1">
    <w:name w:val="Nem lista1"/>
    <w:next w:val="Nemlista"/>
    <w:uiPriority w:val="99"/>
    <w:semiHidden/>
    <w:unhideWhenUsed/>
    <w:rsid w:val="008C05BA"/>
  </w:style>
  <w:style w:type="paragraph" w:styleId="Listaszerbekezds">
    <w:name w:val="List Paragraph"/>
    <w:aliases w:val="Welt L Char,List Paragraph à moi,Welt L,Bullet List,FooterText,List Paragraph1,numbered,Paragraphe de liste1,Bulletr List Paragraph,列出段落,列出段落1,Listeafsnit1,Parágrafo da Lista1,List Paragraph2,List Paragraph21,リスト段落1,Párrafo de lista1"/>
    <w:basedOn w:val="Norml"/>
    <w:link w:val="ListaszerbekezdsChar"/>
    <w:uiPriority w:val="34"/>
    <w:qFormat/>
    <w:rsid w:val="008C05BA"/>
    <w:pPr>
      <w:ind w:left="720"/>
      <w:contextualSpacing/>
    </w:pPr>
  </w:style>
  <w:style w:type="paragraph" w:styleId="lfej">
    <w:name w:val="header"/>
    <w:basedOn w:val="Norml"/>
    <w:link w:val="lfejChar"/>
    <w:rsid w:val="008C05BA"/>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8C05BA"/>
    <w:rPr>
      <w:rFonts w:ascii="Times New Roman" w:eastAsia="Times New Roman" w:hAnsi="Times New Roman" w:cs="Times New Roman"/>
      <w:sz w:val="24"/>
      <w:szCs w:val="24"/>
      <w:lang w:eastAsia="hu-HU"/>
    </w:rPr>
  </w:style>
  <w:style w:type="paragraph" w:styleId="llb">
    <w:name w:val="footer"/>
    <w:basedOn w:val="Norml"/>
    <w:link w:val="llbChar"/>
    <w:uiPriority w:val="99"/>
    <w:rsid w:val="008C05BA"/>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rsid w:val="008C05BA"/>
    <w:rPr>
      <w:rFonts w:ascii="Times New Roman" w:eastAsia="Times New Roman" w:hAnsi="Times New Roman" w:cs="Times New Roman"/>
      <w:sz w:val="24"/>
      <w:szCs w:val="24"/>
      <w:lang w:eastAsia="hu-HU"/>
    </w:rPr>
  </w:style>
  <w:style w:type="character" w:styleId="Oldalszm">
    <w:name w:val="page number"/>
    <w:basedOn w:val="Bekezdsalapbettpusa"/>
    <w:rsid w:val="008C05BA"/>
  </w:style>
  <w:style w:type="character" w:styleId="Hiperhivatkozs">
    <w:name w:val="Hyperlink"/>
    <w:rsid w:val="008C05BA"/>
    <w:rPr>
      <w:color w:val="0000FF"/>
      <w:u w:val="single"/>
    </w:rPr>
  </w:style>
  <w:style w:type="paragraph" w:styleId="NormlWeb">
    <w:name w:val="Normal (Web)"/>
    <w:basedOn w:val="Norml"/>
    <w:uiPriority w:val="99"/>
    <w:rsid w:val="008C05BA"/>
    <w:pPr>
      <w:spacing w:after="0" w:line="240" w:lineRule="auto"/>
    </w:pPr>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8C05BA"/>
    <w:rPr>
      <w:sz w:val="16"/>
      <w:szCs w:val="16"/>
    </w:rPr>
  </w:style>
  <w:style w:type="paragraph" w:styleId="Jegyzetszveg">
    <w:name w:val="annotation text"/>
    <w:basedOn w:val="Norml"/>
    <w:link w:val="JegyzetszvegChar"/>
    <w:uiPriority w:val="99"/>
    <w:semiHidden/>
    <w:unhideWhenUsed/>
    <w:rsid w:val="008C05BA"/>
    <w:pPr>
      <w:spacing w:line="240" w:lineRule="auto"/>
    </w:pPr>
    <w:rPr>
      <w:sz w:val="20"/>
      <w:szCs w:val="20"/>
    </w:rPr>
  </w:style>
  <w:style w:type="character" w:customStyle="1" w:styleId="JegyzetszvegChar">
    <w:name w:val="Jegyzetszöveg Char"/>
    <w:basedOn w:val="Bekezdsalapbettpusa"/>
    <w:link w:val="Jegyzetszveg"/>
    <w:uiPriority w:val="99"/>
    <w:semiHidden/>
    <w:rsid w:val="008C05BA"/>
    <w:rPr>
      <w:sz w:val="20"/>
      <w:szCs w:val="20"/>
    </w:rPr>
  </w:style>
  <w:style w:type="paragraph" w:styleId="Megjegyzstrgya">
    <w:name w:val="annotation subject"/>
    <w:basedOn w:val="Jegyzetszveg"/>
    <w:next w:val="Jegyzetszveg"/>
    <w:link w:val="MegjegyzstrgyaChar"/>
    <w:uiPriority w:val="99"/>
    <w:semiHidden/>
    <w:unhideWhenUsed/>
    <w:rsid w:val="008C05BA"/>
    <w:rPr>
      <w:b/>
      <w:bCs/>
    </w:rPr>
  </w:style>
  <w:style w:type="character" w:customStyle="1" w:styleId="MegjegyzstrgyaChar">
    <w:name w:val="Megjegyzés tárgya Char"/>
    <w:basedOn w:val="JegyzetszvegChar"/>
    <w:link w:val="Megjegyzstrgya"/>
    <w:uiPriority w:val="99"/>
    <w:semiHidden/>
    <w:rsid w:val="008C05BA"/>
    <w:rPr>
      <w:b/>
      <w:bCs/>
      <w:sz w:val="20"/>
      <w:szCs w:val="20"/>
    </w:rPr>
  </w:style>
  <w:style w:type="paragraph" w:styleId="Buborkszveg">
    <w:name w:val="Balloon Text"/>
    <w:basedOn w:val="Norml"/>
    <w:link w:val="BuborkszvegChar"/>
    <w:uiPriority w:val="99"/>
    <w:semiHidden/>
    <w:unhideWhenUsed/>
    <w:rsid w:val="008C05B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C05BA"/>
    <w:rPr>
      <w:rFonts w:ascii="Tahoma" w:hAnsi="Tahoma" w:cs="Tahoma"/>
      <w:sz w:val="16"/>
      <w:szCs w:val="16"/>
    </w:rPr>
  </w:style>
  <w:style w:type="character" w:customStyle="1" w:styleId="apple-converted-space">
    <w:name w:val="apple-converted-space"/>
    <w:basedOn w:val="Bekezdsalapbettpusa"/>
    <w:rsid w:val="008C05BA"/>
  </w:style>
  <w:style w:type="table" w:styleId="Rcsostblzat">
    <w:name w:val="Table Grid"/>
    <w:basedOn w:val="Normltblzat"/>
    <w:uiPriority w:val="59"/>
    <w:rsid w:val="008C0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Welt L Char Char,List Paragraph à moi Char,Welt L Char1,Bullet List Char,FooterText Char,List Paragraph1 Char,numbered Char,Paragraphe de liste1 Char,Bulletr List Paragraph Char,列出段落 Char,列出段落1 Char,Listeafsnit1 Char,リスト段落1 Char"/>
    <w:link w:val="Listaszerbekezds"/>
    <w:uiPriority w:val="34"/>
    <w:locked/>
    <w:rsid w:val="008C05BA"/>
  </w:style>
  <w:style w:type="paragraph" w:styleId="Lbjegyzetszveg">
    <w:name w:val="footnote text"/>
    <w:basedOn w:val="Norml"/>
    <w:link w:val="LbjegyzetszvegChar"/>
    <w:uiPriority w:val="99"/>
    <w:semiHidden/>
    <w:unhideWhenUsed/>
    <w:rsid w:val="008C05BA"/>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C05BA"/>
    <w:rPr>
      <w:sz w:val="20"/>
      <w:szCs w:val="20"/>
    </w:rPr>
  </w:style>
  <w:style w:type="character" w:styleId="Lbjegyzet-hivatkozs">
    <w:name w:val="footnote reference"/>
    <w:basedOn w:val="Bekezdsalapbettpusa"/>
    <w:uiPriority w:val="99"/>
    <w:semiHidden/>
    <w:unhideWhenUsed/>
    <w:rsid w:val="008C05BA"/>
    <w:rPr>
      <w:vertAlign w:val="superscript"/>
    </w:rPr>
  </w:style>
  <w:style w:type="paragraph" w:styleId="Vltozat">
    <w:name w:val="Revision"/>
    <w:hidden/>
    <w:uiPriority w:val="99"/>
    <w:semiHidden/>
    <w:rsid w:val="008C05BA"/>
    <w:pPr>
      <w:spacing w:after="0" w:line="240" w:lineRule="auto"/>
    </w:pPr>
  </w:style>
  <w:style w:type="paragraph" w:customStyle="1" w:styleId="Pa12">
    <w:name w:val="Pa12"/>
    <w:basedOn w:val="Norml"/>
    <w:next w:val="Norml"/>
    <w:uiPriority w:val="99"/>
    <w:rsid w:val="008C05BA"/>
    <w:pPr>
      <w:autoSpaceDE w:val="0"/>
      <w:autoSpaceDN w:val="0"/>
      <w:adjustRightInd w:val="0"/>
      <w:spacing w:after="0" w:line="181" w:lineRule="atLeast"/>
    </w:pPr>
    <w:rPr>
      <w:rFonts w:ascii="Myriad Pro" w:hAnsi="Myriad Pro"/>
      <w:sz w:val="24"/>
      <w:szCs w:val="24"/>
    </w:rPr>
  </w:style>
  <w:style w:type="paragraph" w:styleId="Szvegtrzs">
    <w:name w:val="Body Text"/>
    <w:basedOn w:val="Norml"/>
    <w:link w:val="SzvegtrzsChar"/>
    <w:uiPriority w:val="99"/>
    <w:semiHidden/>
    <w:unhideWhenUsed/>
    <w:rsid w:val="008C05BA"/>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uiPriority w:val="99"/>
    <w:semiHidden/>
    <w:rsid w:val="008C05BA"/>
    <w:rPr>
      <w:rFonts w:ascii="Times New Roman" w:eastAsia="Times New Roman" w:hAnsi="Times New Roman" w:cs="Times New Roman"/>
      <w:sz w:val="24"/>
      <w:szCs w:val="24"/>
      <w:lang w:eastAsia="hu-HU"/>
    </w:rPr>
  </w:style>
  <w:style w:type="paragraph" w:styleId="Nincstrkz">
    <w:name w:val="No Spacing"/>
    <w:basedOn w:val="Norml"/>
    <w:uiPriority w:val="1"/>
    <w:qFormat/>
    <w:rsid w:val="008C05BA"/>
    <w:pPr>
      <w:spacing w:after="0" w:line="240" w:lineRule="auto"/>
    </w:pPr>
    <w:rPr>
      <w:rFonts w:ascii="Cambria" w:eastAsia="Times New Roman" w:hAnsi="Cambria" w:cs="Times New Roman"/>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9145</Words>
  <Characters>63104</Characters>
  <Application>Microsoft Office Word</Application>
  <DocSecurity>0</DocSecurity>
  <Lines>525</Lines>
  <Paragraphs>144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72105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Tóth-Herpai Erika Ildikó Dr.</dc:creator>
  <cp:lastModifiedBy>Fehér Emese</cp:lastModifiedBy>
  <cp:revision>2</cp:revision>
  <dcterms:created xsi:type="dcterms:W3CDTF">2020-09-28T12:17:00Z</dcterms:created>
  <dcterms:modified xsi:type="dcterms:W3CDTF">2020-09-28T12:17:00Z</dcterms:modified>
</cp:coreProperties>
</file>