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689E2" w14:textId="6B71AC8F" w:rsidR="00B155FE" w:rsidRPr="00377D59" w:rsidRDefault="7C285CBA" w:rsidP="7C285CBA">
      <w:pPr>
        <w:tabs>
          <w:tab w:val="center" w:pos="4536"/>
        </w:tabs>
        <w:bidi/>
        <w:spacing w:after="120" w:line="240" w:lineRule="auto"/>
        <w:ind w:left="-142" w:right="-1" w:firstLine="142"/>
        <w:rPr>
          <w:rFonts w:ascii="Times New Roman" w:eastAsia="Times New Roman" w:hAnsi="Times New Roman" w:cs="Times New Roman"/>
          <w:b/>
          <w:bCs/>
          <w:smallCaps/>
          <w:sz w:val="32"/>
          <w:szCs w:val="32"/>
          <w:lang w:eastAsia="hu-HU"/>
        </w:rPr>
      </w:pPr>
      <w:r w:rsidRPr="7C285CBA">
        <w:rPr>
          <w:rFonts w:ascii="Times New Roman" w:eastAsia="Times New Roman" w:hAnsi="Times New Roman" w:cs="Times New Roman"/>
          <w:b/>
          <w:bCs/>
          <w:smallCaps/>
          <w:sz w:val="32"/>
          <w:szCs w:val="32"/>
          <w:lang w:eastAsia="hu-HU"/>
        </w:rPr>
        <w:t>Nemzetgazdasági Minisztérium</w:t>
      </w:r>
    </w:p>
    <w:p w14:paraId="7B7689E4"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36F33C9C" w14:textId="77777777" w:rsidR="001E689B" w:rsidRPr="00377D59" w:rsidRDefault="001E689B"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5"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6"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7"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8"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9"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26"/>
          <w:szCs w:val="26"/>
          <w:lang w:eastAsia="hu-HU"/>
        </w:rPr>
      </w:pPr>
    </w:p>
    <w:p w14:paraId="7B7689EB" w14:textId="74BA5630" w:rsidR="00B155FE" w:rsidRDefault="00B155FE"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4EE6826E" w14:textId="77777777" w:rsidR="000A4839" w:rsidRPr="00377D59" w:rsidRDefault="000A4839"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7B7689EC"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D"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E"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F" w14:textId="77777777" w:rsidR="00B155FE" w:rsidRPr="00377D59" w:rsidRDefault="00B155FE" w:rsidP="7C285CBA">
      <w:pPr>
        <w:keepNext/>
        <w:widowControl w:val="0"/>
        <w:spacing w:after="120" w:line="240" w:lineRule="auto"/>
        <w:jc w:val="center"/>
        <w:rPr>
          <w:rFonts w:ascii="Times New Roman" w:eastAsia="Times New Roman" w:hAnsi="Times New Roman" w:cs="Times New Roman"/>
          <w:b/>
          <w:bCs/>
          <w:caps/>
          <w:sz w:val="32"/>
          <w:szCs w:val="32"/>
          <w:lang w:eastAsia="hu-HU"/>
        </w:rPr>
      </w:pPr>
      <w:r w:rsidRPr="00377D59">
        <w:rPr>
          <w:rFonts w:ascii="Times New Roman" w:eastAsia="Times New Roman" w:hAnsi="Times New Roman" w:cs="Times New Roman"/>
          <w:b/>
          <w:bCs/>
          <w:caps/>
          <w:spacing w:val="60"/>
          <w:sz w:val="32"/>
          <w:szCs w:val="32"/>
          <w:lang w:eastAsia="hu-HU"/>
        </w:rPr>
        <w:t>Tájékoztató</w:t>
      </w:r>
    </w:p>
    <w:p w14:paraId="5AE02B14" w14:textId="4199477B" w:rsidR="00B94CCA" w:rsidRPr="00377D59" w:rsidRDefault="7C285CBA" w:rsidP="7C285CBA">
      <w:pPr>
        <w:keepNext/>
        <w:tabs>
          <w:tab w:val="left" w:pos="2694"/>
        </w:tabs>
        <w:spacing w:after="120" w:line="240" w:lineRule="auto"/>
        <w:ind w:right="-1"/>
        <w:jc w:val="center"/>
        <w:outlineLvl w:val="1"/>
        <w:rPr>
          <w:rFonts w:ascii="Times New Roman" w:eastAsia="Times New Roman" w:hAnsi="Times New Roman" w:cs="Times New Roman"/>
          <w:b/>
          <w:bCs/>
          <w:i/>
          <w:iCs/>
          <w:sz w:val="26"/>
          <w:szCs w:val="26"/>
          <w:lang w:eastAsia="hu-HU"/>
        </w:rPr>
      </w:pPr>
      <w:r w:rsidRPr="7C285CBA">
        <w:rPr>
          <w:rFonts w:ascii="Times New Roman" w:eastAsia="Times New Roman" w:hAnsi="Times New Roman" w:cs="Times New Roman"/>
          <w:b/>
          <w:bCs/>
          <w:i/>
          <w:iCs/>
          <w:sz w:val="26"/>
          <w:szCs w:val="26"/>
          <w:lang w:eastAsia="hu-HU"/>
        </w:rPr>
        <w:t>az államháztartás központi alrendszerének</w:t>
      </w:r>
      <w:r w:rsidR="74CD2655">
        <w:br/>
      </w:r>
      <w:r w:rsidRPr="7C285CBA">
        <w:rPr>
          <w:rFonts w:ascii="Times New Roman" w:eastAsia="Times New Roman" w:hAnsi="Times New Roman" w:cs="Times New Roman"/>
          <w:b/>
          <w:bCs/>
          <w:i/>
          <w:iCs/>
          <w:sz w:val="26"/>
          <w:szCs w:val="26"/>
          <w:lang w:eastAsia="hu-HU"/>
        </w:rPr>
        <w:t>2025. augusztus végi helyzetéről</w:t>
      </w:r>
    </w:p>
    <w:p w14:paraId="7B7689F2" w14:textId="2D4563EC" w:rsidR="00B155FE" w:rsidRPr="00377D59" w:rsidRDefault="00B155FE"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4A2F8C9F"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D327E5D"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35267E04"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20BD3D31"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6E13D32"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59F56A13"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7B7689F4"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6"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7"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8" w14:textId="7C3BEFF0" w:rsidR="00B155FE" w:rsidRPr="00377D59" w:rsidRDefault="00B155FE" w:rsidP="00EA1F58">
      <w:pPr>
        <w:tabs>
          <w:tab w:val="left" w:pos="5685"/>
        </w:tabs>
        <w:spacing w:after="120" w:line="240" w:lineRule="auto"/>
        <w:jc w:val="both"/>
        <w:rPr>
          <w:rFonts w:ascii="Times New Roman" w:eastAsia="Times New Roman" w:hAnsi="Times New Roman" w:cs="Times New Roman"/>
          <w:sz w:val="26"/>
          <w:szCs w:val="20"/>
          <w:lang w:eastAsia="hu-HU"/>
        </w:rPr>
      </w:pPr>
    </w:p>
    <w:p w14:paraId="7B7689F9"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A"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B"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1CF999E6" w14:textId="52137B62" w:rsidR="00E97147" w:rsidRPr="00377D59" w:rsidRDefault="00B155FE" w:rsidP="7C285CBA">
      <w:pPr>
        <w:tabs>
          <w:tab w:val="left" w:pos="2694"/>
        </w:tabs>
        <w:spacing w:after="120" w:line="240" w:lineRule="auto"/>
        <w:jc w:val="center"/>
        <w:rPr>
          <w:rFonts w:ascii="Times New Roman" w:eastAsia="Times New Roman" w:hAnsi="Times New Roman" w:cs="Times New Roman"/>
          <w:b/>
          <w:bCs/>
          <w:lang w:eastAsia="hu-HU"/>
        </w:rPr>
        <w:sectPr w:rsidR="00E97147" w:rsidRPr="00377D59" w:rsidSect="007449BF">
          <w:headerReference w:type="default" r:id="rId11"/>
          <w:footerReference w:type="default" r:id="rId12"/>
          <w:footerReference w:type="first" r:id="rId13"/>
          <w:footnotePr>
            <w:numRestart w:val="eachPage"/>
          </w:footnotePr>
          <w:pgSz w:w="11907" w:h="16840" w:code="9"/>
          <w:pgMar w:top="1134" w:right="1134" w:bottom="1418" w:left="1418" w:header="709" w:footer="709" w:gutter="0"/>
          <w:pgNumType w:fmt="numberInDash" w:start="0"/>
          <w:cols w:space="708"/>
          <w:docGrid w:linePitch="354"/>
        </w:sectPr>
      </w:pPr>
      <w:r w:rsidRPr="00377D59">
        <w:rPr>
          <w:rFonts w:ascii="Times New Roman" w:eastAsia="Times New Roman" w:hAnsi="Times New Roman" w:cs="Times New Roman"/>
          <w:b/>
          <w:bCs/>
          <w:noProof/>
          <w:lang w:eastAsia="hu-HU"/>
        </w:rPr>
        <mc:AlternateContent>
          <mc:Choice Requires="wps">
            <w:drawing>
              <wp:anchor distT="0" distB="0" distL="114300" distR="114300" simplePos="0" relativeHeight="251658240" behindDoc="0" locked="0" layoutInCell="1" allowOverlap="1" wp14:anchorId="7B768C6C" wp14:editId="7B768C6D">
                <wp:simplePos x="0" y="0"/>
                <wp:positionH relativeFrom="column">
                  <wp:posOffset>2336732</wp:posOffset>
                </wp:positionH>
                <wp:positionV relativeFrom="paragraph">
                  <wp:posOffset>980217</wp:posOffset>
                </wp:positionV>
                <wp:extent cx="971550" cy="393065"/>
                <wp:effectExtent l="0" t="0" r="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fl="http://schemas.microsoft.com/office/word/2024/wordml/sdtformatlock" xmlns:w16du="http://schemas.microsoft.com/office/word/2023/wordml/word16du">
            <w:pict w14:anchorId="0D87395B">
              <v:rect id="Rectangle 2" style="position:absolute;margin-left:184pt;margin-top:77.2pt;width:76.5pt;height: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986F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zDewIAAPo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"/>
            </w:pict>
          </mc:Fallback>
        </mc:AlternateContent>
      </w:r>
      <w:r w:rsidRPr="00377D59">
        <w:rPr>
          <w:rFonts w:ascii="Times New Roman" w:eastAsia="Times New Roman" w:hAnsi="Times New Roman" w:cs="Times New Roman"/>
          <w:b/>
          <w:bCs/>
          <w:lang w:eastAsia="hu-HU"/>
        </w:rPr>
        <w:t>202</w:t>
      </w:r>
      <w:r w:rsidR="002107FF">
        <w:rPr>
          <w:rFonts w:ascii="Times New Roman" w:eastAsia="Times New Roman" w:hAnsi="Times New Roman" w:cs="Times New Roman"/>
          <w:b/>
          <w:bCs/>
          <w:lang w:eastAsia="hu-HU"/>
        </w:rPr>
        <w:t>5</w:t>
      </w:r>
      <w:r w:rsidRPr="00377D59">
        <w:rPr>
          <w:rFonts w:ascii="Times New Roman" w:eastAsia="Times New Roman" w:hAnsi="Times New Roman" w:cs="Times New Roman"/>
          <w:b/>
          <w:bCs/>
          <w:lang w:eastAsia="hu-HU"/>
        </w:rPr>
        <w:t xml:space="preserve">. </w:t>
      </w:r>
      <w:r w:rsidR="00686075">
        <w:rPr>
          <w:rFonts w:ascii="Times New Roman" w:eastAsia="Times New Roman" w:hAnsi="Times New Roman" w:cs="Times New Roman"/>
          <w:b/>
          <w:bCs/>
          <w:lang w:eastAsia="hu-HU"/>
        </w:rPr>
        <w:t>szeptember</w:t>
      </w:r>
    </w:p>
    <w:p w14:paraId="7B7689FF" w14:textId="77777777" w:rsidR="00B155FE" w:rsidRPr="00377D59" w:rsidRDefault="7C285CBA" w:rsidP="00B3244C">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r w:rsidRPr="7C285CBA">
        <w:rPr>
          <w:rFonts w:ascii="Times New Roman" w:eastAsia="Times New Roman" w:hAnsi="Times New Roman" w:cs="Times New Roman"/>
          <w:b/>
          <w:bCs/>
          <w:caps/>
          <w:color w:val="000000" w:themeColor="text1"/>
          <w:sz w:val="26"/>
          <w:szCs w:val="26"/>
          <w:lang w:eastAsia="hu-HU"/>
        </w:rPr>
        <w:lastRenderedPageBreak/>
        <w:t>Összefoglalás</w:t>
      </w:r>
    </w:p>
    <w:p w14:paraId="279CB9D2" w14:textId="77777777" w:rsidR="00A55AA0" w:rsidRPr="00A55AA0" w:rsidRDefault="00A55AA0" w:rsidP="00A55AA0">
      <w:pPr>
        <w:widowControl w:val="0"/>
        <w:spacing w:after="120" w:line="254" w:lineRule="auto"/>
        <w:jc w:val="both"/>
        <w:rPr>
          <w:rFonts w:ascii="Times New Roman" w:eastAsia="Times New Roman" w:hAnsi="Times New Roman" w:cs="Times New Roman"/>
          <w:b/>
          <w:bCs/>
          <w:color w:val="000000" w:themeColor="text1"/>
          <w:sz w:val="26"/>
          <w:szCs w:val="26"/>
          <w:lang w:eastAsia="hu-HU"/>
        </w:rPr>
      </w:pPr>
      <w:r w:rsidRPr="00A55AA0">
        <w:rPr>
          <w:rFonts w:ascii="Times New Roman" w:eastAsia="Times New Roman" w:hAnsi="Times New Roman" w:cs="Times New Roman"/>
          <w:b/>
          <w:bCs/>
          <w:color w:val="000000" w:themeColor="text1"/>
          <w:sz w:val="26"/>
          <w:szCs w:val="26"/>
          <w:lang w:eastAsia="hu-HU"/>
        </w:rPr>
        <w:t>Magyarország pénzügyei rendezettek, a költségvetés garantálja a magyar gazdaság, a családok és a nyugdíjasok védelmét.</w:t>
      </w:r>
    </w:p>
    <w:p w14:paraId="28DA143D" w14:textId="77777777" w:rsidR="00A55AA0" w:rsidRDefault="00A55AA0" w:rsidP="00A55AA0">
      <w:pPr>
        <w:widowControl w:val="0"/>
        <w:spacing w:after="120" w:line="254" w:lineRule="auto"/>
        <w:jc w:val="both"/>
        <w:rPr>
          <w:rFonts w:ascii="Times New Roman" w:eastAsia="Times New Roman" w:hAnsi="Times New Roman" w:cs="Times New Roman"/>
          <w:b/>
          <w:bCs/>
          <w:color w:val="000000" w:themeColor="text1"/>
          <w:sz w:val="26"/>
          <w:szCs w:val="26"/>
          <w:lang w:eastAsia="hu-HU"/>
        </w:rPr>
      </w:pPr>
      <w:r w:rsidRPr="00A55AA0">
        <w:rPr>
          <w:rFonts w:ascii="Times New Roman" w:eastAsia="Times New Roman" w:hAnsi="Times New Roman" w:cs="Times New Roman"/>
          <w:b/>
          <w:bCs/>
          <w:color w:val="000000" w:themeColor="text1"/>
          <w:sz w:val="26"/>
          <w:szCs w:val="26"/>
          <w:lang w:eastAsia="hu-HU"/>
        </w:rPr>
        <w:t>A kormány Európa legnagyobb adócsökkentési programját hajtja végre, miközben négy szabályt tart szem előtt a fiskális fegyelem megőrzése érdekében: 1. A hiánynak évről évre csökkennie kell. 2. Az államadósságnak fenntartható pályán kell maradnia. 3. Nem szabad visszakerülni a túlzottdeficit-eljárás alá. 4. Az elsődleges egyenlegnek pedig nullaközeli szinten kell maradnia.</w:t>
      </w:r>
    </w:p>
    <w:p w14:paraId="414017C4" w14:textId="0532C194"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Augusztus végéig az államháztartás központi alrendszere 3025,5 milliárd forintos hiánnyal zárt. Ez az egész éves várható pénzforgalmi hiány (4774,0 milliárd forint) 63,4</w:t>
      </w:r>
      <w:r w:rsidR="00B3244C">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százaléka, ami azt jelenti, hogy az időarányosnál (66,6</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százalék) kedvezőbb az éves hiány eddigi teljesülése.</w:t>
      </w:r>
    </w:p>
    <w:p w14:paraId="52DC9311" w14:textId="23662F3E"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A központi alrendszer hiányán belül a központi költségvetés 3012,7</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forintos hiányt, az elkülönített állami pénzalapok 109,8</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forintos többletet, a</w:t>
      </w:r>
      <w:r w:rsidR="00B3244C">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társadalombiztosítás pénzügyi alapjai pedig 122,6 milliárd forintos hiányt mutattak.</w:t>
      </w:r>
    </w:p>
    <w:p w14:paraId="7302DD59" w14:textId="77777777"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Az előző év azonos időszakához viszonyítva a központi alrendszer adó- és járulékbevételei 8,7 százalékkal magasabban alakultak. Ezen belül a fogyasztáshoz kapcsolódó adók esetében megközelítőleg 10 százalékos növekedés történt.</w:t>
      </w:r>
    </w:p>
    <w:p w14:paraId="4FF287EE" w14:textId="53ACA8D8"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Kamatkiadásokra augusztus végéig 2928,3</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 került kifizetésre, ami 514,5</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forinttal magasabb az előző év azonos időszakához képest. Ezt egyes lejáratok eltérő kamatfizetési időpontja, valamint az államadósság eltérő szerkezete okozza.</w:t>
      </w:r>
    </w:p>
    <w:p w14:paraId="2655A52E" w14:textId="1E13BB93"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Az állami közlekedési és közüzemi szolgáltatásokra fordított, összesen 1654,5</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 forint kifizetés 172,8</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forinttal magasabb az előző év azonos időszakánál.</w:t>
      </w:r>
    </w:p>
    <w:p w14:paraId="3EAEA8E2" w14:textId="7E55BC44"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Meghaladták a tavalyi összeget a nyugellátásokra és gyógyító-megelőző ellátásokra fordított kiadások is. Augusztus végéig – a 13. havi nyugdíjjal és ellátással együtt – nyugellátásokra és nyugdíjszerű ellátásokra összesen 4954,6</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 míg gyógyító-megelőző ellátásokra 1969,5</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 kifizetése történt meg.</w:t>
      </w:r>
    </w:p>
    <w:p w14:paraId="4D91B167" w14:textId="60E23D34"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Augusztusban, egy hónap alatt, a központi alrendszer 239,1</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 hiánnyal zárt, szemben az előző évi azonos havi 414,3</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forintos hiánnyal.</w:t>
      </w:r>
    </w:p>
    <w:p w14:paraId="694FAB4F" w14:textId="7D46E380" w:rsidR="00A55AA0" w:rsidRPr="00A55AA0" w:rsidRDefault="00A55AA0" w:rsidP="00A55AA0">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A55AA0">
        <w:rPr>
          <w:rFonts w:ascii="Times New Roman" w:eastAsia="Times New Roman" w:hAnsi="Times New Roman" w:cs="Times New Roman"/>
          <w:color w:val="000000" w:themeColor="text1"/>
          <w:sz w:val="26"/>
          <w:szCs w:val="26"/>
          <w:lang w:eastAsia="hu-HU"/>
        </w:rPr>
        <w:t>Ebben a hónapban a költségvetés uniós programokhoz kapcsolódó bevételei 311,3</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 forinttal, 436,8</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forintra emelkedtek. Ez legnagyobb részt annak köszönhető, hogy az Európai Bizottság átutalta a pedagógusbér-emelés kapcsán kitűzött mérföldkövek teljesítéséhez kapcsolódó, mintegy 587</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millió</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eurónyi forrást, valamint visszatérítette a</w:t>
      </w:r>
      <w:r w:rsidR="004012A0">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KAP Stratégiai Terv vidékfejlesztési intézkedések 2025. II. negyedévi kiadásainak uniós részét (131 millió euró).</w:t>
      </w:r>
    </w:p>
    <w:p w14:paraId="7B768A0B" w14:textId="40E70281" w:rsidR="005171E0" w:rsidRDefault="00A55AA0" w:rsidP="00A55AA0">
      <w:pPr>
        <w:widowControl w:val="0"/>
        <w:spacing w:after="120" w:line="254" w:lineRule="auto"/>
        <w:jc w:val="both"/>
        <w:rPr>
          <w:rFonts w:ascii="Times New Roman" w:eastAsia="Times New Roman" w:hAnsi="Times New Roman" w:cs="Times New Roman"/>
          <w:sz w:val="26"/>
          <w:szCs w:val="26"/>
          <w:lang w:eastAsia="hu-HU"/>
        </w:rPr>
      </w:pPr>
      <w:r w:rsidRPr="00A55AA0">
        <w:rPr>
          <w:rFonts w:ascii="Times New Roman" w:eastAsia="Times New Roman" w:hAnsi="Times New Roman" w:cs="Times New Roman"/>
          <w:color w:val="000000" w:themeColor="text1"/>
          <w:sz w:val="26"/>
          <w:szCs w:val="26"/>
          <w:lang w:eastAsia="hu-HU"/>
        </w:rPr>
        <w:t>Figyelembe véve az év első felében a költségvetésen kívül érkezett 535,1 milliárd forint közvetlen agrártámogatások visszatérítéseit is, 2025 első nyolc hónapjában összesen már 971,9</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milliárd</w:t>
      </w:r>
      <w:r w:rsidR="00547A9D">
        <w:rPr>
          <w:rFonts w:ascii="Times New Roman" w:eastAsia="Times New Roman" w:hAnsi="Times New Roman" w:cs="Times New Roman"/>
          <w:color w:val="000000" w:themeColor="text1"/>
          <w:sz w:val="26"/>
          <w:szCs w:val="26"/>
          <w:lang w:eastAsia="hu-HU"/>
        </w:rPr>
        <w:t> </w:t>
      </w:r>
      <w:r w:rsidRPr="00A55AA0">
        <w:rPr>
          <w:rFonts w:ascii="Times New Roman" w:eastAsia="Times New Roman" w:hAnsi="Times New Roman" w:cs="Times New Roman"/>
          <w:color w:val="000000" w:themeColor="text1"/>
          <w:sz w:val="26"/>
          <w:szCs w:val="26"/>
          <w:lang w:eastAsia="hu-HU"/>
        </w:rPr>
        <w:t xml:space="preserve">forint uniós forrás érkezett Magyarországra, ami meghaladja </w:t>
      </w:r>
      <w:r w:rsidR="00B3244C">
        <w:rPr>
          <w:rFonts w:ascii="Times New Roman" w:eastAsia="Times New Roman" w:hAnsi="Times New Roman" w:cs="Times New Roman"/>
          <w:color w:val="000000" w:themeColor="text1"/>
          <w:sz w:val="26"/>
          <w:szCs w:val="26"/>
          <w:lang w:eastAsia="hu-HU"/>
        </w:rPr>
        <w:br/>
      </w:r>
      <w:r w:rsidRPr="00A55AA0">
        <w:rPr>
          <w:rFonts w:ascii="Times New Roman" w:eastAsia="Times New Roman" w:hAnsi="Times New Roman" w:cs="Times New Roman"/>
          <w:color w:val="000000" w:themeColor="text1"/>
          <w:sz w:val="26"/>
          <w:szCs w:val="26"/>
          <w:lang w:eastAsia="hu-HU"/>
        </w:rPr>
        <w:t>a GDP 1,1 százalékát.</w:t>
      </w:r>
      <w:r w:rsidR="00920F4D">
        <w:rPr>
          <w:rFonts w:ascii="Times New Roman" w:eastAsia="Times New Roman" w:hAnsi="Times New Roman" w:cs="Times New Roman"/>
          <w:sz w:val="26"/>
          <w:szCs w:val="26"/>
          <w:lang w:eastAsia="hu-HU"/>
        </w:rPr>
        <w:br w:type="column"/>
      </w:r>
      <w:r w:rsidR="639E9B9B" w:rsidRPr="639E9B9B">
        <w:rPr>
          <w:rFonts w:ascii="Times New Roman" w:eastAsia="Times New Roman" w:hAnsi="Times New Roman" w:cs="Times New Roman"/>
          <w:sz w:val="26"/>
          <w:szCs w:val="26"/>
          <w:lang w:eastAsia="hu-HU"/>
        </w:rPr>
        <w:lastRenderedPageBreak/>
        <w:t>Az államháztartás központi alrendszerének 202</w:t>
      </w:r>
      <w:r w:rsidR="005171E0">
        <w:rPr>
          <w:rFonts w:ascii="Times New Roman" w:eastAsia="Times New Roman" w:hAnsi="Times New Roman" w:cs="Times New Roman"/>
          <w:sz w:val="26"/>
          <w:szCs w:val="26"/>
          <w:lang w:eastAsia="hu-HU"/>
        </w:rPr>
        <w:t>5</w:t>
      </w:r>
      <w:r w:rsidR="639E9B9B" w:rsidRPr="639E9B9B">
        <w:rPr>
          <w:rFonts w:ascii="Times New Roman" w:eastAsia="Times New Roman" w:hAnsi="Times New Roman" w:cs="Times New Roman"/>
          <w:sz w:val="26"/>
          <w:szCs w:val="26"/>
          <w:lang w:eastAsia="hu-HU"/>
        </w:rPr>
        <w:t xml:space="preserve">. </w:t>
      </w:r>
      <w:r>
        <w:rPr>
          <w:rFonts w:ascii="Times New Roman" w:eastAsia="Times New Roman" w:hAnsi="Times New Roman" w:cs="Times New Roman"/>
          <w:sz w:val="26"/>
          <w:szCs w:val="26"/>
          <w:lang w:eastAsia="hu-HU"/>
        </w:rPr>
        <w:t>auguszt</w:t>
      </w:r>
      <w:r w:rsidR="00873644">
        <w:rPr>
          <w:rFonts w:ascii="Times New Roman" w:eastAsia="Times New Roman" w:hAnsi="Times New Roman" w:cs="Times New Roman"/>
          <w:sz w:val="26"/>
          <w:szCs w:val="26"/>
          <w:lang w:eastAsia="hu-HU"/>
        </w:rPr>
        <w:t>us</w:t>
      </w:r>
      <w:r w:rsidR="639E9B9B" w:rsidRPr="639E9B9B">
        <w:rPr>
          <w:rFonts w:ascii="Times New Roman" w:eastAsia="Times New Roman" w:hAnsi="Times New Roman" w:cs="Times New Roman"/>
          <w:sz w:val="26"/>
          <w:szCs w:val="26"/>
          <w:lang w:eastAsia="hu-HU"/>
        </w:rPr>
        <w:t xml:space="preserve"> végi főbb pé</w:t>
      </w:r>
      <w:r w:rsidR="006D5492">
        <w:rPr>
          <w:rFonts w:ascii="Times New Roman" w:eastAsia="Times New Roman" w:hAnsi="Times New Roman" w:cs="Times New Roman"/>
          <w:sz w:val="26"/>
          <w:szCs w:val="26"/>
          <w:lang w:eastAsia="hu-HU"/>
        </w:rPr>
        <w:t>nzforgalmi adatai a következők:</w:t>
      </w:r>
    </w:p>
    <w:tbl>
      <w:tblPr>
        <w:tblW w:w="10064" w:type="dxa"/>
        <w:jc w:val="center"/>
        <w:tblLayout w:type="fixed"/>
        <w:tblCellMar>
          <w:left w:w="70" w:type="dxa"/>
          <w:right w:w="70" w:type="dxa"/>
        </w:tblCellMar>
        <w:tblLook w:val="04A0" w:firstRow="1" w:lastRow="0" w:firstColumn="1" w:lastColumn="0" w:noHBand="0" w:noVBand="1"/>
      </w:tblPr>
      <w:tblGrid>
        <w:gridCol w:w="2047"/>
        <w:gridCol w:w="1067"/>
        <w:gridCol w:w="1276"/>
        <w:gridCol w:w="1075"/>
        <w:gridCol w:w="1103"/>
        <w:gridCol w:w="1224"/>
        <w:gridCol w:w="1159"/>
        <w:gridCol w:w="1113"/>
      </w:tblGrid>
      <w:tr w:rsidR="00935118" w:rsidRPr="003D514A" w14:paraId="7C2CBF88" w14:textId="77777777" w:rsidTr="7C285CBA">
        <w:trPr>
          <w:trHeight w:val="1440"/>
          <w:jc w:val="center"/>
        </w:trPr>
        <w:tc>
          <w:tcPr>
            <w:tcW w:w="204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6847C39" w14:textId="77777777" w:rsidR="00935118" w:rsidRPr="00602E3C" w:rsidRDefault="7C285CBA" w:rsidP="7C285CBA">
            <w:pPr>
              <w:keepNext/>
              <w:keepLines/>
              <w:rPr>
                <w:rFonts w:ascii="Times New Roman" w:hAnsi="Times New Roman" w:cs="Times New Roman"/>
                <w:sz w:val="20"/>
                <w:szCs w:val="20"/>
              </w:rPr>
            </w:pPr>
            <w:r w:rsidRPr="7C285CBA">
              <w:rPr>
                <w:rFonts w:ascii="Times New Roman" w:hAnsi="Times New Roman" w:cs="Times New Roman"/>
                <w:sz w:val="20"/>
                <w:szCs w:val="20"/>
              </w:rPr>
              <w:t> </w:t>
            </w:r>
          </w:p>
        </w:tc>
        <w:tc>
          <w:tcPr>
            <w:tcW w:w="106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6A30138" w14:textId="77777777" w:rsidR="00B6763B"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b/>
                <w:bCs/>
                <w:sz w:val="20"/>
                <w:szCs w:val="20"/>
              </w:rPr>
              <w:t>2024. évi előzetes</w:t>
            </w:r>
            <w:r w:rsidR="74CD2655">
              <w:br/>
            </w:r>
            <w:r w:rsidRPr="7C285CBA">
              <w:rPr>
                <w:rFonts w:ascii="Times New Roman" w:hAnsi="Times New Roman" w:cs="Times New Roman"/>
                <w:b/>
                <w:bCs/>
                <w:sz w:val="20"/>
                <w:szCs w:val="20"/>
              </w:rPr>
              <w:t>tény</w:t>
            </w:r>
            <w:r w:rsidR="74CD2655">
              <w:br/>
            </w:r>
            <w:r w:rsidRPr="7C285CBA">
              <w:rPr>
                <w:rFonts w:ascii="Times New Roman" w:hAnsi="Times New Roman" w:cs="Times New Roman"/>
                <w:sz w:val="20"/>
                <w:szCs w:val="20"/>
              </w:rPr>
              <w:t>milliárd forintban</w:t>
            </w:r>
          </w:p>
          <w:p w14:paraId="36F5C342" w14:textId="76728DC5"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(1)</w:t>
            </w:r>
          </w:p>
        </w:tc>
        <w:tc>
          <w:tcPr>
            <w:tcW w:w="127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FDF4E03" w14:textId="3ABF4C65"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b/>
                <w:bCs/>
                <w:sz w:val="20"/>
                <w:szCs w:val="20"/>
              </w:rPr>
              <w:t>2024. I-VI</w:t>
            </w:r>
            <w:r w:rsidR="00A55AA0">
              <w:rPr>
                <w:rFonts w:ascii="Times New Roman" w:hAnsi="Times New Roman" w:cs="Times New Roman"/>
                <w:b/>
                <w:bCs/>
                <w:sz w:val="20"/>
                <w:szCs w:val="20"/>
              </w:rPr>
              <w:t>I</w:t>
            </w:r>
            <w:r w:rsidRPr="7C285CBA">
              <w:rPr>
                <w:rFonts w:ascii="Times New Roman" w:hAnsi="Times New Roman" w:cs="Times New Roman"/>
                <w:b/>
                <w:bCs/>
                <w:sz w:val="20"/>
                <w:szCs w:val="20"/>
              </w:rPr>
              <w:t>I. hó tény</w:t>
            </w:r>
            <w:r w:rsidR="74CD2655">
              <w:br/>
            </w:r>
            <w:r w:rsidRPr="7C285CBA">
              <w:rPr>
                <w:rFonts w:ascii="Times New Roman" w:hAnsi="Times New Roman" w:cs="Times New Roman"/>
                <w:sz w:val="20"/>
                <w:szCs w:val="20"/>
              </w:rPr>
              <w:t>milliárd forintban</w:t>
            </w:r>
          </w:p>
          <w:p w14:paraId="547D8DD1" w14:textId="77777777" w:rsidR="00B6763B" w:rsidRPr="00602E3C" w:rsidRDefault="00B6763B" w:rsidP="00B6763B">
            <w:pPr>
              <w:keepNext/>
              <w:keepLines/>
              <w:spacing w:after="0"/>
              <w:jc w:val="center"/>
              <w:rPr>
                <w:rFonts w:ascii="Times New Roman" w:hAnsi="Times New Roman" w:cs="Times New Roman"/>
                <w:sz w:val="20"/>
                <w:szCs w:val="20"/>
              </w:rPr>
            </w:pPr>
          </w:p>
          <w:p w14:paraId="080A44C1" w14:textId="4CBA2534"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(2)</w:t>
            </w:r>
          </w:p>
        </w:tc>
        <w:tc>
          <w:tcPr>
            <w:tcW w:w="107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9E2A84F" w14:textId="77777777"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éves előzetes tény=100%</w:t>
            </w:r>
            <w:r w:rsidR="74CD2655">
              <w:br/>
            </w:r>
            <w:r w:rsidRPr="7C285CBA">
              <w:rPr>
                <w:rFonts w:ascii="Times New Roman" w:hAnsi="Times New Roman" w:cs="Times New Roman"/>
                <w:sz w:val="20"/>
                <w:szCs w:val="20"/>
              </w:rPr>
              <w:t>Index (%)</w:t>
            </w:r>
          </w:p>
          <w:p w14:paraId="03379603" w14:textId="77777777" w:rsidR="00CD1AD4" w:rsidRPr="00602E3C" w:rsidRDefault="00CD1AD4" w:rsidP="00B6763B">
            <w:pPr>
              <w:keepNext/>
              <w:keepLines/>
              <w:spacing w:after="0"/>
              <w:jc w:val="center"/>
              <w:rPr>
                <w:rFonts w:ascii="Times New Roman" w:hAnsi="Times New Roman" w:cs="Times New Roman"/>
                <w:sz w:val="20"/>
                <w:szCs w:val="20"/>
              </w:rPr>
            </w:pPr>
          </w:p>
          <w:p w14:paraId="7EA042FF" w14:textId="50D239CD"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(2/1)</w:t>
            </w:r>
          </w:p>
        </w:tc>
        <w:tc>
          <w:tcPr>
            <w:tcW w:w="11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21E5557" w14:textId="77777777"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b/>
                <w:bCs/>
                <w:sz w:val="20"/>
                <w:szCs w:val="20"/>
              </w:rPr>
              <w:t>2025. évi előirányzat</w:t>
            </w:r>
            <w:r w:rsidR="74CD2655">
              <w:br/>
            </w:r>
            <w:r w:rsidRPr="7C285CBA">
              <w:rPr>
                <w:rFonts w:ascii="Times New Roman" w:hAnsi="Times New Roman" w:cs="Times New Roman"/>
                <w:sz w:val="20"/>
                <w:szCs w:val="20"/>
              </w:rPr>
              <w:t>milliárd forintban</w:t>
            </w:r>
          </w:p>
          <w:p w14:paraId="6FB67AB7" w14:textId="77777777" w:rsidR="00B6763B" w:rsidRPr="00602E3C" w:rsidRDefault="00B6763B" w:rsidP="00B6763B">
            <w:pPr>
              <w:keepNext/>
              <w:keepLines/>
              <w:spacing w:after="0"/>
              <w:jc w:val="center"/>
              <w:rPr>
                <w:rFonts w:ascii="Times New Roman" w:hAnsi="Times New Roman" w:cs="Times New Roman"/>
                <w:sz w:val="20"/>
                <w:szCs w:val="20"/>
              </w:rPr>
            </w:pPr>
          </w:p>
          <w:p w14:paraId="2C87F662" w14:textId="5B799A38"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(3)</w:t>
            </w:r>
          </w:p>
        </w:tc>
        <w:tc>
          <w:tcPr>
            <w:tcW w:w="122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D4190CD" w14:textId="57E2A052" w:rsidR="00B6763B"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b/>
                <w:bCs/>
                <w:sz w:val="20"/>
                <w:szCs w:val="20"/>
              </w:rPr>
              <w:t>2025. I-VI</w:t>
            </w:r>
            <w:r w:rsidR="00A55AA0">
              <w:rPr>
                <w:rFonts w:ascii="Times New Roman" w:hAnsi="Times New Roman" w:cs="Times New Roman"/>
                <w:b/>
                <w:bCs/>
                <w:sz w:val="20"/>
                <w:szCs w:val="20"/>
              </w:rPr>
              <w:t>I</w:t>
            </w:r>
            <w:r w:rsidRPr="7C285CBA">
              <w:rPr>
                <w:rFonts w:ascii="Times New Roman" w:hAnsi="Times New Roman" w:cs="Times New Roman"/>
                <w:b/>
                <w:bCs/>
                <w:sz w:val="20"/>
                <w:szCs w:val="20"/>
              </w:rPr>
              <w:t>I. hó tény</w:t>
            </w:r>
            <w:r w:rsidR="74CD2655">
              <w:br/>
            </w:r>
            <w:r w:rsidRPr="7C285CBA">
              <w:rPr>
                <w:rFonts w:ascii="Times New Roman" w:hAnsi="Times New Roman" w:cs="Times New Roman"/>
                <w:sz w:val="20"/>
                <w:szCs w:val="20"/>
              </w:rPr>
              <w:t>milliárd forintban</w:t>
            </w:r>
          </w:p>
          <w:p w14:paraId="15A457DF" w14:textId="77777777" w:rsidR="00B6763B" w:rsidRPr="00602E3C" w:rsidRDefault="00B6763B" w:rsidP="00B6763B">
            <w:pPr>
              <w:keepNext/>
              <w:keepLines/>
              <w:spacing w:after="0"/>
              <w:jc w:val="center"/>
              <w:rPr>
                <w:rFonts w:ascii="Times New Roman" w:hAnsi="Times New Roman" w:cs="Times New Roman"/>
                <w:sz w:val="20"/>
                <w:szCs w:val="20"/>
              </w:rPr>
            </w:pPr>
          </w:p>
          <w:p w14:paraId="3C073C3C" w14:textId="075CFEB7"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(4)</w:t>
            </w:r>
          </w:p>
        </w:tc>
        <w:tc>
          <w:tcPr>
            <w:tcW w:w="11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CCBD1FD" w14:textId="77777777" w:rsidR="00B6763B"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előirányzat=</w:t>
            </w:r>
            <w:r w:rsidR="74CD2655">
              <w:br/>
            </w:r>
            <w:r w:rsidRPr="7C285CBA">
              <w:rPr>
                <w:rFonts w:ascii="Times New Roman" w:hAnsi="Times New Roman" w:cs="Times New Roman"/>
                <w:sz w:val="20"/>
                <w:szCs w:val="20"/>
              </w:rPr>
              <w:t>100%</w:t>
            </w:r>
            <w:r w:rsidR="74CD2655">
              <w:br/>
            </w:r>
            <w:r w:rsidRPr="7C285CBA">
              <w:rPr>
                <w:rFonts w:ascii="Times New Roman" w:hAnsi="Times New Roman" w:cs="Times New Roman"/>
                <w:sz w:val="20"/>
                <w:szCs w:val="20"/>
              </w:rPr>
              <w:t>Index (%)</w:t>
            </w:r>
          </w:p>
          <w:p w14:paraId="4AEEBB44" w14:textId="77777777" w:rsidR="00B6763B" w:rsidRDefault="00B6763B" w:rsidP="00B6763B">
            <w:pPr>
              <w:keepNext/>
              <w:keepLines/>
              <w:spacing w:after="0"/>
              <w:jc w:val="center"/>
              <w:rPr>
                <w:rFonts w:ascii="Times New Roman" w:hAnsi="Times New Roman" w:cs="Times New Roman"/>
                <w:sz w:val="20"/>
                <w:szCs w:val="20"/>
              </w:rPr>
            </w:pPr>
          </w:p>
          <w:p w14:paraId="594C63D7" w14:textId="77777777" w:rsidR="00602E3C" w:rsidRPr="00602E3C" w:rsidRDefault="00602E3C" w:rsidP="00B6763B">
            <w:pPr>
              <w:keepNext/>
              <w:keepLines/>
              <w:spacing w:after="0"/>
              <w:jc w:val="center"/>
              <w:rPr>
                <w:rFonts w:ascii="Times New Roman" w:hAnsi="Times New Roman" w:cs="Times New Roman"/>
                <w:sz w:val="20"/>
                <w:szCs w:val="20"/>
              </w:rPr>
            </w:pPr>
          </w:p>
          <w:p w14:paraId="6886B04A" w14:textId="0682B2A8" w:rsidR="00935118"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(4/3)</w:t>
            </w:r>
          </w:p>
        </w:tc>
        <w:tc>
          <w:tcPr>
            <w:tcW w:w="111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92F559" w14:textId="77777777" w:rsidR="00B6763B" w:rsidRPr="00602E3C" w:rsidRDefault="7C285CBA" w:rsidP="7C285CBA">
            <w:pPr>
              <w:keepNext/>
              <w:keepLines/>
              <w:spacing w:after="0"/>
              <w:jc w:val="center"/>
              <w:rPr>
                <w:rFonts w:ascii="Times New Roman" w:hAnsi="Times New Roman" w:cs="Times New Roman"/>
                <w:sz w:val="20"/>
                <w:szCs w:val="20"/>
              </w:rPr>
            </w:pPr>
            <w:r w:rsidRPr="7C285CBA">
              <w:rPr>
                <w:rFonts w:ascii="Times New Roman" w:hAnsi="Times New Roman" w:cs="Times New Roman"/>
                <w:sz w:val="20"/>
                <w:szCs w:val="20"/>
              </w:rPr>
              <w:t>előző év=</w:t>
            </w:r>
            <w:r w:rsidR="74CD2655">
              <w:br/>
            </w:r>
            <w:r w:rsidRPr="7C285CBA">
              <w:rPr>
                <w:rFonts w:ascii="Times New Roman" w:hAnsi="Times New Roman" w:cs="Times New Roman"/>
                <w:sz w:val="20"/>
                <w:szCs w:val="20"/>
              </w:rPr>
              <w:t>100%</w:t>
            </w:r>
            <w:r w:rsidR="74CD2655">
              <w:br/>
            </w:r>
            <w:r w:rsidRPr="7C285CBA">
              <w:rPr>
                <w:rFonts w:ascii="Times New Roman" w:hAnsi="Times New Roman" w:cs="Times New Roman"/>
                <w:sz w:val="20"/>
                <w:szCs w:val="20"/>
              </w:rPr>
              <w:t>Index (%)</w:t>
            </w:r>
          </w:p>
          <w:p w14:paraId="2CC3F023" w14:textId="77777777" w:rsidR="00B6763B" w:rsidRPr="00602E3C" w:rsidRDefault="00B6763B" w:rsidP="00B6763B">
            <w:pPr>
              <w:keepNext/>
              <w:keepLines/>
              <w:spacing w:after="0"/>
              <w:jc w:val="center"/>
              <w:rPr>
                <w:rFonts w:ascii="Times New Roman" w:hAnsi="Times New Roman" w:cs="Times New Roman"/>
                <w:sz w:val="20"/>
                <w:szCs w:val="20"/>
              </w:rPr>
            </w:pPr>
          </w:p>
          <w:p w14:paraId="1414C741" w14:textId="77DB2268" w:rsidR="00935118" w:rsidRPr="00602E3C" w:rsidRDefault="00935118" w:rsidP="7C285CBA">
            <w:pPr>
              <w:keepNext/>
              <w:keepLines/>
              <w:spacing w:after="0"/>
              <w:jc w:val="center"/>
              <w:rPr>
                <w:rFonts w:ascii="Times New Roman" w:hAnsi="Times New Roman" w:cs="Times New Roman"/>
                <w:sz w:val="20"/>
                <w:szCs w:val="20"/>
              </w:rPr>
            </w:pPr>
            <w:r>
              <w:br/>
            </w:r>
            <w:r w:rsidR="7C285CBA" w:rsidRPr="7C285CBA">
              <w:rPr>
                <w:rFonts w:ascii="Times New Roman" w:hAnsi="Times New Roman" w:cs="Times New Roman"/>
                <w:sz w:val="20"/>
                <w:szCs w:val="20"/>
              </w:rPr>
              <w:t>(4/2)</w:t>
            </w:r>
          </w:p>
        </w:tc>
      </w:tr>
      <w:tr w:rsidR="00A55AA0" w:rsidRPr="003D514A" w14:paraId="272C1797"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5BBCCA14" w14:textId="77777777" w:rsidR="00A55AA0" w:rsidRPr="00602E3C" w:rsidRDefault="00A55AA0" w:rsidP="00A55AA0">
            <w:pPr>
              <w:keepNext/>
              <w:keepLines/>
              <w:spacing w:before="120" w:after="120"/>
              <w:rPr>
                <w:rFonts w:ascii="Times New Roman" w:hAnsi="Times New Roman" w:cs="Times New Roman"/>
                <w:b/>
                <w:bCs/>
                <w:sz w:val="20"/>
                <w:szCs w:val="20"/>
              </w:rPr>
            </w:pPr>
            <w:r w:rsidRPr="7C285CBA">
              <w:rPr>
                <w:rFonts w:ascii="Times New Roman" w:hAnsi="Times New Roman" w:cs="Times New Roman"/>
                <w:b/>
                <w:bCs/>
                <w:sz w:val="20"/>
                <w:szCs w:val="20"/>
              </w:rPr>
              <w:t>Központi költségvetés egyenlege</w:t>
            </w:r>
          </w:p>
        </w:tc>
        <w:tc>
          <w:tcPr>
            <w:tcW w:w="1067" w:type="dxa"/>
            <w:tcBorders>
              <w:top w:val="single" w:sz="4" w:space="0" w:color="auto"/>
              <w:left w:val="single" w:sz="4" w:space="0" w:color="auto"/>
              <w:bottom w:val="single" w:sz="4" w:space="0" w:color="auto"/>
              <w:right w:val="single" w:sz="4" w:space="0" w:color="auto"/>
            </w:tcBorders>
            <w:noWrap/>
            <w:vAlign w:val="center"/>
          </w:tcPr>
          <w:p w14:paraId="74A13CE6" w14:textId="5DCB3547"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-4 003,9</w:t>
            </w:r>
          </w:p>
        </w:tc>
        <w:tc>
          <w:tcPr>
            <w:tcW w:w="1276" w:type="dxa"/>
            <w:tcBorders>
              <w:top w:val="single" w:sz="4" w:space="0" w:color="auto"/>
              <w:left w:val="nil"/>
              <w:bottom w:val="single" w:sz="4" w:space="0" w:color="auto"/>
              <w:right w:val="single" w:sz="4" w:space="0" w:color="auto"/>
            </w:tcBorders>
            <w:noWrap/>
            <w:vAlign w:val="center"/>
          </w:tcPr>
          <w:p w14:paraId="68AA4960" w14:textId="2772C14C"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rPr>
              <w:t>-2 862,1</w:t>
            </w:r>
          </w:p>
        </w:tc>
        <w:tc>
          <w:tcPr>
            <w:tcW w:w="1075" w:type="dxa"/>
            <w:tcBorders>
              <w:top w:val="single" w:sz="4" w:space="0" w:color="auto"/>
              <w:left w:val="nil"/>
              <w:bottom w:val="single" w:sz="4" w:space="0" w:color="auto"/>
              <w:right w:val="single" w:sz="4" w:space="0" w:color="auto"/>
            </w:tcBorders>
            <w:noWrap/>
            <w:vAlign w:val="center"/>
          </w:tcPr>
          <w:p w14:paraId="67CDD199" w14:textId="3AE7529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71,5</w:t>
            </w:r>
          </w:p>
        </w:tc>
        <w:tc>
          <w:tcPr>
            <w:tcW w:w="1103" w:type="dxa"/>
            <w:tcBorders>
              <w:top w:val="single" w:sz="4" w:space="0" w:color="auto"/>
              <w:left w:val="nil"/>
              <w:bottom w:val="single" w:sz="4" w:space="0" w:color="auto"/>
              <w:right w:val="single" w:sz="4" w:space="0" w:color="auto"/>
            </w:tcBorders>
            <w:noWrap/>
            <w:vAlign w:val="center"/>
          </w:tcPr>
          <w:p w14:paraId="5DEEBFBC" w14:textId="6FAF3993"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-4 211,6</w:t>
            </w:r>
          </w:p>
        </w:tc>
        <w:tc>
          <w:tcPr>
            <w:tcW w:w="1224" w:type="dxa"/>
            <w:tcBorders>
              <w:top w:val="single" w:sz="4" w:space="0" w:color="auto"/>
              <w:left w:val="nil"/>
              <w:bottom w:val="single" w:sz="4" w:space="0" w:color="auto"/>
              <w:right w:val="single" w:sz="4" w:space="0" w:color="auto"/>
            </w:tcBorders>
            <w:noWrap/>
            <w:vAlign w:val="center"/>
          </w:tcPr>
          <w:p w14:paraId="2B3E7161" w14:textId="3E9617CC"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-3 012,7</w:t>
            </w:r>
          </w:p>
        </w:tc>
        <w:tc>
          <w:tcPr>
            <w:tcW w:w="1159" w:type="dxa"/>
            <w:tcBorders>
              <w:top w:val="single" w:sz="4" w:space="0" w:color="auto"/>
              <w:left w:val="nil"/>
              <w:bottom w:val="single" w:sz="4" w:space="0" w:color="auto"/>
              <w:right w:val="single" w:sz="4" w:space="0" w:color="auto"/>
            </w:tcBorders>
            <w:noWrap/>
            <w:vAlign w:val="center"/>
          </w:tcPr>
          <w:p w14:paraId="1590672A" w14:textId="076A0CED"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71,5</w:t>
            </w:r>
          </w:p>
        </w:tc>
        <w:tc>
          <w:tcPr>
            <w:tcW w:w="1113" w:type="dxa"/>
            <w:tcBorders>
              <w:top w:val="single" w:sz="4" w:space="0" w:color="auto"/>
              <w:left w:val="nil"/>
              <w:bottom w:val="single" w:sz="4" w:space="0" w:color="auto"/>
              <w:right w:val="single" w:sz="4" w:space="0" w:color="auto"/>
            </w:tcBorders>
            <w:noWrap/>
            <w:vAlign w:val="center"/>
          </w:tcPr>
          <w:p w14:paraId="5FD27053" w14:textId="3793C1AF"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105,3</w:t>
            </w:r>
          </w:p>
        </w:tc>
      </w:tr>
      <w:tr w:rsidR="00A55AA0" w:rsidRPr="003D514A" w14:paraId="43DB1C6B"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191C3DC"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3013BE1E" w14:textId="7B27951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26 655,6</w:t>
            </w:r>
          </w:p>
        </w:tc>
        <w:tc>
          <w:tcPr>
            <w:tcW w:w="1276" w:type="dxa"/>
            <w:tcBorders>
              <w:top w:val="nil"/>
              <w:left w:val="nil"/>
              <w:bottom w:val="single" w:sz="4" w:space="0" w:color="auto"/>
              <w:right w:val="single" w:sz="4" w:space="0" w:color="auto"/>
            </w:tcBorders>
            <w:noWrap/>
            <w:vAlign w:val="center"/>
          </w:tcPr>
          <w:p w14:paraId="00714DA8" w14:textId="1FB3F343"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16 889,2</w:t>
            </w:r>
          </w:p>
        </w:tc>
        <w:tc>
          <w:tcPr>
            <w:tcW w:w="1075" w:type="dxa"/>
            <w:tcBorders>
              <w:top w:val="nil"/>
              <w:left w:val="nil"/>
              <w:bottom w:val="single" w:sz="4" w:space="0" w:color="auto"/>
              <w:right w:val="single" w:sz="4" w:space="0" w:color="auto"/>
            </w:tcBorders>
            <w:noWrap/>
            <w:vAlign w:val="center"/>
          </w:tcPr>
          <w:p w14:paraId="15BCE7D2" w14:textId="5E4D362C"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63,4</w:t>
            </w:r>
          </w:p>
        </w:tc>
        <w:tc>
          <w:tcPr>
            <w:tcW w:w="1103" w:type="dxa"/>
            <w:tcBorders>
              <w:top w:val="nil"/>
              <w:left w:val="nil"/>
              <w:bottom w:val="single" w:sz="4" w:space="0" w:color="auto"/>
              <w:right w:val="single" w:sz="4" w:space="0" w:color="auto"/>
            </w:tcBorders>
            <w:noWrap/>
            <w:vAlign w:val="center"/>
          </w:tcPr>
          <w:p w14:paraId="0B162934" w14:textId="2E230DE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26 622,0</w:t>
            </w:r>
          </w:p>
        </w:tc>
        <w:tc>
          <w:tcPr>
            <w:tcW w:w="1224" w:type="dxa"/>
            <w:tcBorders>
              <w:top w:val="nil"/>
              <w:left w:val="nil"/>
              <w:bottom w:val="single" w:sz="4" w:space="0" w:color="auto"/>
              <w:right w:val="single" w:sz="4" w:space="0" w:color="auto"/>
            </w:tcBorders>
            <w:noWrap/>
            <w:vAlign w:val="center"/>
          </w:tcPr>
          <w:p w14:paraId="6C375A8F" w14:textId="6344C676"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18 095,7</w:t>
            </w:r>
          </w:p>
        </w:tc>
        <w:tc>
          <w:tcPr>
            <w:tcW w:w="1159" w:type="dxa"/>
            <w:tcBorders>
              <w:top w:val="nil"/>
              <w:left w:val="nil"/>
              <w:bottom w:val="single" w:sz="4" w:space="0" w:color="auto"/>
              <w:right w:val="single" w:sz="4" w:space="0" w:color="auto"/>
            </w:tcBorders>
            <w:noWrap/>
            <w:vAlign w:val="center"/>
          </w:tcPr>
          <w:p w14:paraId="229A1E05" w14:textId="72C17FB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68,0</w:t>
            </w:r>
          </w:p>
        </w:tc>
        <w:tc>
          <w:tcPr>
            <w:tcW w:w="1113" w:type="dxa"/>
            <w:tcBorders>
              <w:top w:val="nil"/>
              <w:left w:val="nil"/>
              <w:bottom w:val="single" w:sz="4" w:space="0" w:color="auto"/>
              <w:right w:val="single" w:sz="4" w:space="0" w:color="auto"/>
            </w:tcBorders>
            <w:noWrap/>
            <w:vAlign w:val="center"/>
          </w:tcPr>
          <w:p w14:paraId="0D7E5DA4" w14:textId="1991901C"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107,1</w:t>
            </w:r>
          </w:p>
        </w:tc>
      </w:tr>
      <w:tr w:rsidR="00A55AA0" w:rsidRPr="003D514A" w14:paraId="576245F4"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7DE056B"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B82BDD4" w14:textId="6D960AD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30 659,5</w:t>
            </w:r>
          </w:p>
        </w:tc>
        <w:tc>
          <w:tcPr>
            <w:tcW w:w="1276" w:type="dxa"/>
            <w:tcBorders>
              <w:top w:val="nil"/>
              <w:left w:val="nil"/>
              <w:bottom w:val="single" w:sz="4" w:space="0" w:color="auto"/>
              <w:right w:val="single" w:sz="4" w:space="0" w:color="auto"/>
            </w:tcBorders>
            <w:noWrap/>
            <w:vAlign w:val="center"/>
          </w:tcPr>
          <w:p w14:paraId="51B92D54" w14:textId="614BC300"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19 751,3</w:t>
            </w:r>
          </w:p>
        </w:tc>
        <w:tc>
          <w:tcPr>
            <w:tcW w:w="1075" w:type="dxa"/>
            <w:tcBorders>
              <w:top w:val="nil"/>
              <w:left w:val="nil"/>
              <w:bottom w:val="single" w:sz="4" w:space="0" w:color="auto"/>
              <w:right w:val="single" w:sz="4" w:space="0" w:color="auto"/>
            </w:tcBorders>
            <w:noWrap/>
            <w:vAlign w:val="center"/>
          </w:tcPr>
          <w:p w14:paraId="480CDC03" w14:textId="2BAB69CD"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64,4</w:t>
            </w:r>
          </w:p>
        </w:tc>
        <w:tc>
          <w:tcPr>
            <w:tcW w:w="1103" w:type="dxa"/>
            <w:tcBorders>
              <w:top w:val="nil"/>
              <w:left w:val="nil"/>
              <w:bottom w:val="single" w:sz="4" w:space="0" w:color="auto"/>
              <w:right w:val="single" w:sz="4" w:space="0" w:color="auto"/>
            </w:tcBorders>
            <w:noWrap/>
            <w:vAlign w:val="center"/>
          </w:tcPr>
          <w:p w14:paraId="30613988" w14:textId="19B9E30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30 833,5</w:t>
            </w:r>
          </w:p>
        </w:tc>
        <w:tc>
          <w:tcPr>
            <w:tcW w:w="1224" w:type="dxa"/>
            <w:tcBorders>
              <w:top w:val="nil"/>
              <w:left w:val="nil"/>
              <w:bottom w:val="single" w:sz="4" w:space="0" w:color="auto"/>
              <w:right w:val="single" w:sz="4" w:space="0" w:color="auto"/>
            </w:tcBorders>
            <w:noWrap/>
            <w:vAlign w:val="center"/>
          </w:tcPr>
          <w:p w14:paraId="1CE8D31A" w14:textId="49668656"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21 108,4</w:t>
            </w:r>
          </w:p>
        </w:tc>
        <w:tc>
          <w:tcPr>
            <w:tcW w:w="1159" w:type="dxa"/>
            <w:tcBorders>
              <w:top w:val="nil"/>
              <w:left w:val="nil"/>
              <w:bottom w:val="single" w:sz="4" w:space="0" w:color="auto"/>
              <w:right w:val="single" w:sz="4" w:space="0" w:color="auto"/>
            </w:tcBorders>
            <w:noWrap/>
            <w:vAlign w:val="center"/>
          </w:tcPr>
          <w:p w14:paraId="2AF744DE" w14:textId="139CA28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68,5</w:t>
            </w:r>
          </w:p>
        </w:tc>
        <w:tc>
          <w:tcPr>
            <w:tcW w:w="1113" w:type="dxa"/>
            <w:tcBorders>
              <w:top w:val="nil"/>
              <w:left w:val="nil"/>
              <w:bottom w:val="single" w:sz="4" w:space="0" w:color="auto"/>
              <w:right w:val="single" w:sz="4" w:space="0" w:color="auto"/>
            </w:tcBorders>
            <w:noWrap/>
            <w:vAlign w:val="center"/>
          </w:tcPr>
          <w:p w14:paraId="6B19C9DE" w14:textId="32F189E8"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106,9</w:t>
            </w:r>
          </w:p>
        </w:tc>
      </w:tr>
      <w:tr w:rsidR="00A55AA0" w:rsidRPr="003D514A" w14:paraId="5D1AF47D"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02288AA" w14:textId="77777777" w:rsidR="00A55AA0" w:rsidRPr="00602E3C" w:rsidRDefault="00A55AA0" w:rsidP="00A55AA0">
            <w:pPr>
              <w:keepNext/>
              <w:keepLines/>
              <w:spacing w:before="120" w:after="120"/>
              <w:rPr>
                <w:rFonts w:ascii="Times New Roman" w:hAnsi="Times New Roman" w:cs="Times New Roman"/>
                <w:b/>
                <w:bCs/>
                <w:sz w:val="20"/>
                <w:szCs w:val="20"/>
              </w:rPr>
            </w:pPr>
            <w:r w:rsidRPr="7C285CBA">
              <w:rPr>
                <w:rFonts w:ascii="Times New Roman" w:hAnsi="Times New Roman" w:cs="Times New Roman"/>
                <w:b/>
                <w:bCs/>
                <w:sz w:val="20"/>
                <w:szCs w:val="20"/>
              </w:rPr>
              <w:t>Elkülönített állami pénzalapok egyenlege</w:t>
            </w:r>
          </w:p>
        </w:tc>
        <w:tc>
          <w:tcPr>
            <w:tcW w:w="1067" w:type="dxa"/>
            <w:tcBorders>
              <w:top w:val="nil"/>
              <w:left w:val="single" w:sz="4" w:space="0" w:color="auto"/>
              <w:bottom w:val="single" w:sz="4" w:space="0" w:color="auto"/>
              <w:right w:val="single" w:sz="4" w:space="0" w:color="auto"/>
            </w:tcBorders>
            <w:noWrap/>
            <w:vAlign w:val="center"/>
          </w:tcPr>
          <w:p w14:paraId="77E1D897" w14:textId="12A49014"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138,2</w:t>
            </w:r>
          </w:p>
        </w:tc>
        <w:tc>
          <w:tcPr>
            <w:tcW w:w="1276" w:type="dxa"/>
            <w:tcBorders>
              <w:top w:val="nil"/>
              <w:left w:val="nil"/>
              <w:bottom w:val="single" w:sz="4" w:space="0" w:color="auto"/>
              <w:right w:val="single" w:sz="4" w:space="0" w:color="auto"/>
            </w:tcBorders>
            <w:noWrap/>
            <w:vAlign w:val="center"/>
          </w:tcPr>
          <w:p w14:paraId="2E3F1C5B" w14:textId="57D36D6A"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rPr>
              <w:t>172,8</w:t>
            </w:r>
          </w:p>
        </w:tc>
        <w:tc>
          <w:tcPr>
            <w:tcW w:w="1075" w:type="dxa"/>
            <w:tcBorders>
              <w:top w:val="nil"/>
              <w:left w:val="nil"/>
              <w:bottom w:val="single" w:sz="4" w:space="0" w:color="auto"/>
              <w:right w:val="single" w:sz="4" w:space="0" w:color="auto"/>
            </w:tcBorders>
            <w:noWrap/>
            <w:vAlign w:val="center"/>
          </w:tcPr>
          <w:p w14:paraId="462FA081" w14:textId="1BAC1DD0"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125,0</w:t>
            </w:r>
          </w:p>
        </w:tc>
        <w:tc>
          <w:tcPr>
            <w:tcW w:w="1103" w:type="dxa"/>
            <w:tcBorders>
              <w:top w:val="nil"/>
              <w:left w:val="nil"/>
              <w:bottom w:val="single" w:sz="4" w:space="0" w:color="auto"/>
              <w:right w:val="single" w:sz="4" w:space="0" w:color="auto"/>
            </w:tcBorders>
            <w:noWrap/>
            <w:vAlign w:val="center"/>
          </w:tcPr>
          <w:p w14:paraId="2C2D5FB6" w14:textId="6C45120F"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88,6</w:t>
            </w:r>
          </w:p>
        </w:tc>
        <w:tc>
          <w:tcPr>
            <w:tcW w:w="1224" w:type="dxa"/>
            <w:tcBorders>
              <w:top w:val="nil"/>
              <w:left w:val="nil"/>
              <w:bottom w:val="single" w:sz="4" w:space="0" w:color="auto"/>
              <w:right w:val="single" w:sz="4" w:space="0" w:color="auto"/>
            </w:tcBorders>
            <w:noWrap/>
            <w:vAlign w:val="center"/>
          </w:tcPr>
          <w:p w14:paraId="63BDA3B4" w14:textId="21669F3A"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109,</w:t>
            </w:r>
            <w:r>
              <w:rPr>
                <w:rFonts w:ascii="Garamond" w:hAnsi="Garamond"/>
                <w:b/>
                <w:bCs/>
                <w:szCs w:val="20"/>
              </w:rPr>
              <w:t>8</w:t>
            </w:r>
          </w:p>
        </w:tc>
        <w:tc>
          <w:tcPr>
            <w:tcW w:w="1159" w:type="dxa"/>
            <w:tcBorders>
              <w:top w:val="nil"/>
              <w:left w:val="nil"/>
              <w:bottom w:val="single" w:sz="4" w:space="0" w:color="auto"/>
              <w:right w:val="single" w:sz="4" w:space="0" w:color="auto"/>
            </w:tcBorders>
            <w:noWrap/>
            <w:vAlign w:val="center"/>
          </w:tcPr>
          <w:p w14:paraId="7D3E2161" w14:textId="4094AAE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12</w:t>
            </w:r>
            <w:r>
              <w:rPr>
                <w:rFonts w:ascii="Garamond" w:hAnsi="Garamond"/>
                <w:szCs w:val="20"/>
              </w:rPr>
              <w:t>3,9</w:t>
            </w:r>
          </w:p>
        </w:tc>
        <w:tc>
          <w:tcPr>
            <w:tcW w:w="1113" w:type="dxa"/>
            <w:tcBorders>
              <w:top w:val="nil"/>
              <w:left w:val="nil"/>
              <w:bottom w:val="single" w:sz="4" w:space="0" w:color="auto"/>
              <w:right w:val="single" w:sz="4" w:space="0" w:color="auto"/>
            </w:tcBorders>
            <w:noWrap/>
            <w:vAlign w:val="center"/>
          </w:tcPr>
          <w:p w14:paraId="53938325" w14:textId="64255728"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63,</w:t>
            </w:r>
            <w:r>
              <w:rPr>
                <w:rFonts w:ascii="Garamond" w:hAnsi="Garamond"/>
                <w:szCs w:val="20"/>
              </w:rPr>
              <w:t>5</w:t>
            </w:r>
          </w:p>
        </w:tc>
      </w:tr>
      <w:tr w:rsidR="00A55AA0" w:rsidRPr="003D514A" w14:paraId="28F7F28C"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E223547"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3162C4C7" w14:textId="5D7ADC8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856,5</w:t>
            </w:r>
          </w:p>
        </w:tc>
        <w:tc>
          <w:tcPr>
            <w:tcW w:w="1276" w:type="dxa"/>
            <w:tcBorders>
              <w:top w:val="nil"/>
              <w:left w:val="nil"/>
              <w:bottom w:val="single" w:sz="4" w:space="0" w:color="auto"/>
              <w:right w:val="single" w:sz="4" w:space="0" w:color="auto"/>
            </w:tcBorders>
            <w:noWrap/>
            <w:vAlign w:val="center"/>
          </w:tcPr>
          <w:p w14:paraId="3523D3FF" w14:textId="2DF0ED45"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599,8</w:t>
            </w:r>
          </w:p>
        </w:tc>
        <w:tc>
          <w:tcPr>
            <w:tcW w:w="1075" w:type="dxa"/>
            <w:tcBorders>
              <w:top w:val="nil"/>
              <w:left w:val="nil"/>
              <w:bottom w:val="single" w:sz="4" w:space="0" w:color="auto"/>
              <w:right w:val="single" w:sz="4" w:space="0" w:color="auto"/>
            </w:tcBorders>
            <w:noWrap/>
            <w:vAlign w:val="center"/>
          </w:tcPr>
          <w:p w14:paraId="3A889EFA" w14:textId="249200F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70,0</w:t>
            </w:r>
          </w:p>
        </w:tc>
        <w:tc>
          <w:tcPr>
            <w:tcW w:w="1103" w:type="dxa"/>
            <w:tcBorders>
              <w:top w:val="nil"/>
              <w:left w:val="nil"/>
              <w:bottom w:val="single" w:sz="4" w:space="0" w:color="auto"/>
              <w:right w:val="single" w:sz="4" w:space="0" w:color="auto"/>
            </w:tcBorders>
            <w:noWrap/>
            <w:vAlign w:val="center"/>
          </w:tcPr>
          <w:p w14:paraId="26479F49" w14:textId="7276D18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845,7</w:t>
            </w:r>
          </w:p>
        </w:tc>
        <w:tc>
          <w:tcPr>
            <w:tcW w:w="1224" w:type="dxa"/>
            <w:tcBorders>
              <w:top w:val="nil"/>
              <w:left w:val="nil"/>
              <w:bottom w:val="single" w:sz="4" w:space="0" w:color="auto"/>
              <w:right w:val="single" w:sz="4" w:space="0" w:color="auto"/>
            </w:tcBorders>
            <w:noWrap/>
            <w:vAlign w:val="center"/>
          </w:tcPr>
          <w:p w14:paraId="24B66B6B" w14:textId="5814EA5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591,</w:t>
            </w:r>
            <w:r>
              <w:rPr>
                <w:rFonts w:ascii="Garamond" w:hAnsi="Garamond"/>
                <w:szCs w:val="20"/>
              </w:rPr>
              <w:t>4</w:t>
            </w:r>
          </w:p>
        </w:tc>
        <w:tc>
          <w:tcPr>
            <w:tcW w:w="1159" w:type="dxa"/>
            <w:tcBorders>
              <w:top w:val="nil"/>
              <w:left w:val="nil"/>
              <w:bottom w:val="single" w:sz="4" w:space="0" w:color="auto"/>
              <w:right w:val="single" w:sz="4" w:space="0" w:color="auto"/>
            </w:tcBorders>
            <w:noWrap/>
            <w:vAlign w:val="center"/>
          </w:tcPr>
          <w:p w14:paraId="0543AEAF" w14:textId="22B1A7F0"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69,9</w:t>
            </w:r>
          </w:p>
        </w:tc>
        <w:tc>
          <w:tcPr>
            <w:tcW w:w="1113" w:type="dxa"/>
            <w:tcBorders>
              <w:top w:val="nil"/>
              <w:left w:val="nil"/>
              <w:bottom w:val="single" w:sz="4" w:space="0" w:color="auto"/>
              <w:right w:val="single" w:sz="4" w:space="0" w:color="auto"/>
            </w:tcBorders>
            <w:noWrap/>
            <w:vAlign w:val="center"/>
          </w:tcPr>
          <w:p w14:paraId="109115A4" w14:textId="366F2E8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98,6</w:t>
            </w:r>
          </w:p>
        </w:tc>
      </w:tr>
      <w:tr w:rsidR="00A55AA0" w:rsidRPr="00190176" w14:paraId="1E40C612"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B20A0A7"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3DBFFE8F" w14:textId="2CAA16C3"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718,3</w:t>
            </w:r>
          </w:p>
        </w:tc>
        <w:tc>
          <w:tcPr>
            <w:tcW w:w="1276" w:type="dxa"/>
            <w:tcBorders>
              <w:top w:val="nil"/>
              <w:left w:val="nil"/>
              <w:bottom w:val="single" w:sz="4" w:space="0" w:color="auto"/>
              <w:right w:val="single" w:sz="4" w:space="0" w:color="auto"/>
            </w:tcBorders>
            <w:noWrap/>
            <w:vAlign w:val="center"/>
          </w:tcPr>
          <w:p w14:paraId="09959044" w14:textId="429A7AC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427,0</w:t>
            </w:r>
          </w:p>
        </w:tc>
        <w:tc>
          <w:tcPr>
            <w:tcW w:w="1075" w:type="dxa"/>
            <w:tcBorders>
              <w:top w:val="nil"/>
              <w:left w:val="nil"/>
              <w:bottom w:val="single" w:sz="4" w:space="0" w:color="auto"/>
              <w:right w:val="single" w:sz="4" w:space="0" w:color="auto"/>
            </w:tcBorders>
            <w:noWrap/>
            <w:vAlign w:val="center"/>
          </w:tcPr>
          <w:p w14:paraId="49CC2BC9" w14:textId="295FB39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59,4</w:t>
            </w:r>
          </w:p>
        </w:tc>
        <w:tc>
          <w:tcPr>
            <w:tcW w:w="1103" w:type="dxa"/>
            <w:tcBorders>
              <w:top w:val="nil"/>
              <w:left w:val="nil"/>
              <w:bottom w:val="single" w:sz="4" w:space="0" w:color="auto"/>
              <w:right w:val="single" w:sz="4" w:space="0" w:color="auto"/>
            </w:tcBorders>
            <w:noWrap/>
            <w:vAlign w:val="center"/>
          </w:tcPr>
          <w:p w14:paraId="38B8A8DE" w14:textId="68BC9A80"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757,2</w:t>
            </w:r>
          </w:p>
        </w:tc>
        <w:tc>
          <w:tcPr>
            <w:tcW w:w="1224" w:type="dxa"/>
            <w:tcBorders>
              <w:top w:val="nil"/>
              <w:left w:val="nil"/>
              <w:bottom w:val="single" w:sz="4" w:space="0" w:color="auto"/>
              <w:right w:val="single" w:sz="4" w:space="0" w:color="auto"/>
            </w:tcBorders>
            <w:noWrap/>
            <w:vAlign w:val="center"/>
          </w:tcPr>
          <w:p w14:paraId="1F33273D" w14:textId="1BBE5336"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481,6</w:t>
            </w:r>
          </w:p>
        </w:tc>
        <w:tc>
          <w:tcPr>
            <w:tcW w:w="1159" w:type="dxa"/>
            <w:tcBorders>
              <w:top w:val="nil"/>
              <w:left w:val="nil"/>
              <w:bottom w:val="single" w:sz="4" w:space="0" w:color="auto"/>
              <w:right w:val="single" w:sz="4" w:space="0" w:color="auto"/>
            </w:tcBorders>
            <w:noWrap/>
            <w:vAlign w:val="center"/>
          </w:tcPr>
          <w:p w14:paraId="087519CB" w14:textId="44CEC25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63,6</w:t>
            </w:r>
          </w:p>
        </w:tc>
        <w:tc>
          <w:tcPr>
            <w:tcW w:w="1113" w:type="dxa"/>
            <w:tcBorders>
              <w:top w:val="nil"/>
              <w:left w:val="nil"/>
              <w:bottom w:val="single" w:sz="4" w:space="0" w:color="auto"/>
              <w:right w:val="single" w:sz="4" w:space="0" w:color="auto"/>
            </w:tcBorders>
            <w:noWrap/>
            <w:vAlign w:val="center"/>
          </w:tcPr>
          <w:p w14:paraId="0F6B30EE" w14:textId="372ED469"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112,8</w:t>
            </w:r>
          </w:p>
        </w:tc>
      </w:tr>
      <w:tr w:rsidR="00A55AA0" w:rsidRPr="003D514A" w14:paraId="76328518"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35FB6F71" w14:textId="77777777" w:rsidR="00A55AA0" w:rsidRPr="00602E3C" w:rsidRDefault="00A55AA0" w:rsidP="00A55AA0">
            <w:pPr>
              <w:keepNext/>
              <w:keepLines/>
              <w:spacing w:before="120" w:after="120"/>
              <w:rPr>
                <w:rFonts w:ascii="Times New Roman" w:hAnsi="Times New Roman" w:cs="Times New Roman"/>
                <w:b/>
                <w:bCs/>
                <w:sz w:val="20"/>
                <w:szCs w:val="20"/>
              </w:rPr>
            </w:pPr>
            <w:r w:rsidRPr="7C285CBA">
              <w:rPr>
                <w:rFonts w:ascii="Times New Roman" w:hAnsi="Times New Roman" w:cs="Times New Roman"/>
                <w:b/>
                <w:bCs/>
                <w:sz w:val="20"/>
                <w:szCs w:val="20"/>
              </w:rPr>
              <w:t>Társadalombiztosítás pénzügyi alapjainak egyenlege</w:t>
            </w:r>
          </w:p>
        </w:tc>
        <w:tc>
          <w:tcPr>
            <w:tcW w:w="1067" w:type="dxa"/>
            <w:tcBorders>
              <w:top w:val="nil"/>
              <w:left w:val="single" w:sz="4" w:space="0" w:color="auto"/>
              <w:bottom w:val="single" w:sz="4" w:space="0" w:color="auto"/>
              <w:right w:val="single" w:sz="4" w:space="0" w:color="auto"/>
            </w:tcBorders>
            <w:noWrap/>
            <w:vAlign w:val="center"/>
          </w:tcPr>
          <w:p w14:paraId="09EEFFCC" w14:textId="44FB2A38"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-230,1</w:t>
            </w:r>
          </w:p>
        </w:tc>
        <w:tc>
          <w:tcPr>
            <w:tcW w:w="1276" w:type="dxa"/>
            <w:tcBorders>
              <w:top w:val="nil"/>
              <w:left w:val="nil"/>
              <w:bottom w:val="single" w:sz="4" w:space="0" w:color="auto"/>
              <w:right w:val="single" w:sz="4" w:space="0" w:color="auto"/>
            </w:tcBorders>
            <w:noWrap/>
            <w:vAlign w:val="center"/>
          </w:tcPr>
          <w:p w14:paraId="30D7DC00" w14:textId="06241D87"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rPr>
              <w:t>-168,4</w:t>
            </w:r>
          </w:p>
        </w:tc>
        <w:tc>
          <w:tcPr>
            <w:tcW w:w="1075" w:type="dxa"/>
            <w:tcBorders>
              <w:top w:val="nil"/>
              <w:left w:val="nil"/>
              <w:bottom w:val="single" w:sz="4" w:space="0" w:color="auto"/>
              <w:right w:val="single" w:sz="4" w:space="0" w:color="auto"/>
            </w:tcBorders>
            <w:noWrap/>
            <w:vAlign w:val="center"/>
          </w:tcPr>
          <w:p w14:paraId="641FA9E4" w14:textId="7612934C"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73,2</w:t>
            </w:r>
          </w:p>
        </w:tc>
        <w:tc>
          <w:tcPr>
            <w:tcW w:w="1103" w:type="dxa"/>
            <w:tcBorders>
              <w:top w:val="nil"/>
              <w:left w:val="nil"/>
              <w:bottom w:val="single" w:sz="4" w:space="0" w:color="auto"/>
              <w:right w:val="single" w:sz="4" w:space="0" w:color="auto"/>
            </w:tcBorders>
            <w:noWrap/>
            <w:vAlign w:val="center"/>
          </w:tcPr>
          <w:p w14:paraId="2DC56B04" w14:textId="2AE49327"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0,0</w:t>
            </w:r>
          </w:p>
        </w:tc>
        <w:tc>
          <w:tcPr>
            <w:tcW w:w="1224" w:type="dxa"/>
            <w:tcBorders>
              <w:top w:val="nil"/>
              <w:left w:val="nil"/>
              <w:bottom w:val="single" w:sz="4" w:space="0" w:color="auto"/>
              <w:right w:val="single" w:sz="4" w:space="0" w:color="auto"/>
            </w:tcBorders>
            <w:noWrap/>
            <w:vAlign w:val="center"/>
          </w:tcPr>
          <w:p w14:paraId="09A75478" w14:textId="52AC8E9D"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-122,6</w:t>
            </w:r>
          </w:p>
        </w:tc>
        <w:tc>
          <w:tcPr>
            <w:tcW w:w="1159" w:type="dxa"/>
            <w:tcBorders>
              <w:top w:val="nil"/>
              <w:left w:val="nil"/>
              <w:bottom w:val="single" w:sz="4" w:space="0" w:color="auto"/>
              <w:right w:val="single" w:sz="4" w:space="0" w:color="auto"/>
            </w:tcBorders>
            <w:noWrap/>
            <w:vAlign w:val="center"/>
          </w:tcPr>
          <w:p w14:paraId="7360352A" w14:textId="1E0AE025"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 </w:t>
            </w:r>
          </w:p>
        </w:tc>
        <w:tc>
          <w:tcPr>
            <w:tcW w:w="1113" w:type="dxa"/>
            <w:tcBorders>
              <w:top w:val="nil"/>
              <w:left w:val="nil"/>
              <w:bottom w:val="single" w:sz="4" w:space="0" w:color="auto"/>
              <w:right w:val="single" w:sz="4" w:space="0" w:color="auto"/>
            </w:tcBorders>
            <w:noWrap/>
            <w:vAlign w:val="center"/>
          </w:tcPr>
          <w:p w14:paraId="4CE48797" w14:textId="654A3F6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72,8</w:t>
            </w:r>
          </w:p>
        </w:tc>
      </w:tr>
      <w:tr w:rsidR="00A55AA0" w:rsidRPr="003D514A" w14:paraId="019242A3"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B28D060"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37CEA0A8" w14:textId="7473D6B9"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10 526,1</w:t>
            </w:r>
          </w:p>
        </w:tc>
        <w:tc>
          <w:tcPr>
            <w:tcW w:w="1276" w:type="dxa"/>
            <w:tcBorders>
              <w:top w:val="nil"/>
              <w:left w:val="nil"/>
              <w:bottom w:val="single" w:sz="4" w:space="0" w:color="auto"/>
              <w:right w:val="single" w:sz="4" w:space="0" w:color="auto"/>
            </w:tcBorders>
            <w:noWrap/>
            <w:vAlign w:val="center"/>
          </w:tcPr>
          <w:p w14:paraId="0CF62633" w14:textId="1F972831"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7 125,7</w:t>
            </w:r>
          </w:p>
        </w:tc>
        <w:tc>
          <w:tcPr>
            <w:tcW w:w="1075" w:type="dxa"/>
            <w:tcBorders>
              <w:top w:val="nil"/>
              <w:left w:val="nil"/>
              <w:bottom w:val="single" w:sz="4" w:space="0" w:color="auto"/>
              <w:right w:val="single" w:sz="4" w:space="0" w:color="auto"/>
            </w:tcBorders>
            <w:noWrap/>
            <w:vAlign w:val="center"/>
          </w:tcPr>
          <w:p w14:paraId="5A242BD9" w14:textId="2A2C3179"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67,7</w:t>
            </w:r>
          </w:p>
        </w:tc>
        <w:tc>
          <w:tcPr>
            <w:tcW w:w="1103" w:type="dxa"/>
            <w:tcBorders>
              <w:top w:val="nil"/>
              <w:left w:val="nil"/>
              <w:bottom w:val="single" w:sz="4" w:space="0" w:color="auto"/>
              <w:right w:val="single" w:sz="4" w:space="0" w:color="auto"/>
            </w:tcBorders>
            <w:noWrap/>
            <w:vAlign w:val="center"/>
          </w:tcPr>
          <w:p w14:paraId="38B2FBF3" w14:textId="59BC3539"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11 261,1</w:t>
            </w:r>
          </w:p>
        </w:tc>
        <w:tc>
          <w:tcPr>
            <w:tcW w:w="1224" w:type="dxa"/>
            <w:tcBorders>
              <w:top w:val="nil"/>
              <w:left w:val="nil"/>
              <w:bottom w:val="single" w:sz="4" w:space="0" w:color="auto"/>
              <w:right w:val="single" w:sz="4" w:space="0" w:color="auto"/>
            </w:tcBorders>
            <w:noWrap/>
            <w:vAlign w:val="center"/>
          </w:tcPr>
          <w:p w14:paraId="45786421" w14:textId="10AE88A8"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7 664,9</w:t>
            </w:r>
          </w:p>
        </w:tc>
        <w:tc>
          <w:tcPr>
            <w:tcW w:w="1159" w:type="dxa"/>
            <w:tcBorders>
              <w:top w:val="nil"/>
              <w:left w:val="nil"/>
              <w:bottom w:val="single" w:sz="4" w:space="0" w:color="auto"/>
              <w:right w:val="single" w:sz="4" w:space="0" w:color="auto"/>
            </w:tcBorders>
            <w:noWrap/>
            <w:vAlign w:val="center"/>
          </w:tcPr>
          <w:p w14:paraId="36A63170" w14:textId="03E0E5E7"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68,1</w:t>
            </w:r>
          </w:p>
        </w:tc>
        <w:tc>
          <w:tcPr>
            <w:tcW w:w="1113" w:type="dxa"/>
            <w:tcBorders>
              <w:top w:val="nil"/>
              <w:left w:val="nil"/>
              <w:bottom w:val="single" w:sz="4" w:space="0" w:color="auto"/>
              <w:right w:val="single" w:sz="4" w:space="0" w:color="auto"/>
            </w:tcBorders>
            <w:noWrap/>
            <w:vAlign w:val="center"/>
          </w:tcPr>
          <w:p w14:paraId="20C35B4C" w14:textId="6E3F8DA8"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107,6</w:t>
            </w:r>
          </w:p>
        </w:tc>
      </w:tr>
      <w:tr w:rsidR="00A55AA0" w:rsidRPr="003D514A" w14:paraId="57754C66"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3131A64"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6EE84A7D" w14:textId="5089DE9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10 756,2</w:t>
            </w:r>
          </w:p>
        </w:tc>
        <w:tc>
          <w:tcPr>
            <w:tcW w:w="1276" w:type="dxa"/>
            <w:tcBorders>
              <w:top w:val="nil"/>
              <w:left w:val="nil"/>
              <w:bottom w:val="single" w:sz="4" w:space="0" w:color="auto"/>
              <w:right w:val="single" w:sz="4" w:space="0" w:color="auto"/>
            </w:tcBorders>
            <w:noWrap/>
            <w:vAlign w:val="center"/>
          </w:tcPr>
          <w:p w14:paraId="607E92BF" w14:textId="5138030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7 294,1</w:t>
            </w:r>
          </w:p>
        </w:tc>
        <w:tc>
          <w:tcPr>
            <w:tcW w:w="1075" w:type="dxa"/>
            <w:tcBorders>
              <w:top w:val="nil"/>
              <w:left w:val="nil"/>
              <w:bottom w:val="single" w:sz="4" w:space="0" w:color="auto"/>
              <w:right w:val="single" w:sz="4" w:space="0" w:color="auto"/>
            </w:tcBorders>
            <w:noWrap/>
            <w:vAlign w:val="center"/>
          </w:tcPr>
          <w:p w14:paraId="72D0949B" w14:textId="6EE76AAB"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67,8</w:t>
            </w:r>
          </w:p>
        </w:tc>
        <w:tc>
          <w:tcPr>
            <w:tcW w:w="1103" w:type="dxa"/>
            <w:tcBorders>
              <w:top w:val="nil"/>
              <w:left w:val="nil"/>
              <w:bottom w:val="single" w:sz="4" w:space="0" w:color="auto"/>
              <w:right w:val="single" w:sz="4" w:space="0" w:color="auto"/>
            </w:tcBorders>
            <w:noWrap/>
            <w:vAlign w:val="center"/>
          </w:tcPr>
          <w:p w14:paraId="46E1FBBD" w14:textId="32914D0B"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11 261,1</w:t>
            </w:r>
          </w:p>
        </w:tc>
        <w:tc>
          <w:tcPr>
            <w:tcW w:w="1224" w:type="dxa"/>
            <w:tcBorders>
              <w:top w:val="nil"/>
              <w:left w:val="nil"/>
              <w:bottom w:val="single" w:sz="4" w:space="0" w:color="auto"/>
              <w:right w:val="single" w:sz="4" w:space="0" w:color="auto"/>
            </w:tcBorders>
            <w:noWrap/>
            <w:vAlign w:val="center"/>
          </w:tcPr>
          <w:p w14:paraId="66835E32" w14:textId="032B1C11"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7 787,5</w:t>
            </w:r>
          </w:p>
        </w:tc>
        <w:tc>
          <w:tcPr>
            <w:tcW w:w="1159" w:type="dxa"/>
            <w:tcBorders>
              <w:top w:val="nil"/>
              <w:left w:val="nil"/>
              <w:bottom w:val="single" w:sz="4" w:space="0" w:color="auto"/>
              <w:right w:val="single" w:sz="4" w:space="0" w:color="auto"/>
            </w:tcBorders>
            <w:noWrap/>
            <w:vAlign w:val="center"/>
          </w:tcPr>
          <w:p w14:paraId="58C18A84" w14:textId="64D436C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69,2</w:t>
            </w:r>
          </w:p>
        </w:tc>
        <w:tc>
          <w:tcPr>
            <w:tcW w:w="1113" w:type="dxa"/>
            <w:tcBorders>
              <w:top w:val="nil"/>
              <w:left w:val="nil"/>
              <w:bottom w:val="single" w:sz="4" w:space="0" w:color="auto"/>
              <w:right w:val="single" w:sz="4" w:space="0" w:color="auto"/>
            </w:tcBorders>
            <w:noWrap/>
            <w:vAlign w:val="center"/>
          </w:tcPr>
          <w:p w14:paraId="13EBC871" w14:textId="625124E3"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106,8</w:t>
            </w:r>
          </w:p>
        </w:tc>
      </w:tr>
      <w:tr w:rsidR="00A55AA0" w:rsidRPr="003D514A" w14:paraId="0BB4AC6A"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A00CB7B" w14:textId="77777777" w:rsidR="00A55AA0" w:rsidRPr="00602E3C" w:rsidRDefault="00A55AA0" w:rsidP="00A55AA0">
            <w:pPr>
              <w:keepNext/>
              <w:keepLines/>
              <w:spacing w:before="120" w:after="120"/>
              <w:rPr>
                <w:rFonts w:ascii="Times New Roman" w:hAnsi="Times New Roman" w:cs="Times New Roman"/>
                <w:b/>
                <w:bCs/>
                <w:sz w:val="20"/>
                <w:szCs w:val="20"/>
              </w:rPr>
            </w:pPr>
            <w:r w:rsidRPr="7C285CBA">
              <w:rPr>
                <w:rFonts w:ascii="Times New Roman" w:hAnsi="Times New Roman" w:cs="Times New Roman"/>
                <w:b/>
                <w:bCs/>
                <w:sz w:val="20"/>
                <w:szCs w:val="20"/>
              </w:rPr>
              <w:t>Egyenleg összesen</w:t>
            </w:r>
          </w:p>
        </w:tc>
        <w:tc>
          <w:tcPr>
            <w:tcW w:w="1067" w:type="dxa"/>
            <w:tcBorders>
              <w:top w:val="nil"/>
              <w:left w:val="single" w:sz="4" w:space="0" w:color="auto"/>
              <w:bottom w:val="single" w:sz="4" w:space="0" w:color="auto"/>
              <w:right w:val="single" w:sz="4" w:space="0" w:color="auto"/>
            </w:tcBorders>
            <w:noWrap/>
            <w:vAlign w:val="center"/>
          </w:tcPr>
          <w:p w14:paraId="1B8B1324" w14:textId="6522EE98"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-4 095,8</w:t>
            </w:r>
          </w:p>
        </w:tc>
        <w:tc>
          <w:tcPr>
            <w:tcW w:w="1276" w:type="dxa"/>
            <w:tcBorders>
              <w:top w:val="nil"/>
              <w:left w:val="nil"/>
              <w:bottom w:val="single" w:sz="4" w:space="0" w:color="auto"/>
              <w:right w:val="single" w:sz="4" w:space="0" w:color="auto"/>
            </w:tcBorders>
            <w:noWrap/>
            <w:vAlign w:val="center"/>
          </w:tcPr>
          <w:p w14:paraId="4169FD4E" w14:textId="05D2A312"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rPr>
              <w:t>-2 857,7</w:t>
            </w:r>
          </w:p>
        </w:tc>
        <w:tc>
          <w:tcPr>
            <w:tcW w:w="1075" w:type="dxa"/>
            <w:tcBorders>
              <w:top w:val="nil"/>
              <w:left w:val="nil"/>
              <w:bottom w:val="single" w:sz="4" w:space="0" w:color="auto"/>
              <w:right w:val="single" w:sz="4" w:space="0" w:color="auto"/>
            </w:tcBorders>
            <w:noWrap/>
            <w:vAlign w:val="center"/>
          </w:tcPr>
          <w:p w14:paraId="1A278024" w14:textId="6D345516"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69,8</w:t>
            </w:r>
          </w:p>
        </w:tc>
        <w:tc>
          <w:tcPr>
            <w:tcW w:w="1103" w:type="dxa"/>
            <w:tcBorders>
              <w:top w:val="nil"/>
              <w:left w:val="nil"/>
              <w:bottom w:val="single" w:sz="4" w:space="0" w:color="auto"/>
              <w:right w:val="single" w:sz="4" w:space="0" w:color="auto"/>
            </w:tcBorders>
            <w:noWrap/>
            <w:vAlign w:val="center"/>
          </w:tcPr>
          <w:p w14:paraId="786BA0A5" w14:textId="22965D29"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-4 123,0</w:t>
            </w:r>
          </w:p>
        </w:tc>
        <w:tc>
          <w:tcPr>
            <w:tcW w:w="1224" w:type="dxa"/>
            <w:tcBorders>
              <w:top w:val="nil"/>
              <w:left w:val="nil"/>
              <w:bottom w:val="single" w:sz="4" w:space="0" w:color="auto"/>
              <w:right w:val="single" w:sz="4" w:space="0" w:color="auto"/>
            </w:tcBorders>
            <w:noWrap/>
            <w:vAlign w:val="center"/>
          </w:tcPr>
          <w:p w14:paraId="53FEC34A" w14:textId="4E00058D" w:rsidR="00A55AA0" w:rsidRPr="007007A3" w:rsidRDefault="00A55AA0" w:rsidP="00A55AA0">
            <w:pPr>
              <w:spacing w:before="120" w:after="120"/>
              <w:jc w:val="right"/>
              <w:rPr>
                <w:rFonts w:ascii="Times New Roman" w:hAnsi="Times New Roman" w:cs="Times New Roman"/>
                <w:b/>
                <w:bCs/>
                <w:sz w:val="20"/>
                <w:szCs w:val="20"/>
              </w:rPr>
            </w:pPr>
            <w:r w:rsidRPr="002B2FFB">
              <w:rPr>
                <w:rFonts w:ascii="Garamond" w:hAnsi="Garamond"/>
                <w:b/>
                <w:bCs/>
                <w:szCs w:val="20"/>
              </w:rPr>
              <w:t>-3 025,5</w:t>
            </w:r>
          </w:p>
        </w:tc>
        <w:tc>
          <w:tcPr>
            <w:tcW w:w="1159" w:type="dxa"/>
            <w:tcBorders>
              <w:top w:val="nil"/>
              <w:left w:val="nil"/>
              <w:bottom w:val="single" w:sz="4" w:space="0" w:color="auto"/>
              <w:right w:val="single" w:sz="4" w:space="0" w:color="auto"/>
            </w:tcBorders>
            <w:noWrap/>
            <w:vAlign w:val="center"/>
          </w:tcPr>
          <w:p w14:paraId="6F96D6B4" w14:textId="7CD1A55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73,4</w:t>
            </w:r>
          </w:p>
        </w:tc>
        <w:tc>
          <w:tcPr>
            <w:tcW w:w="1113" w:type="dxa"/>
            <w:tcBorders>
              <w:top w:val="nil"/>
              <w:left w:val="nil"/>
              <w:bottom w:val="single" w:sz="4" w:space="0" w:color="auto"/>
              <w:right w:val="single" w:sz="4" w:space="0" w:color="auto"/>
            </w:tcBorders>
            <w:noWrap/>
            <w:vAlign w:val="center"/>
          </w:tcPr>
          <w:p w14:paraId="08B7BC04" w14:textId="210F7C02"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105,9</w:t>
            </w:r>
          </w:p>
        </w:tc>
      </w:tr>
      <w:tr w:rsidR="00A55AA0" w:rsidRPr="003D514A" w14:paraId="54A89CE6"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D471282"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1A9DE151" w14:textId="4747F89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38 038,2</w:t>
            </w:r>
          </w:p>
        </w:tc>
        <w:tc>
          <w:tcPr>
            <w:tcW w:w="1276" w:type="dxa"/>
            <w:tcBorders>
              <w:top w:val="nil"/>
              <w:left w:val="nil"/>
              <w:bottom w:val="single" w:sz="4" w:space="0" w:color="auto"/>
              <w:right w:val="single" w:sz="4" w:space="0" w:color="auto"/>
            </w:tcBorders>
            <w:noWrap/>
            <w:vAlign w:val="center"/>
          </w:tcPr>
          <w:p w14:paraId="35D99CF8" w14:textId="079C7AB4"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24 614,7</w:t>
            </w:r>
          </w:p>
        </w:tc>
        <w:tc>
          <w:tcPr>
            <w:tcW w:w="1075" w:type="dxa"/>
            <w:tcBorders>
              <w:top w:val="nil"/>
              <w:left w:val="nil"/>
              <w:bottom w:val="single" w:sz="4" w:space="0" w:color="auto"/>
              <w:right w:val="single" w:sz="4" w:space="0" w:color="auto"/>
            </w:tcBorders>
            <w:noWrap/>
            <w:vAlign w:val="center"/>
          </w:tcPr>
          <w:p w14:paraId="7867A6F0" w14:textId="61D0FF09"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64,7</w:t>
            </w:r>
          </w:p>
        </w:tc>
        <w:tc>
          <w:tcPr>
            <w:tcW w:w="1103" w:type="dxa"/>
            <w:tcBorders>
              <w:top w:val="nil"/>
              <w:left w:val="nil"/>
              <w:bottom w:val="single" w:sz="4" w:space="0" w:color="auto"/>
              <w:right w:val="single" w:sz="4" w:space="0" w:color="auto"/>
            </w:tcBorders>
            <w:noWrap/>
            <w:vAlign w:val="center"/>
          </w:tcPr>
          <w:p w14:paraId="3B7C4504" w14:textId="668E11AD"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38 728,8</w:t>
            </w:r>
          </w:p>
        </w:tc>
        <w:tc>
          <w:tcPr>
            <w:tcW w:w="1224" w:type="dxa"/>
            <w:tcBorders>
              <w:top w:val="nil"/>
              <w:left w:val="nil"/>
              <w:bottom w:val="single" w:sz="4" w:space="0" w:color="auto"/>
              <w:right w:val="single" w:sz="4" w:space="0" w:color="auto"/>
            </w:tcBorders>
            <w:noWrap/>
            <w:vAlign w:val="center"/>
          </w:tcPr>
          <w:p w14:paraId="29707FCC" w14:textId="53F2737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26 352,0</w:t>
            </w:r>
          </w:p>
        </w:tc>
        <w:tc>
          <w:tcPr>
            <w:tcW w:w="1159" w:type="dxa"/>
            <w:tcBorders>
              <w:top w:val="nil"/>
              <w:left w:val="nil"/>
              <w:bottom w:val="single" w:sz="4" w:space="0" w:color="auto"/>
              <w:right w:val="single" w:sz="4" w:space="0" w:color="auto"/>
            </w:tcBorders>
            <w:noWrap/>
            <w:vAlign w:val="center"/>
          </w:tcPr>
          <w:p w14:paraId="5BE38AAD" w14:textId="619C481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68,0</w:t>
            </w:r>
          </w:p>
        </w:tc>
        <w:tc>
          <w:tcPr>
            <w:tcW w:w="1113" w:type="dxa"/>
            <w:tcBorders>
              <w:top w:val="nil"/>
              <w:left w:val="nil"/>
              <w:bottom w:val="single" w:sz="4" w:space="0" w:color="auto"/>
              <w:right w:val="single" w:sz="4" w:space="0" w:color="auto"/>
            </w:tcBorders>
            <w:noWrap/>
            <w:vAlign w:val="center"/>
          </w:tcPr>
          <w:p w14:paraId="434BF952" w14:textId="2A6C214C"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107,1</w:t>
            </w:r>
          </w:p>
        </w:tc>
      </w:tr>
      <w:tr w:rsidR="00A55AA0" w:rsidRPr="0096527E" w14:paraId="7BAEDA41" w14:textId="77777777" w:rsidTr="7C285CBA">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39802C9" w14:textId="77777777" w:rsidR="00A55AA0" w:rsidRPr="00602E3C" w:rsidRDefault="00A55AA0" w:rsidP="00A55AA0">
            <w:pPr>
              <w:keepNext/>
              <w:keepLines/>
              <w:spacing w:before="120" w:after="120"/>
              <w:jc w:val="right"/>
              <w:rPr>
                <w:rFonts w:ascii="Times New Roman" w:hAnsi="Times New Roman" w:cs="Times New Roman"/>
                <w:sz w:val="20"/>
                <w:szCs w:val="20"/>
              </w:rPr>
            </w:pPr>
            <w:r w:rsidRPr="7C285CBA">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59AFD40D" w14:textId="49189AAE"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42 134,0</w:t>
            </w:r>
          </w:p>
        </w:tc>
        <w:tc>
          <w:tcPr>
            <w:tcW w:w="1276" w:type="dxa"/>
            <w:tcBorders>
              <w:top w:val="nil"/>
              <w:left w:val="nil"/>
              <w:bottom w:val="single" w:sz="4" w:space="0" w:color="auto"/>
              <w:right w:val="single" w:sz="4" w:space="0" w:color="auto"/>
            </w:tcBorders>
            <w:noWrap/>
            <w:vAlign w:val="center"/>
          </w:tcPr>
          <w:p w14:paraId="4966DA4D" w14:textId="3477BAFB"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rPr>
              <w:t>27 472,4</w:t>
            </w:r>
          </w:p>
        </w:tc>
        <w:tc>
          <w:tcPr>
            <w:tcW w:w="1075" w:type="dxa"/>
            <w:tcBorders>
              <w:top w:val="nil"/>
              <w:left w:val="nil"/>
              <w:bottom w:val="single" w:sz="4" w:space="0" w:color="auto"/>
              <w:right w:val="single" w:sz="4" w:space="0" w:color="auto"/>
            </w:tcBorders>
            <w:noWrap/>
            <w:vAlign w:val="center"/>
          </w:tcPr>
          <w:p w14:paraId="09D1A52D" w14:textId="5482D252"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65,2</w:t>
            </w:r>
          </w:p>
        </w:tc>
        <w:tc>
          <w:tcPr>
            <w:tcW w:w="1103" w:type="dxa"/>
            <w:tcBorders>
              <w:top w:val="nil"/>
              <w:left w:val="nil"/>
              <w:bottom w:val="single" w:sz="4" w:space="0" w:color="auto"/>
              <w:right w:val="single" w:sz="4" w:space="0" w:color="auto"/>
            </w:tcBorders>
            <w:noWrap/>
            <w:vAlign w:val="center"/>
          </w:tcPr>
          <w:p w14:paraId="4ABA63B9" w14:textId="4B31170F"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42 851,8</w:t>
            </w:r>
          </w:p>
        </w:tc>
        <w:tc>
          <w:tcPr>
            <w:tcW w:w="1224" w:type="dxa"/>
            <w:tcBorders>
              <w:top w:val="nil"/>
              <w:left w:val="nil"/>
              <w:bottom w:val="single" w:sz="4" w:space="0" w:color="auto"/>
              <w:right w:val="single" w:sz="4" w:space="0" w:color="auto"/>
            </w:tcBorders>
            <w:noWrap/>
            <w:vAlign w:val="center"/>
          </w:tcPr>
          <w:p w14:paraId="6B9088C5" w14:textId="1D125518"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29 377,5</w:t>
            </w:r>
          </w:p>
        </w:tc>
        <w:tc>
          <w:tcPr>
            <w:tcW w:w="1159" w:type="dxa"/>
            <w:tcBorders>
              <w:top w:val="nil"/>
              <w:left w:val="nil"/>
              <w:bottom w:val="single" w:sz="4" w:space="0" w:color="auto"/>
              <w:right w:val="single" w:sz="4" w:space="0" w:color="auto"/>
            </w:tcBorders>
            <w:noWrap/>
            <w:vAlign w:val="center"/>
          </w:tcPr>
          <w:p w14:paraId="22DBE23B" w14:textId="22E0A3AA"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68,6</w:t>
            </w:r>
          </w:p>
        </w:tc>
        <w:tc>
          <w:tcPr>
            <w:tcW w:w="1113" w:type="dxa"/>
            <w:tcBorders>
              <w:top w:val="nil"/>
              <w:left w:val="nil"/>
              <w:bottom w:val="single" w:sz="4" w:space="0" w:color="auto"/>
              <w:right w:val="single" w:sz="4" w:space="0" w:color="auto"/>
            </w:tcBorders>
            <w:noWrap/>
            <w:vAlign w:val="center"/>
          </w:tcPr>
          <w:p w14:paraId="6882C43A" w14:textId="7E52B5AF" w:rsidR="00A55AA0" w:rsidRPr="007007A3" w:rsidRDefault="00A55AA0" w:rsidP="00A55AA0">
            <w:pPr>
              <w:spacing w:before="120" w:after="120"/>
              <w:jc w:val="right"/>
              <w:rPr>
                <w:rFonts w:ascii="Times New Roman" w:hAnsi="Times New Roman" w:cs="Times New Roman"/>
                <w:sz w:val="20"/>
                <w:szCs w:val="20"/>
              </w:rPr>
            </w:pPr>
            <w:r w:rsidRPr="002B2FFB">
              <w:rPr>
                <w:rFonts w:ascii="Garamond" w:hAnsi="Garamond"/>
                <w:szCs w:val="20"/>
              </w:rPr>
              <w:t>106,9</w:t>
            </w:r>
          </w:p>
        </w:tc>
      </w:tr>
    </w:tbl>
    <w:p w14:paraId="651BA2DD" w14:textId="77777777" w:rsidR="005171E0" w:rsidRDefault="005171E0" w:rsidP="00794A5E">
      <w:pPr>
        <w:jc w:val="both"/>
        <w:rPr>
          <w:rFonts w:ascii="Times New Roman" w:eastAsia="Times New Roman" w:hAnsi="Times New Roman" w:cs="Times New Roman"/>
          <w:sz w:val="26"/>
          <w:szCs w:val="26"/>
          <w:lang w:eastAsia="hu-HU"/>
        </w:rPr>
      </w:pPr>
    </w:p>
    <w:p w14:paraId="6530C941" w14:textId="77777777" w:rsidR="00794A5E" w:rsidRDefault="00794A5E" w:rsidP="00794A5E">
      <w:pPr>
        <w:jc w:val="both"/>
        <w:rPr>
          <w:rFonts w:ascii="Times New Roman" w:eastAsia="Times New Roman" w:hAnsi="Times New Roman" w:cs="Times New Roman"/>
          <w:sz w:val="26"/>
          <w:szCs w:val="26"/>
          <w:lang w:eastAsia="hu-HU"/>
        </w:rPr>
      </w:pPr>
    </w:p>
    <w:p w14:paraId="47665E44" w14:textId="77777777" w:rsidR="00794A5E" w:rsidRPr="00377D59" w:rsidRDefault="7C285CBA" w:rsidP="7C285CBA">
      <w:pPr>
        <w:keepNext/>
        <w:spacing w:line="240" w:lineRule="auto"/>
        <w:ind w:left="425" w:hanging="425"/>
        <w:jc w:val="center"/>
        <w:outlineLvl w:val="3"/>
        <w:rPr>
          <w:rFonts w:ascii="Times New Roman" w:eastAsia="Times New Roman" w:hAnsi="Times New Roman" w:cs="Times New Roman"/>
          <w:b/>
          <w:bCs/>
          <w:caps/>
          <w:sz w:val="26"/>
          <w:szCs w:val="26"/>
          <w:lang w:eastAsia="hu-HU"/>
        </w:rPr>
      </w:pPr>
      <w:r w:rsidRPr="7C285CBA">
        <w:rPr>
          <w:rFonts w:ascii="Times New Roman" w:eastAsia="Times New Roman" w:hAnsi="Times New Roman" w:cs="Times New Roman"/>
          <w:b/>
          <w:bCs/>
          <w:caps/>
          <w:sz w:val="26"/>
          <w:szCs w:val="26"/>
          <w:lang w:eastAsia="hu-HU"/>
        </w:rPr>
        <w:t>Az államháztartás központi alrendszerének HIÁNYA</w:t>
      </w:r>
    </w:p>
    <w:p w14:paraId="48257848" w14:textId="075C0814" w:rsidR="00794A5E" w:rsidRPr="00794A5E" w:rsidRDefault="7C285CBA" w:rsidP="7C285CBA">
      <w:pPr>
        <w:jc w:val="both"/>
        <w:rPr>
          <w:rFonts w:ascii="Times New Roman" w:eastAsia="Times New Roman" w:hAnsi="Times New Roman" w:cs="Times New Roman"/>
          <w:color w:val="000000" w:themeColor="text1"/>
          <w:sz w:val="26"/>
          <w:szCs w:val="26"/>
          <w:lang w:eastAsia="hu-HU"/>
        </w:rPr>
      </w:pPr>
      <w:r w:rsidRPr="7C285CBA">
        <w:rPr>
          <w:rFonts w:ascii="Times New Roman" w:eastAsia="Times New Roman" w:hAnsi="Times New Roman" w:cs="Times New Roman"/>
          <w:color w:val="000000" w:themeColor="text1"/>
          <w:sz w:val="26"/>
          <w:szCs w:val="26"/>
          <w:lang w:eastAsia="hu-HU"/>
        </w:rPr>
        <w:t>Az államháztartás központi alrendszerének az elfogadott költségvetési törvényben szereplő 3,7%-os ESA-hiányhoz tartozó pénzforgalmi hiánya 4123,0 milliárd forint.</w:t>
      </w:r>
    </w:p>
    <w:p w14:paraId="60844057" w14:textId="0ADE84E3" w:rsidR="00794A5E" w:rsidRPr="00794A5E" w:rsidRDefault="7C285CBA" w:rsidP="7C285CBA">
      <w:pPr>
        <w:jc w:val="both"/>
        <w:rPr>
          <w:rFonts w:ascii="Times New Roman" w:eastAsia="Times New Roman" w:hAnsi="Times New Roman" w:cs="Times New Roman"/>
          <w:color w:val="000000" w:themeColor="text1"/>
          <w:sz w:val="26"/>
          <w:szCs w:val="26"/>
          <w:lang w:eastAsia="hu-HU"/>
        </w:rPr>
      </w:pPr>
      <w:r w:rsidRPr="7C285CBA">
        <w:rPr>
          <w:rFonts w:ascii="Times New Roman" w:eastAsia="Times New Roman" w:hAnsi="Times New Roman" w:cs="Times New Roman"/>
          <w:color w:val="000000" w:themeColor="text1"/>
          <w:sz w:val="26"/>
          <w:szCs w:val="26"/>
          <w:lang w:eastAsia="hu-HU"/>
        </w:rPr>
        <w:t xml:space="preserve">A várható ESA-hiányhoz tartozó várható éves pénzforgalmi hiány ugyanakkor 4774,0 milliárd forint. A központi alrendszer </w:t>
      </w:r>
      <w:r w:rsidR="00A55AA0">
        <w:rPr>
          <w:rFonts w:ascii="Times New Roman" w:eastAsia="Times New Roman" w:hAnsi="Times New Roman" w:cs="Times New Roman"/>
          <w:color w:val="000000" w:themeColor="text1"/>
          <w:sz w:val="26"/>
          <w:szCs w:val="26"/>
          <w:lang w:eastAsia="hu-HU"/>
        </w:rPr>
        <w:t>auguszt</w:t>
      </w:r>
      <w:r w:rsidRPr="7C285CBA">
        <w:rPr>
          <w:rFonts w:ascii="Times New Roman" w:eastAsia="Times New Roman" w:hAnsi="Times New Roman" w:cs="Times New Roman"/>
          <w:color w:val="000000" w:themeColor="text1"/>
          <w:sz w:val="26"/>
          <w:szCs w:val="26"/>
          <w:lang w:eastAsia="hu-HU"/>
        </w:rPr>
        <w:t>us végi hiánya (</w:t>
      </w:r>
      <w:r w:rsidR="00A55AA0">
        <w:rPr>
          <w:rFonts w:ascii="Times New Roman" w:eastAsia="Times New Roman" w:hAnsi="Times New Roman" w:cs="Times New Roman"/>
          <w:color w:val="000000" w:themeColor="text1"/>
          <w:sz w:val="26"/>
          <w:szCs w:val="26"/>
          <w:lang w:eastAsia="hu-HU"/>
        </w:rPr>
        <w:t>3025,5</w:t>
      </w:r>
      <w:r w:rsidRPr="7C285CBA">
        <w:rPr>
          <w:rFonts w:ascii="Times New Roman" w:eastAsia="Times New Roman" w:hAnsi="Times New Roman" w:cs="Times New Roman"/>
          <w:color w:val="000000" w:themeColor="text1"/>
          <w:sz w:val="26"/>
          <w:szCs w:val="26"/>
          <w:lang w:eastAsia="hu-HU"/>
        </w:rPr>
        <w:t xml:space="preserve"> milliárd forint) ennek </w:t>
      </w:r>
      <w:r w:rsidR="00A55AA0">
        <w:rPr>
          <w:rFonts w:ascii="Times New Roman" w:eastAsia="Times New Roman" w:hAnsi="Times New Roman" w:cs="Times New Roman"/>
          <w:color w:val="000000" w:themeColor="text1"/>
          <w:sz w:val="26"/>
          <w:szCs w:val="26"/>
          <w:lang w:eastAsia="hu-HU"/>
        </w:rPr>
        <w:t>63</w:t>
      </w:r>
      <w:r w:rsidRPr="7C285CBA">
        <w:rPr>
          <w:rFonts w:ascii="Times New Roman" w:eastAsia="Times New Roman" w:hAnsi="Times New Roman" w:cs="Times New Roman"/>
          <w:color w:val="000000" w:themeColor="text1"/>
          <w:sz w:val="26"/>
          <w:szCs w:val="26"/>
          <w:lang w:eastAsia="hu-HU"/>
        </w:rPr>
        <w:t>,4%-a.</w:t>
      </w:r>
    </w:p>
    <w:p w14:paraId="1A0A9898" w14:textId="77777777" w:rsidR="00794A5E" w:rsidRDefault="00794A5E" w:rsidP="00794A5E">
      <w:pPr>
        <w:jc w:val="both"/>
        <w:rPr>
          <w:rFonts w:ascii="Times New Roman" w:eastAsia="Times New Roman" w:hAnsi="Times New Roman" w:cs="Times New Roman"/>
          <w:sz w:val="26"/>
          <w:szCs w:val="26"/>
          <w:lang w:eastAsia="hu-HU"/>
        </w:rPr>
      </w:pPr>
    </w:p>
    <w:p w14:paraId="5D2837F8" w14:textId="77777777" w:rsidR="006D5492" w:rsidRDefault="006D5492" w:rsidP="006D5492">
      <w:pPr>
        <w:pageBreakBefore/>
        <w:spacing w:after="120" w:line="240" w:lineRule="auto"/>
        <w:jc w:val="center"/>
        <w:rPr>
          <w:rFonts w:ascii="Times New Roman" w:eastAsia="Times New Roman" w:hAnsi="Times New Roman" w:cs="Times New Roman"/>
          <w:b/>
          <w:bCs/>
          <w:sz w:val="26"/>
          <w:szCs w:val="26"/>
          <w:lang w:eastAsia="hu-HU"/>
        </w:rPr>
      </w:pPr>
    </w:p>
    <w:p w14:paraId="7B768A93" w14:textId="77777777" w:rsidR="00B155FE" w:rsidRPr="00377D59" w:rsidRDefault="7C285CBA" w:rsidP="7C285CBA">
      <w:pPr>
        <w:spacing w:after="120" w:line="240" w:lineRule="auto"/>
        <w:jc w:val="center"/>
        <w:rPr>
          <w:rFonts w:ascii="Times New Roman" w:eastAsia="Times New Roman" w:hAnsi="Times New Roman" w:cs="Times New Roman"/>
          <w:b/>
          <w:bCs/>
          <w:sz w:val="26"/>
          <w:szCs w:val="26"/>
          <w:lang w:eastAsia="hu-HU"/>
        </w:rPr>
      </w:pPr>
      <w:r w:rsidRPr="7C285CBA">
        <w:rPr>
          <w:rFonts w:ascii="Times New Roman" w:eastAsia="Times New Roman" w:hAnsi="Times New Roman" w:cs="Times New Roman"/>
          <w:b/>
          <w:bCs/>
          <w:sz w:val="26"/>
          <w:szCs w:val="26"/>
          <w:lang w:eastAsia="hu-HU"/>
        </w:rPr>
        <w:t>I.</w:t>
      </w:r>
    </w:p>
    <w:p w14:paraId="7B768A94" w14:textId="77777777" w:rsidR="00B155FE" w:rsidRPr="00377D59" w:rsidRDefault="7C285CBA" w:rsidP="7C285CBA">
      <w:pPr>
        <w:keepNext/>
        <w:spacing w:after="120" w:line="240" w:lineRule="auto"/>
        <w:jc w:val="center"/>
        <w:outlineLvl w:val="1"/>
        <w:rPr>
          <w:rFonts w:ascii="Times New Roman" w:eastAsia="Times New Roman" w:hAnsi="Times New Roman" w:cs="Times New Roman"/>
          <w:b/>
          <w:bCs/>
          <w:caps/>
          <w:sz w:val="26"/>
          <w:szCs w:val="26"/>
          <w:lang w:eastAsia="hu-HU"/>
        </w:rPr>
      </w:pPr>
      <w:r w:rsidRPr="7C285CBA">
        <w:rPr>
          <w:rFonts w:ascii="Times New Roman" w:eastAsia="Times New Roman" w:hAnsi="Times New Roman" w:cs="Times New Roman"/>
          <w:b/>
          <w:bCs/>
          <w:caps/>
          <w:sz w:val="26"/>
          <w:szCs w:val="26"/>
          <w:lang w:eastAsia="hu-HU"/>
        </w:rPr>
        <w:t xml:space="preserve">A központi alrendszer pénzügyi folyamatainak </w:t>
      </w:r>
      <w:r w:rsidR="74CD2655">
        <w:br/>
      </w:r>
      <w:r w:rsidRPr="7C285CBA">
        <w:rPr>
          <w:rFonts w:ascii="Times New Roman" w:eastAsia="Times New Roman" w:hAnsi="Times New Roman" w:cs="Times New Roman"/>
          <w:b/>
          <w:bCs/>
          <w:caps/>
          <w:sz w:val="26"/>
          <w:szCs w:val="26"/>
          <w:lang w:eastAsia="hu-HU"/>
        </w:rPr>
        <w:t>alakulása</w:t>
      </w:r>
    </w:p>
    <w:p w14:paraId="6D461365" w14:textId="08DC9FC2" w:rsidR="0004032B" w:rsidRPr="00377D59" w:rsidRDefault="7C285CBA" w:rsidP="7C285CBA">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7C285CBA">
        <w:rPr>
          <w:rFonts w:ascii="Times New Roman" w:eastAsia="Times New Roman" w:hAnsi="Times New Roman" w:cs="Times New Roman"/>
          <w:b/>
          <w:bCs/>
          <w:smallCaps/>
          <w:sz w:val="28"/>
          <w:szCs w:val="28"/>
          <w:lang w:eastAsia="hu-HU"/>
        </w:rPr>
        <w:t>A főbb bevételek</w:t>
      </w:r>
    </w:p>
    <w:p w14:paraId="1618CD2C" w14:textId="58B0AB51" w:rsidR="00C561BC" w:rsidRDefault="7C285CBA" w:rsidP="7C285CBA">
      <w:pPr>
        <w:jc w:val="both"/>
        <w:rPr>
          <w:rFonts w:ascii="Times New Roman" w:eastAsia="Times New Roman" w:hAnsi="Times New Roman" w:cs="Times New Roman"/>
          <w:b/>
          <w:bCs/>
          <w:sz w:val="26"/>
          <w:szCs w:val="26"/>
        </w:rPr>
      </w:pPr>
      <w:r w:rsidRPr="7C285CBA">
        <w:rPr>
          <w:rFonts w:ascii="Times New Roman" w:eastAsia="Times New Roman" w:hAnsi="Times New Roman" w:cs="Times New Roman"/>
          <w:b/>
          <w:bCs/>
          <w:sz w:val="26"/>
          <w:szCs w:val="26"/>
        </w:rPr>
        <w:t xml:space="preserve">A központi alrendszer </w:t>
      </w:r>
      <w:r w:rsidR="00A55AA0">
        <w:rPr>
          <w:rFonts w:ascii="Times New Roman" w:eastAsia="Times New Roman" w:hAnsi="Times New Roman" w:cs="Times New Roman"/>
          <w:b/>
          <w:bCs/>
          <w:sz w:val="26"/>
          <w:szCs w:val="26"/>
        </w:rPr>
        <w:t>auguszt</w:t>
      </w:r>
      <w:r w:rsidRPr="7C285CBA">
        <w:rPr>
          <w:rFonts w:ascii="Times New Roman" w:eastAsia="Times New Roman" w:hAnsi="Times New Roman" w:cs="Times New Roman"/>
          <w:b/>
          <w:bCs/>
          <w:sz w:val="26"/>
          <w:szCs w:val="26"/>
        </w:rPr>
        <w:t>us végi 2</w:t>
      </w:r>
      <w:r w:rsidR="00A55AA0">
        <w:rPr>
          <w:rFonts w:ascii="Times New Roman" w:eastAsia="Times New Roman" w:hAnsi="Times New Roman" w:cs="Times New Roman"/>
          <w:b/>
          <w:bCs/>
          <w:sz w:val="26"/>
          <w:szCs w:val="26"/>
        </w:rPr>
        <w:t>6 </w:t>
      </w:r>
      <w:r w:rsidRPr="7C285CBA">
        <w:rPr>
          <w:rFonts w:ascii="Times New Roman" w:eastAsia="Times New Roman" w:hAnsi="Times New Roman" w:cs="Times New Roman"/>
          <w:b/>
          <w:bCs/>
          <w:sz w:val="26"/>
          <w:szCs w:val="26"/>
        </w:rPr>
        <w:t>3</w:t>
      </w:r>
      <w:r w:rsidR="00A55AA0">
        <w:rPr>
          <w:rFonts w:ascii="Times New Roman" w:eastAsia="Times New Roman" w:hAnsi="Times New Roman" w:cs="Times New Roman"/>
          <w:b/>
          <w:bCs/>
          <w:sz w:val="26"/>
          <w:szCs w:val="26"/>
        </w:rPr>
        <w:t>52,0</w:t>
      </w:r>
      <w:r w:rsidRPr="7C285CBA">
        <w:rPr>
          <w:rFonts w:ascii="Times New Roman" w:eastAsia="Times New Roman" w:hAnsi="Times New Roman" w:cs="Times New Roman"/>
          <w:b/>
          <w:bCs/>
          <w:sz w:val="26"/>
          <w:szCs w:val="26"/>
        </w:rPr>
        <w:t xml:space="preserve"> milliárd forint összegű bevételei az</w:t>
      </w:r>
      <w:r w:rsidR="00D33920">
        <w:rPr>
          <w:rFonts w:ascii="Times New Roman" w:eastAsia="Times New Roman" w:hAnsi="Times New Roman" w:cs="Times New Roman"/>
          <w:b/>
          <w:bCs/>
          <w:sz w:val="26"/>
          <w:szCs w:val="26"/>
        </w:rPr>
        <w:t> </w:t>
      </w:r>
      <w:r w:rsidRPr="7C285CBA">
        <w:rPr>
          <w:rFonts w:ascii="Times New Roman" w:eastAsia="Times New Roman" w:hAnsi="Times New Roman" w:cs="Times New Roman"/>
          <w:b/>
          <w:bCs/>
          <w:sz w:val="26"/>
          <w:szCs w:val="26"/>
        </w:rPr>
        <w:t>előző év azonos időszakához képest 1</w:t>
      </w:r>
      <w:r w:rsidR="00A55AA0">
        <w:rPr>
          <w:rFonts w:ascii="Times New Roman" w:eastAsia="Times New Roman" w:hAnsi="Times New Roman" w:cs="Times New Roman"/>
          <w:b/>
          <w:bCs/>
          <w:sz w:val="26"/>
          <w:szCs w:val="26"/>
        </w:rPr>
        <w:t>737,3</w:t>
      </w:r>
      <w:r w:rsidRPr="7C285CBA">
        <w:rPr>
          <w:rFonts w:ascii="Times New Roman" w:eastAsia="Times New Roman" w:hAnsi="Times New Roman" w:cs="Times New Roman"/>
          <w:b/>
          <w:bCs/>
          <w:sz w:val="26"/>
          <w:szCs w:val="26"/>
        </w:rPr>
        <w:t xml:space="preserve"> milliárd forinttal, </w:t>
      </w:r>
      <w:r w:rsidR="00A55AA0">
        <w:rPr>
          <w:rFonts w:ascii="Times New Roman" w:eastAsia="Times New Roman" w:hAnsi="Times New Roman" w:cs="Times New Roman"/>
          <w:b/>
          <w:bCs/>
          <w:sz w:val="26"/>
          <w:szCs w:val="26"/>
        </w:rPr>
        <w:t>7,1</w:t>
      </w:r>
      <w:r w:rsidRPr="7C285CBA">
        <w:rPr>
          <w:rFonts w:ascii="Times New Roman" w:eastAsia="Times New Roman" w:hAnsi="Times New Roman" w:cs="Times New Roman"/>
          <w:b/>
          <w:bCs/>
          <w:sz w:val="26"/>
          <w:szCs w:val="26"/>
        </w:rPr>
        <w:t>%-kal magasabb összegben alakultak.</w:t>
      </w:r>
    </w:p>
    <w:p w14:paraId="6BBE59DE" w14:textId="14C75215" w:rsidR="00CF551C" w:rsidRDefault="00B3244C" w:rsidP="00C11940">
      <w:pPr>
        <w:pStyle w:val="NormlWeb"/>
        <w:spacing w:before="0" w:beforeAutospacing="0" w:after="120" w:afterAutospacing="0"/>
        <w:jc w:val="center"/>
      </w:pPr>
      <w:r>
        <w:rPr>
          <w:noProof/>
        </w:rPr>
        <w:drawing>
          <wp:inline distT="0" distB="0" distL="0" distR="0" wp14:anchorId="3DA4B96F" wp14:editId="10AD6AD1">
            <wp:extent cx="5940425" cy="2449195"/>
            <wp:effectExtent l="0" t="0" r="3175" b="8255"/>
            <wp:docPr id="97871098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10981" name=""/>
                    <pic:cNvPicPr/>
                  </pic:nvPicPr>
                  <pic:blipFill>
                    <a:blip r:embed="rId14"/>
                    <a:stretch>
                      <a:fillRect/>
                    </a:stretch>
                  </pic:blipFill>
                  <pic:spPr>
                    <a:xfrm>
                      <a:off x="0" y="0"/>
                      <a:ext cx="5940425" cy="2449195"/>
                    </a:xfrm>
                    <a:prstGeom prst="rect">
                      <a:avLst/>
                    </a:prstGeom>
                  </pic:spPr>
                </pic:pic>
              </a:graphicData>
            </a:graphic>
          </wp:inline>
        </w:drawing>
      </w:r>
    </w:p>
    <w:p w14:paraId="2B3DEDF0" w14:textId="2497CB55" w:rsidR="00980E56" w:rsidRPr="00980E56" w:rsidRDefault="00980E56" w:rsidP="003D4300">
      <w:pPr>
        <w:jc w:val="both"/>
        <w:rPr>
          <w:rFonts w:ascii="Times New Roman" w:eastAsia="Times New Roman" w:hAnsi="Times New Roman" w:cs="Times New Roman"/>
          <w:sz w:val="26"/>
          <w:szCs w:val="20"/>
          <w:lang w:eastAsia="hu-HU"/>
        </w:rPr>
      </w:pPr>
      <w:r w:rsidRPr="00980E56">
        <w:rPr>
          <w:rFonts w:ascii="Times New Roman" w:eastAsia="Times New Roman" w:hAnsi="Times New Roman" w:cs="Times New Roman"/>
          <w:b/>
          <w:bCs/>
          <w:sz w:val="26"/>
          <w:szCs w:val="20"/>
          <w:lang w:eastAsia="hu-HU"/>
        </w:rPr>
        <w:t xml:space="preserve">Társasági adó </w:t>
      </w:r>
      <w:r w:rsidRPr="00980E56">
        <w:rPr>
          <w:rFonts w:ascii="Times New Roman" w:eastAsia="Times New Roman" w:hAnsi="Times New Roman" w:cs="Times New Roman"/>
          <w:sz w:val="26"/>
          <w:szCs w:val="20"/>
          <w:lang w:eastAsia="hu-HU"/>
        </w:rPr>
        <w:t>jogcímen a 2025. év első nyolc hónapjában 717,1</w:t>
      </w:r>
      <w:r w:rsidR="00E03905">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milliárd forint realizálódott, amely az előző év egyenlegétől 27,2</w:t>
      </w:r>
      <w:r w:rsidR="00E03905">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milliárd forinttal maradt el. A</w:t>
      </w:r>
      <w:r w:rsidR="00A01BFF">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bázisévhez viszonyítva az eltérést az előlegfizetések előző évinél alacsonyabb szintje magyarázza, amelyet az egyéb kiutalások rontanak.</w:t>
      </w:r>
    </w:p>
    <w:p w14:paraId="01DDC9E3" w14:textId="79B4E21D" w:rsidR="00980E56" w:rsidRPr="00980E56" w:rsidRDefault="00980E56" w:rsidP="003D4300">
      <w:pPr>
        <w:jc w:val="both"/>
        <w:rPr>
          <w:rFonts w:ascii="Times New Roman" w:eastAsia="Times New Roman" w:hAnsi="Times New Roman" w:cs="Times New Roman"/>
          <w:sz w:val="26"/>
          <w:szCs w:val="20"/>
          <w:lang w:eastAsia="hu-HU"/>
        </w:rPr>
      </w:pPr>
      <w:r w:rsidRPr="00980E56">
        <w:rPr>
          <w:rFonts w:ascii="Times New Roman" w:eastAsia="Times New Roman" w:hAnsi="Times New Roman" w:cs="Times New Roman"/>
          <w:bCs/>
          <w:sz w:val="26"/>
          <w:szCs w:val="20"/>
          <w:lang w:eastAsia="hu-HU"/>
        </w:rPr>
        <w:t>A</w:t>
      </w:r>
      <w:r w:rsidRPr="00980E56">
        <w:rPr>
          <w:rFonts w:ascii="Times New Roman" w:eastAsia="Times New Roman" w:hAnsi="Times New Roman" w:cs="Times New Roman"/>
          <w:b/>
          <w:bCs/>
          <w:sz w:val="26"/>
          <w:szCs w:val="20"/>
          <w:lang w:eastAsia="hu-HU"/>
        </w:rPr>
        <w:t xml:space="preserve"> pénzügyi szervezetek befizetései</w:t>
      </w:r>
      <w:r w:rsidRPr="00980E56">
        <w:rPr>
          <w:rFonts w:ascii="Times New Roman" w:eastAsia="Times New Roman" w:hAnsi="Times New Roman" w:cs="Times New Roman"/>
          <w:sz w:val="26"/>
          <w:szCs w:val="20"/>
          <w:lang w:eastAsia="hu-HU"/>
        </w:rPr>
        <w:t xml:space="preserve"> mérlegsoron a 2025. év első nyolc hónapjában 218,8 milliárd forint teljesült, amely az előző év egyenlegét 43,9 milliárd forinttal haladja meg. Ennek oka az előírt magasabb előlegkötelezettségek a pénzügyi szervezetek különadója esetén</w:t>
      </w:r>
      <w:r w:rsidR="00837F7C">
        <w:rPr>
          <w:rFonts w:ascii="Times New Roman" w:eastAsia="Times New Roman" w:hAnsi="Times New Roman" w:cs="Times New Roman"/>
          <w:sz w:val="26"/>
          <w:szCs w:val="20"/>
          <w:lang w:eastAsia="hu-HU"/>
        </w:rPr>
        <w:t>, valamint</w:t>
      </w:r>
      <w:r w:rsidRPr="00980E56">
        <w:rPr>
          <w:rFonts w:ascii="Times New Roman" w:eastAsia="Times New Roman" w:hAnsi="Times New Roman" w:cs="Times New Roman"/>
          <w:sz w:val="26"/>
          <w:szCs w:val="20"/>
          <w:lang w:eastAsia="hu-HU"/>
        </w:rPr>
        <w:t xml:space="preserve"> a magasabb előírt hitelintézeti extraprofitadó bevétel.</w:t>
      </w:r>
    </w:p>
    <w:p w14:paraId="3496B7B2" w14:textId="77777777" w:rsidR="00980E56" w:rsidRPr="00980E56" w:rsidRDefault="00980E56" w:rsidP="003D4300">
      <w:pPr>
        <w:jc w:val="both"/>
        <w:rPr>
          <w:rFonts w:ascii="Times New Roman" w:eastAsia="Times New Roman" w:hAnsi="Times New Roman" w:cs="Times New Roman"/>
          <w:sz w:val="26"/>
          <w:szCs w:val="20"/>
          <w:lang w:eastAsia="hu-HU"/>
        </w:rPr>
      </w:pPr>
      <w:r w:rsidRPr="00980E56">
        <w:rPr>
          <w:rFonts w:ascii="Times New Roman" w:eastAsia="Times New Roman" w:hAnsi="Times New Roman" w:cs="Times New Roman"/>
          <w:bCs/>
          <w:sz w:val="26"/>
          <w:szCs w:val="20"/>
          <w:lang w:eastAsia="hu-HU"/>
        </w:rPr>
        <w:t>A</w:t>
      </w:r>
      <w:r w:rsidRPr="00980E56">
        <w:rPr>
          <w:rFonts w:ascii="Times New Roman" w:eastAsia="Times New Roman" w:hAnsi="Times New Roman" w:cs="Times New Roman"/>
          <w:b/>
          <w:bCs/>
          <w:sz w:val="26"/>
          <w:szCs w:val="20"/>
          <w:lang w:eastAsia="hu-HU"/>
        </w:rPr>
        <w:t xml:space="preserve"> kisadózók tételes adójából</w:t>
      </w:r>
      <w:r w:rsidRPr="00980E56">
        <w:rPr>
          <w:rFonts w:ascii="Times New Roman" w:eastAsia="Times New Roman" w:hAnsi="Times New Roman" w:cs="Times New Roman"/>
          <w:sz w:val="26"/>
          <w:szCs w:val="20"/>
          <w:lang w:eastAsia="hu-HU"/>
        </w:rPr>
        <w:t xml:space="preserve"> 2025 első nyolc hónapjában a költségvetésnek 46,7 milliárd forint bevétele keletkezett, amely 2,2 milliárd forinttal több az egy évvel korábbinál. Ennek oka az adónemet választók magasabb létszáma.</w:t>
      </w:r>
    </w:p>
    <w:p w14:paraId="2B763A6A" w14:textId="418B8728" w:rsidR="006A6F7F" w:rsidRPr="002A41A8" w:rsidRDefault="00980E56" w:rsidP="003D4300">
      <w:pPr>
        <w:jc w:val="both"/>
        <w:rPr>
          <w:rFonts w:ascii="Times New Roman" w:eastAsia="Times New Roman" w:hAnsi="Times New Roman" w:cs="Times New Roman"/>
          <w:sz w:val="26"/>
          <w:szCs w:val="26"/>
          <w:highlight w:val="yellow"/>
          <w:lang w:eastAsia="hu-HU"/>
        </w:rPr>
      </w:pPr>
      <w:r w:rsidRPr="00980E56">
        <w:rPr>
          <w:rFonts w:ascii="Times New Roman" w:eastAsia="Times New Roman" w:hAnsi="Times New Roman" w:cs="Times New Roman"/>
          <w:bCs/>
          <w:sz w:val="26"/>
          <w:szCs w:val="20"/>
          <w:lang w:eastAsia="hu-HU"/>
        </w:rPr>
        <w:t>A</w:t>
      </w:r>
      <w:r w:rsidRPr="00980E56">
        <w:rPr>
          <w:rFonts w:ascii="Times New Roman" w:eastAsia="Times New Roman" w:hAnsi="Times New Roman" w:cs="Times New Roman"/>
          <w:b/>
          <w:bCs/>
          <w:sz w:val="26"/>
          <w:szCs w:val="20"/>
          <w:lang w:eastAsia="hu-HU"/>
        </w:rPr>
        <w:t xml:space="preserve"> kisvállalati adóból</w:t>
      </w:r>
      <w:r w:rsidRPr="00980E56">
        <w:rPr>
          <w:rFonts w:ascii="Times New Roman" w:eastAsia="Times New Roman" w:hAnsi="Times New Roman" w:cs="Times New Roman"/>
          <w:sz w:val="26"/>
          <w:szCs w:val="20"/>
          <w:lang w:eastAsia="hu-HU"/>
        </w:rPr>
        <w:t xml:space="preserve"> származó bevétel a 2025. év első nyolc hónapjában 181,0 milliárd forint</w:t>
      </w:r>
      <w:r w:rsidR="00837F7C">
        <w:rPr>
          <w:rFonts w:ascii="Times New Roman" w:eastAsia="Times New Roman" w:hAnsi="Times New Roman" w:cs="Times New Roman"/>
          <w:sz w:val="26"/>
          <w:szCs w:val="20"/>
          <w:lang w:eastAsia="hu-HU"/>
        </w:rPr>
        <w:t xml:space="preserve"> </w:t>
      </w:r>
      <w:r w:rsidRPr="00980E56">
        <w:rPr>
          <w:rFonts w:ascii="Times New Roman" w:eastAsia="Times New Roman" w:hAnsi="Times New Roman" w:cs="Times New Roman"/>
          <w:sz w:val="26"/>
          <w:szCs w:val="20"/>
          <w:lang w:eastAsia="hu-HU"/>
        </w:rPr>
        <w:t>volt, amely 20,8</w:t>
      </w:r>
      <w:r w:rsidR="00837F7C">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milliárd forinttal magasabb az előző év egyenlegénél. Ennek oka az adóalanyok számának jelentős mértékű bővülése.</w:t>
      </w:r>
      <w:r w:rsidR="00837F7C">
        <w:rPr>
          <w:rFonts w:ascii="Times New Roman" w:eastAsia="Times New Roman" w:hAnsi="Times New Roman" w:cs="Times New Roman"/>
          <w:sz w:val="26"/>
          <w:szCs w:val="20"/>
          <w:lang w:eastAsia="hu-HU"/>
        </w:rPr>
        <w:t xml:space="preserve"> </w:t>
      </w:r>
      <w:r w:rsidRPr="00980E56">
        <w:rPr>
          <w:rFonts w:ascii="Times New Roman" w:eastAsia="Times New Roman" w:hAnsi="Times New Roman" w:cs="Times New Roman"/>
          <w:sz w:val="26"/>
          <w:szCs w:val="20"/>
          <w:lang w:eastAsia="hu-HU"/>
        </w:rPr>
        <w:t>2025</w:t>
      </w:r>
      <w:r w:rsidR="00837F7C">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augusztus</w:t>
      </w:r>
      <w:r w:rsidR="00837F7C">
        <w:rPr>
          <w:rFonts w:ascii="Times New Roman" w:eastAsia="Times New Roman" w:hAnsi="Times New Roman" w:cs="Times New Roman"/>
          <w:sz w:val="26"/>
          <w:szCs w:val="20"/>
          <w:lang w:eastAsia="hu-HU"/>
        </w:rPr>
        <w:t>á</w:t>
      </w:r>
      <w:r w:rsidRPr="00980E56">
        <w:rPr>
          <w:rFonts w:ascii="Times New Roman" w:eastAsia="Times New Roman" w:hAnsi="Times New Roman" w:cs="Times New Roman"/>
          <w:sz w:val="26"/>
          <w:szCs w:val="20"/>
          <w:lang w:eastAsia="hu-HU"/>
        </w:rPr>
        <w:t>ban a KIVA alanyok száma 99,0 ezer</w:t>
      </w:r>
      <w:r w:rsidR="00837F7C">
        <w:rPr>
          <w:rFonts w:ascii="Times New Roman" w:eastAsia="Times New Roman" w:hAnsi="Times New Roman" w:cs="Times New Roman"/>
          <w:sz w:val="26"/>
          <w:szCs w:val="20"/>
          <w:lang w:eastAsia="hu-HU"/>
        </w:rPr>
        <w:t xml:space="preserve"> volt</w:t>
      </w:r>
      <w:r w:rsidR="7C285CBA" w:rsidRPr="7C285CBA">
        <w:rPr>
          <w:rFonts w:ascii="Times New Roman" w:eastAsia="Times New Roman" w:hAnsi="Times New Roman" w:cs="Times New Roman"/>
          <w:sz w:val="26"/>
          <w:szCs w:val="26"/>
          <w:lang w:eastAsia="hu-HU"/>
        </w:rPr>
        <w:t>.</w:t>
      </w:r>
    </w:p>
    <w:p w14:paraId="05A0FCFD" w14:textId="0C770BF9" w:rsidR="00640595" w:rsidRDefault="7C285CBA" w:rsidP="003D4300">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bányajáradék-bevétel</w:t>
      </w:r>
      <w:r w:rsidRPr="7C285CBA">
        <w:rPr>
          <w:rFonts w:ascii="Times New Roman" w:eastAsia="Times New Roman" w:hAnsi="Times New Roman" w:cs="Times New Roman"/>
          <w:sz w:val="26"/>
          <w:szCs w:val="26"/>
        </w:rPr>
        <w:t xml:space="preserve"> 2025 első nyolc hónapjában 79,4 milliárd forint volt, amely 1,7 milliárd forinttal teljesült magasabban az előző év azonos időszakához képest, amelynek fő oka a számítási szabályok év eleji kisebb változása és a bányajáradék számításához kapcsolódó </w:t>
      </w:r>
      <w:proofErr w:type="spellStart"/>
      <w:r w:rsidRPr="7C285CBA">
        <w:rPr>
          <w:rFonts w:ascii="Times New Roman" w:eastAsia="Times New Roman" w:hAnsi="Times New Roman" w:cs="Times New Roman"/>
          <w:sz w:val="26"/>
          <w:szCs w:val="26"/>
        </w:rPr>
        <w:t>makroparaméterek</w:t>
      </w:r>
      <w:proofErr w:type="spellEnd"/>
      <w:r w:rsidRPr="7C285CBA">
        <w:rPr>
          <w:rFonts w:ascii="Times New Roman" w:eastAsia="Times New Roman" w:hAnsi="Times New Roman" w:cs="Times New Roman"/>
          <w:sz w:val="26"/>
          <w:szCs w:val="26"/>
        </w:rPr>
        <w:t xml:space="preserve"> (olajár, </w:t>
      </w:r>
      <w:proofErr w:type="spellStart"/>
      <w:r w:rsidRPr="7C285CBA">
        <w:rPr>
          <w:rFonts w:ascii="Times New Roman" w:eastAsia="Times New Roman" w:hAnsi="Times New Roman" w:cs="Times New Roman"/>
          <w:sz w:val="26"/>
          <w:szCs w:val="26"/>
        </w:rPr>
        <w:t>gázár</w:t>
      </w:r>
      <w:proofErr w:type="spellEnd"/>
      <w:r w:rsidRPr="7C285CBA">
        <w:rPr>
          <w:rFonts w:ascii="Times New Roman" w:eastAsia="Times New Roman" w:hAnsi="Times New Roman" w:cs="Times New Roman"/>
          <w:sz w:val="26"/>
          <w:szCs w:val="26"/>
        </w:rPr>
        <w:t>, árfolyamok) alakulásának együttes eredője.</w:t>
      </w:r>
    </w:p>
    <w:p w14:paraId="5322C39E" w14:textId="2F5E4401" w:rsidR="72AFD5C4" w:rsidRPr="00377D59" w:rsidRDefault="7C285CBA" w:rsidP="003D4300">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lastRenderedPageBreak/>
        <w:t xml:space="preserve">Az </w:t>
      </w:r>
      <w:r w:rsidRPr="7C285CBA">
        <w:rPr>
          <w:rFonts w:ascii="Times New Roman" w:eastAsia="Times New Roman" w:hAnsi="Times New Roman" w:cs="Times New Roman"/>
          <w:b/>
          <w:bCs/>
          <w:sz w:val="26"/>
          <w:szCs w:val="26"/>
        </w:rPr>
        <w:t>útdíjakból származó bevétel</w:t>
      </w:r>
      <w:r w:rsidRPr="7C285CBA">
        <w:rPr>
          <w:rFonts w:ascii="Times New Roman" w:eastAsia="Times New Roman" w:hAnsi="Times New Roman" w:cs="Times New Roman"/>
          <w:sz w:val="26"/>
          <w:szCs w:val="26"/>
        </w:rPr>
        <w:t xml:space="preserve"> 2024-től külön mérlegsoron jelenik meg, mely az elektronikus útdíj rendszer és az időalapú útdíj rendszer bevételeinek együttes összegét tartalmazza. Az útdíjakból 2025 augusztusáig 419,2 milliárd forint költségvetési bevétel teljesült ezen a mérlegsoron, amely 20,1 milliárd forinttal magasabb az előző év azonos időszakához viszonyítva. A magasabb teljesülést alapvetően a forgalmi viszonyok, valamint a díjrendszereket érintő jogszabályi keretek változása okozza.</w:t>
      </w:r>
    </w:p>
    <w:p w14:paraId="685BE235" w14:textId="504CE7BC" w:rsidR="008A66DB" w:rsidRDefault="7C285CBA" w:rsidP="003D4300">
      <w:pPr>
        <w:jc w:val="both"/>
        <w:rPr>
          <w:rFonts w:ascii="Times New Roman" w:eastAsia="Times New Roman" w:hAnsi="Times New Roman" w:cs="Times New Roman"/>
          <w:sz w:val="26"/>
          <w:szCs w:val="26"/>
        </w:rPr>
      </w:pPr>
      <w:r w:rsidRPr="7C285CBA">
        <w:rPr>
          <w:rFonts w:ascii="Times New Roman" w:eastAsia="Times New Roman" w:hAnsi="Times New Roman" w:cs="Times New Roman"/>
          <w:b/>
          <w:bCs/>
          <w:sz w:val="26"/>
          <w:szCs w:val="26"/>
        </w:rPr>
        <w:t xml:space="preserve">Egyéb központosított bevételekből </w:t>
      </w:r>
      <w:r w:rsidRPr="7C285CBA">
        <w:rPr>
          <w:rFonts w:ascii="Times New Roman" w:eastAsia="Times New Roman" w:hAnsi="Times New Roman" w:cs="Times New Roman"/>
          <w:sz w:val="26"/>
          <w:szCs w:val="26"/>
        </w:rPr>
        <w:t xml:space="preserve">az év első nyolc hónapjában 127,2 milliárd forint bevétel teljesült, amely a törvényi előirányzat 70,0%-ának felel meg. Ezen belül kiemelkedő a </w:t>
      </w:r>
      <w:r w:rsidRPr="00224466">
        <w:rPr>
          <w:rFonts w:ascii="Times New Roman" w:eastAsia="Times New Roman" w:hAnsi="Times New Roman" w:cs="Times New Roman"/>
          <w:sz w:val="26"/>
          <w:szCs w:val="26"/>
        </w:rPr>
        <w:t>bírságbevételekből befolyt 65,9 milliárd forint.</w:t>
      </w:r>
    </w:p>
    <w:p w14:paraId="7F98E272" w14:textId="6A38328E" w:rsidR="00980E56" w:rsidRPr="00980E56" w:rsidRDefault="00980E56" w:rsidP="003D4300">
      <w:pPr>
        <w:jc w:val="both"/>
        <w:rPr>
          <w:rFonts w:ascii="Times New Roman" w:eastAsia="Times New Roman" w:hAnsi="Times New Roman" w:cs="Times New Roman"/>
          <w:b/>
          <w:sz w:val="26"/>
          <w:szCs w:val="20"/>
          <w:lang w:eastAsia="hu-HU"/>
        </w:rPr>
      </w:pPr>
      <w:r w:rsidRPr="00980E56">
        <w:rPr>
          <w:rFonts w:ascii="Times New Roman" w:eastAsia="Times New Roman" w:hAnsi="Times New Roman" w:cs="Times New Roman"/>
          <w:sz w:val="26"/>
          <w:szCs w:val="20"/>
          <w:lang w:eastAsia="hu-HU"/>
        </w:rPr>
        <w:t>Az</w:t>
      </w:r>
      <w:r w:rsidRPr="00980E56">
        <w:rPr>
          <w:rFonts w:ascii="Times New Roman" w:eastAsia="Times New Roman" w:hAnsi="Times New Roman" w:cs="Times New Roman"/>
          <w:b/>
          <w:sz w:val="26"/>
          <w:szCs w:val="20"/>
          <w:lang w:eastAsia="hu-HU"/>
        </w:rPr>
        <w:t xml:space="preserve"> energia ágazat befizetései </w:t>
      </w:r>
      <w:r w:rsidRPr="00980E56">
        <w:rPr>
          <w:rFonts w:ascii="Times New Roman" w:eastAsia="Times New Roman" w:hAnsi="Times New Roman" w:cs="Times New Roman"/>
          <w:sz w:val="26"/>
          <w:szCs w:val="20"/>
          <w:lang w:eastAsia="hu-HU"/>
        </w:rPr>
        <w:t xml:space="preserve">jogcímen </w:t>
      </w:r>
      <w:r w:rsidR="00A01BFF">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sz w:val="26"/>
          <w:szCs w:val="20"/>
          <w:lang w:eastAsia="hu-HU"/>
        </w:rPr>
        <w:t>2025. év első nyolc hónapjában 175,2 milliárd forint pénzforgalom teljesült, amely az előző év egyenlegétől 28,1 milliárd forinttal maradt el. A bázisévhez viszonyított eltérés oka az Ural-</w:t>
      </w:r>
      <w:proofErr w:type="spellStart"/>
      <w:r w:rsidRPr="00980E56">
        <w:rPr>
          <w:rFonts w:ascii="Times New Roman" w:eastAsia="Times New Roman" w:hAnsi="Times New Roman" w:cs="Times New Roman"/>
          <w:sz w:val="26"/>
          <w:szCs w:val="20"/>
          <w:lang w:eastAsia="hu-HU"/>
        </w:rPr>
        <w:t>Brent</w:t>
      </w:r>
      <w:proofErr w:type="spellEnd"/>
      <w:r w:rsidRPr="00980E56">
        <w:rPr>
          <w:rFonts w:ascii="Times New Roman" w:eastAsia="Times New Roman" w:hAnsi="Times New Roman" w:cs="Times New Roman"/>
          <w:sz w:val="26"/>
          <w:szCs w:val="20"/>
          <w:lang w:eastAsia="hu-HU"/>
        </w:rPr>
        <w:t xml:space="preserve"> </w:t>
      </w:r>
      <w:proofErr w:type="spellStart"/>
      <w:r w:rsidRPr="00980E56">
        <w:rPr>
          <w:rFonts w:ascii="Times New Roman" w:eastAsia="Times New Roman" w:hAnsi="Times New Roman" w:cs="Times New Roman"/>
          <w:sz w:val="26"/>
          <w:szCs w:val="20"/>
          <w:lang w:eastAsia="hu-HU"/>
        </w:rPr>
        <w:t>spread</w:t>
      </w:r>
      <w:proofErr w:type="spellEnd"/>
      <w:r w:rsidRPr="00980E56">
        <w:rPr>
          <w:rFonts w:ascii="Times New Roman" w:eastAsia="Times New Roman" w:hAnsi="Times New Roman" w:cs="Times New Roman"/>
          <w:sz w:val="26"/>
          <w:szCs w:val="20"/>
          <w:lang w:eastAsia="hu-HU"/>
        </w:rPr>
        <w:t xml:space="preserve"> különadó </w:t>
      </w:r>
      <w:r w:rsidR="00A01BFF" w:rsidRPr="00A01BFF">
        <w:rPr>
          <w:rFonts w:ascii="Times New Roman" w:eastAsia="Times New Roman" w:hAnsi="Times New Roman" w:cs="Times New Roman"/>
          <w:sz w:val="26"/>
          <w:szCs w:val="20"/>
          <w:lang w:eastAsia="hu-HU"/>
        </w:rPr>
        <w:t xml:space="preserve">alacsonyabb mértékű teljesüléséhez </w:t>
      </w:r>
      <w:r w:rsidRPr="00980E56">
        <w:rPr>
          <w:rFonts w:ascii="Times New Roman" w:eastAsia="Times New Roman" w:hAnsi="Times New Roman" w:cs="Times New Roman"/>
          <w:sz w:val="26"/>
          <w:szCs w:val="20"/>
          <w:lang w:eastAsia="hu-HU"/>
        </w:rPr>
        <w:t>köthető.</w:t>
      </w:r>
    </w:p>
    <w:p w14:paraId="273422C5" w14:textId="7C86B666" w:rsidR="00980E56" w:rsidRPr="00980E56" w:rsidRDefault="00980E56" w:rsidP="003D4300">
      <w:pPr>
        <w:jc w:val="both"/>
        <w:rPr>
          <w:rFonts w:ascii="Times New Roman" w:eastAsia="Times New Roman" w:hAnsi="Times New Roman" w:cs="Times New Roman"/>
          <w:sz w:val="26"/>
          <w:szCs w:val="20"/>
          <w:highlight w:val="yellow"/>
          <w:lang w:eastAsia="hu-HU"/>
        </w:rPr>
      </w:pPr>
      <w:r w:rsidRPr="00980E56">
        <w:rPr>
          <w:rFonts w:ascii="Times New Roman" w:eastAsia="Times New Roman" w:hAnsi="Times New Roman" w:cs="Times New Roman"/>
          <w:b/>
          <w:sz w:val="26"/>
          <w:szCs w:val="20"/>
          <w:lang w:eastAsia="hu-HU"/>
        </w:rPr>
        <w:t>K</w:t>
      </w:r>
      <w:r w:rsidRPr="00980E56">
        <w:rPr>
          <w:rFonts w:ascii="Times New Roman" w:eastAsia="Times New Roman" w:hAnsi="Times New Roman" w:cs="Times New Roman"/>
          <w:b/>
          <w:bCs/>
          <w:sz w:val="26"/>
          <w:szCs w:val="20"/>
          <w:lang w:eastAsia="hu-HU"/>
        </w:rPr>
        <w:t xml:space="preserve">iskereskedelmi adó </w:t>
      </w:r>
      <w:r w:rsidRPr="00980E56">
        <w:rPr>
          <w:rFonts w:ascii="Times New Roman" w:eastAsia="Times New Roman" w:hAnsi="Times New Roman" w:cs="Times New Roman"/>
          <w:sz w:val="26"/>
          <w:szCs w:val="20"/>
          <w:lang w:eastAsia="hu-HU"/>
        </w:rPr>
        <w:t>jogcímen a 2025. év első nyolc hónapjában 117,5 milliárd forint bevétel teljesült, amely a 2024. évi egyenlegénél 4,2 milliárd forinttal magasabb. A</w:t>
      </w:r>
      <w:r w:rsidR="00A01BFF">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bevételek alakulásának hátterében a júliusi első előlegfizetés, valamint az</w:t>
      </w:r>
      <w:r w:rsidR="00A01BFF">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elszámolásokhoz köthető befizetések állnak.</w:t>
      </w:r>
    </w:p>
    <w:p w14:paraId="1626984A" w14:textId="258529C4" w:rsidR="00980E56" w:rsidRPr="00980E56" w:rsidRDefault="00980E56" w:rsidP="003D4300">
      <w:pPr>
        <w:jc w:val="both"/>
        <w:rPr>
          <w:rFonts w:ascii="Times New Roman" w:eastAsia="Times New Roman" w:hAnsi="Times New Roman" w:cs="Times New Roman"/>
          <w:b/>
          <w:sz w:val="26"/>
          <w:szCs w:val="20"/>
          <w:lang w:eastAsia="hu-HU"/>
        </w:rPr>
      </w:pPr>
      <w:r w:rsidRPr="00980E56">
        <w:rPr>
          <w:rFonts w:ascii="Times New Roman" w:eastAsia="Times New Roman" w:hAnsi="Times New Roman" w:cs="Times New Roman"/>
          <w:b/>
          <w:sz w:val="26"/>
          <w:szCs w:val="20"/>
          <w:lang w:eastAsia="hu-HU"/>
        </w:rPr>
        <w:t xml:space="preserve">Gyógyszergyártói adó </w:t>
      </w:r>
      <w:r w:rsidRPr="00980E56">
        <w:rPr>
          <w:rFonts w:ascii="Times New Roman" w:eastAsia="Times New Roman" w:hAnsi="Times New Roman" w:cs="Times New Roman"/>
          <w:sz w:val="26"/>
          <w:szCs w:val="20"/>
          <w:lang w:eastAsia="hu-HU"/>
        </w:rPr>
        <w:t xml:space="preserve">jogcímen </w:t>
      </w:r>
      <w:r w:rsidR="00A01BFF">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sz w:val="26"/>
          <w:szCs w:val="20"/>
          <w:lang w:eastAsia="hu-HU"/>
        </w:rPr>
        <w:t xml:space="preserve">2025. év első nyolc hónapjában 0,4 milliárd forint pénzforgalom teljesült, amely 16,3 milliárd forinttal maradt el az előző év azonos időszakához képest. Ennek oka, hogy az eltérő üzleti éves adózói kör már az előző évben megfizette a 2024. évi adókötelezettségét. Az adónem </w:t>
      </w:r>
      <w:r w:rsidR="00A01BFF">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sz w:val="26"/>
          <w:szCs w:val="20"/>
          <w:lang w:eastAsia="hu-HU"/>
        </w:rPr>
        <w:t>2025. évben megszűnt.</w:t>
      </w:r>
    </w:p>
    <w:p w14:paraId="61AD159D" w14:textId="77777777" w:rsidR="00980E56" w:rsidRPr="00980E56" w:rsidRDefault="00980E56" w:rsidP="003D4300">
      <w:pPr>
        <w:widowControl w:val="0"/>
        <w:jc w:val="both"/>
        <w:rPr>
          <w:rFonts w:ascii="Times New Roman" w:eastAsia="Times New Roman" w:hAnsi="Times New Roman" w:cs="Times New Roman"/>
          <w:sz w:val="26"/>
          <w:szCs w:val="20"/>
          <w:lang w:eastAsia="hu-HU"/>
        </w:rPr>
      </w:pPr>
      <w:r w:rsidRPr="00980E56">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b/>
          <w:bCs/>
          <w:sz w:val="26"/>
          <w:szCs w:val="20"/>
          <w:lang w:eastAsia="hu-HU"/>
        </w:rPr>
        <w:t xml:space="preserve">rehabilitációs hozzájárulásból </w:t>
      </w:r>
      <w:r w:rsidRPr="00980E56">
        <w:rPr>
          <w:rFonts w:ascii="Times New Roman" w:eastAsia="Times New Roman" w:hAnsi="Times New Roman" w:cs="Times New Roman"/>
          <w:bCs/>
          <w:sz w:val="26"/>
          <w:szCs w:val="20"/>
          <w:lang w:eastAsia="hu-HU"/>
        </w:rPr>
        <w:t>származó bevétel az év első nyolc hónapjában</w:t>
      </w:r>
      <w:r w:rsidRPr="00980E56">
        <w:rPr>
          <w:rFonts w:ascii="Times New Roman" w:eastAsia="Times New Roman" w:hAnsi="Times New Roman" w:cs="Times New Roman"/>
          <w:sz w:val="26"/>
          <w:szCs w:val="20"/>
          <w:lang w:eastAsia="hu-HU"/>
        </w:rPr>
        <w:t xml:space="preserve"> 147,7 milliárd forint volt, amely 12,8 milliárd forinttal magasabb az egy évvel korábbi összegnél. Ennek oka a minimálbérnek, így az adó mértékének az emelkedése.</w:t>
      </w:r>
    </w:p>
    <w:p w14:paraId="54046E48" w14:textId="04F9750A" w:rsidR="006330AD" w:rsidRDefault="00980E56" w:rsidP="003D4300">
      <w:pPr>
        <w:widowControl w:val="0"/>
        <w:tabs>
          <w:tab w:val="left" w:pos="3105"/>
        </w:tabs>
        <w:jc w:val="both"/>
        <w:rPr>
          <w:rFonts w:ascii="Times New Roman" w:eastAsia="Times New Roman" w:hAnsi="Times New Roman" w:cs="Times New Roman"/>
          <w:sz w:val="26"/>
          <w:szCs w:val="26"/>
          <w:lang w:eastAsia="hu-HU"/>
        </w:rPr>
      </w:pPr>
      <w:r w:rsidRPr="00980E56">
        <w:rPr>
          <w:rFonts w:ascii="Times New Roman" w:eastAsia="Times New Roman" w:hAnsi="Times New Roman" w:cs="Times New Roman"/>
          <w:sz w:val="26"/>
          <w:szCs w:val="20"/>
          <w:lang w:eastAsia="hu-HU"/>
        </w:rPr>
        <w:t>A</w:t>
      </w:r>
      <w:r w:rsidR="0019060B">
        <w:rPr>
          <w:rFonts w:ascii="Times New Roman" w:eastAsia="Times New Roman" w:hAnsi="Times New Roman" w:cs="Times New Roman"/>
          <w:sz w:val="26"/>
          <w:szCs w:val="20"/>
          <w:lang w:eastAsia="hu-HU"/>
        </w:rPr>
        <w:t xml:space="preserve">z </w:t>
      </w:r>
      <w:r w:rsidRPr="00980E56">
        <w:rPr>
          <w:rFonts w:ascii="Times New Roman" w:eastAsia="Times New Roman" w:hAnsi="Times New Roman" w:cs="Times New Roman"/>
          <w:sz w:val="26"/>
          <w:szCs w:val="20"/>
          <w:lang w:eastAsia="hu-HU"/>
        </w:rPr>
        <w:t xml:space="preserve">év első nyolc hónapjában az </w:t>
      </w:r>
      <w:r w:rsidRPr="00980E56">
        <w:rPr>
          <w:rFonts w:ascii="Times New Roman" w:eastAsia="Times New Roman" w:hAnsi="Times New Roman" w:cs="Times New Roman"/>
          <w:b/>
          <w:bCs/>
          <w:sz w:val="26"/>
          <w:szCs w:val="20"/>
          <w:lang w:eastAsia="hu-HU"/>
        </w:rPr>
        <w:t>általános forgalmi adóból</w:t>
      </w:r>
      <w:r w:rsidRPr="00980E56">
        <w:rPr>
          <w:rFonts w:ascii="Times New Roman" w:eastAsia="Times New Roman" w:hAnsi="Times New Roman" w:cs="Times New Roman"/>
          <w:sz w:val="26"/>
          <w:szCs w:val="20"/>
          <w:lang w:eastAsia="hu-HU"/>
        </w:rPr>
        <w:t xml:space="preserve"> 5370,1</w:t>
      </w:r>
      <w:r w:rsidRPr="00980E56">
        <w:rPr>
          <w:rFonts w:ascii="Times New Roman" w:eastAsia="Times New Roman" w:hAnsi="Times New Roman" w:cs="Times New Roman"/>
          <w:color w:val="000000"/>
          <w:sz w:val="26"/>
          <w:szCs w:val="20"/>
          <w:lang w:eastAsia="hu-HU"/>
        </w:rPr>
        <w:t> </w:t>
      </w:r>
      <w:r w:rsidRPr="00980E56">
        <w:rPr>
          <w:rFonts w:ascii="Times New Roman" w:eastAsia="Times New Roman" w:hAnsi="Times New Roman" w:cs="Times New Roman"/>
          <w:sz w:val="26"/>
          <w:szCs w:val="20"/>
          <w:lang w:eastAsia="hu-HU"/>
        </w:rPr>
        <w:t>milliárd forint bevétele keletkezett a költségvetésnek, ami az egy évvel korábbi bevételt 615,2</w:t>
      </w:r>
      <w:r w:rsidRPr="00980E56">
        <w:rPr>
          <w:rFonts w:ascii="Times New Roman" w:eastAsia="Times New Roman" w:hAnsi="Times New Roman" w:cs="Times New Roman"/>
          <w:color w:val="000000"/>
          <w:sz w:val="26"/>
          <w:szCs w:val="20"/>
          <w:lang w:eastAsia="hu-HU"/>
        </w:rPr>
        <w:t> </w:t>
      </w:r>
      <w:r w:rsidRPr="00980E56">
        <w:rPr>
          <w:rFonts w:ascii="Times New Roman" w:eastAsia="Times New Roman" w:hAnsi="Times New Roman" w:cs="Times New Roman"/>
          <w:sz w:val="26"/>
          <w:szCs w:val="20"/>
          <w:lang w:eastAsia="hu-HU"/>
        </w:rPr>
        <w:t>milliárd forinttal haladja meg</w:t>
      </w:r>
      <w:r w:rsidR="7C285CBA" w:rsidRPr="7C285CBA">
        <w:rPr>
          <w:rFonts w:ascii="Times New Roman" w:eastAsia="Times New Roman" w:hAnsi="Times New Roman" w:cs="Times New Roman"/>
          <w:sz w:val="26"/>
          <w:szCs w:val="26"/>
          <w:lang w:eastAsia="hu-HU"/>
        </w:rPr>
        <w:t>.</w:t>
      </w:r>
    </w:p>
    <w:tbl>
      <w:tblPr>
        <w:tblW w:w="6905" w:type="dxa"/>
        <w:jc w:val="center"/>
        <w:tblCellMar>
          <w:left w:w="70" w:type="dxa"/>
          <w:right w:w="70" w:type="dxa"/>
        </w:tblCellMar>
        <w:tblLook w:val="04A0" w:firstRow="1" w:lastRow="0" w:firstColumn="1" w:lastColumn="0" w:noHBand="0" w:noVBand="1"/>
      </w:tblPr>
      <w:tblGrid>
        <w:gridCol w:w="1537"/>
        <w:gridCol w:w="1724"/>
        <w:gridCol w:w="1700"/>
        <w:gridCol w:w="993"/>
        <w:gridCol w:w="951"/>
      </w:tblGrid>
      <w:tr w:rsidR="00980E56" w:rsidRPr="00980E56" w14:paraId="141925D5" w14:textId="77777777" w:rsidTr="00841821">
        <w:trPr>
          <w:trHeight w:val="255"/>
          <w:jc w:val="center"/>
        </w:trPr>
        <w:tc>
          <w:tcPr>
            <w:tcW w:w="6905" w:type="dxa"/>
            <w:gridSpan w:val="5"/>
            <w:tcBorders>
              <w:top w:val="nil"/>
              <w:left w:val="nil"/>
              <w:bottom w:val="nil"/>
              <w:right w:val="nil"/>
            </w:tcBorders>
            <w:noWrap/>
            <w:vAlign w:val="bottom"/>
            <w:hideMark/>
          </w:tcPr>
          <w:p w14:paraId="32C03E0C" w14:textId="77777777" w:rsidR="00980E56" w:rsidRPr="00980E56" w:rsidRDefault="00980E56" w:rsidP="00980E56">
            <w:pPr>
              <w:widowControl w:val="0"/>
              <w:spacing w:before="120" w:after="12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 xml:space="preserve">Általános forgalmi adó bevétel alakulása (milliárd forint) </w:t>
            </w:r>
          </w:p>
        </w:tc>
      </w:tr>
      <w:tr w:rsidR="00980E56" w:rsidRPr="00980E56" w14:paraId="1CF02021" w14:textId="77777777" w:rsidTr="003D4300">
        <w:trPr>
          <w:trHeight w:val="340"/>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3CD1D32"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Megnevezés</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E5BF37"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2024.</w:t>
            </w:r>
          </w:p>
          <w:p w14:paraId="1EE54F5D" w14:textId="4B1B0110"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I-VIII. hó</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E2266F8"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2025.</w:t>
            </w:r>
          </w:p>
          <w:p w14:paraId="68D51D2B" w14:textId="23BC924D"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I-VIII. hó</w:t>
            </w:r>
          </w:p>
        </w:tc>
        <w:tc>
          <w:tcPr>
            <w:tcW w:w="194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2CCFC19"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Eltérés</w:t>
            </w:r>
          </w:p>
        </w:tc>
      </w:tr>
      <w:tr w:rsidR="00980E56" w:rsidRPr="00980E56" w14:paraId="16B25969" w14:textId="77777777" w:rsidTr="003D4300">
        <w:trPr>
          <w:trHeight w:val="340"/>
          <w:jc w:val="center"/>
        </w:trPr>
        <w:tc>
          <w:tcPr>
            <w:tcW w:w="153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30D4BAF"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p>
        </w:tc>
        <w:tc>
          <w:tcPr>
            <w:tcW w:w="17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1D4D2A"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p>
        </w:tc>
        <w:tc>
          <w:tcPr>
            <w:tcW w:w="170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F26473C"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6A878FC0"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Mrd Ft</w:t>
            </w:r>
          </w:p>
        </w:tc>
        <w:tc>
          <w:tcPr>
            <w:tcW w:w="95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6DA2B979"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w:t>
            </w:r>
          </w:p>
        </w:tc>
      </w:tr>
      <w:tr w:rsidR="00980E56" w:rsidRPr="00980E56" w14:paraId="7330A2C9" w14:textId="77777777" w:rsidTr="00841821">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531CCDC3"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Befizetés</w:t>
            </w:r>
          </w:p>
        </w:tc>
        <w:tc>
          <w:tcPr>
            <w:tcW w:w="1724" w:type="dxa"/>
            <w:tcBorders>
              <w:top w:val="single" w:sz="4" w:space="0" w:color="auto"/>
              <w:left w:val="single" w:sz="4" w:space="0" w:color="auto"/>
              <w:bottom w:val="single" w:sz="4" w:space="0" w:color="auto"/>
              <w:right w:val="single" w:sz="4" w:space="0" w:color="auto"/>
            </w:tcBorders>
            <w:noWrap/>
            <w:vAlign w:val="center"/>
          </w:tcPr>
          <w:p w14:paraId="130E89A9"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8 528,9</w:t>
            </w:r>
          </w:p>
        </w:tc>
        <w:tc>
          <w:tcPr>
            <w:tcW w:w="1700" w:type="dxa"/>
            <w:tcBorders>
              <w:top w:val="single" w:sz="4" w:space="0" w:color="auto"/>
              <w:left w:val="single" w:sz="4" w:space="0" w:color="auto"/>
              <w:bottom w:val="single" w:sz="4" w:space="0" w:color="auto"/>
              <w:right w:val="single" w:sz="4" w:space="0" w:color="auto"/>
            </w:tcBorders>
            <w:noWrap/>
            <w:vAlign w:val="center"/>
          </w:tcPr>
          <w:p w14:paraId="2FC3C760"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9 080,0</w:t>
            </w:r>
          </w:p>
        </w:tc>
        <w:tc>
          <w:tcPr>
            <w:tcW w:w="993" w:type="dxa"/>
            <w:tcBorders>
              <w:top w:val="single" w:sz="4" w:space="0" w:color="auto"/>
              <w:left w:val="single" w:sz="4" w:space="0" w:color="auto"/>
              <w:bottom w:val="single" w:sz="4" w:space="0" w:color="auto"/>
              <w:right w:val="single" w:sz="4" w:space="0" w:color="auto"/>
            </w:tcBorders>
            <w:noWrap/>
            <w:vAlign w:val="center"/>
          </w:tcPr>
          <w:p w14:paraId="04C48372"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551,1</w:t>
            </w:r>
          </w:p>
        </w:tc>
        <w:tc>
          <w:tcPr>
            <w:tcW w:w="951" w:type="dxa"/>
            <w:tcBorders>
              <w:top w:val="single" w:sz="4" w:space="0" w:color="auto"/>
              <w:left w:val="single" w:sz="4" w:space="0" w:color="auto"/>
              <w:bottom w:val="single" w:sz="4" w:space="0" w:color="auto"/>
              <w:right w:val="single" w:sz="4" w:space="0" w:color="auto"/>
            </w:tcBorders>
            <w:noWrap/>
            <w:vAlign w:val="center"/>
          </w:tcPr>
          <w:p w14:paraId="01F37087"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106,5</w:t>
            </w:r>
          </w:p>
        </w:tc>
      </w:tr>
      <w:tr w:rsidR="00980E56" w:rsidRPr="00980E56" w14:paraId="1DF8A279" w14:textId="77777777" w:rsidTr="00841821">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2BE1FE9F"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Kiutalás</w:t>
            </w:r>
          </w:p>
        </w:tc>
        <w:tc>
          <w:tcPr>
            <w:tcW w:w="1724" w:type="dxa"/>
            <w:tcBorders>
              <w:top w:val="single" w:sz="4" w:space="0" w:color="auto"/>
              <w:left w:val="single" w:sz="4" w:space="0" w:color="auto"/>
              <w:bottom w:val="single" w:sz="4" w:space="0" w:color="auto"/>
              <w:right w:val="single" w:sz="4" w:space="0" w:color="auto"/>
            </w:tcBorders>
            <w:noWrap/>
            <w:vAlign w:val="center"/>
          </w:tcPr>
          <w:p w14:paraId="17F1DF13"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3 774,0</w:t>
            </w:r>
          </w:p>
        </w:tc>
        <w:tc>
          <w:tcPr>
            <w:tcW w:w="1700" w:type="dxa"/>
            <w:tcBorders>
              <w:top w:val="single" w:sz="4" w:space="0" w:color="auto"/>
              <w:left w:val="single" w:sz="4" w:space="0" w:color="auto"/>
              <w:bottom w:val="single" w:sz="4" w:space="0" w:color="auto"/>
              <w:right w:val="single" w:sz="4" w:space="0" w:color="auto"/>
            </w:tcBorders>
            <w:noWrap/>
            <w:vAlign w:val="center"/>
          </w:tcPr>
          <w:p w14:paraId="3507900E"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3 709,9</w:t>
            </w:r>
          </w:p>
        </w:tc>
        <w:tc>
          <w:tcPr>
            <w:tcW w:w="993" w:type="dxa"/>
            <w:tcBorders>
              <w:top w:val="single" w:sz="4" w:space="0" w:color="auto"/>
              <w:left w:val="single" w:sz="4" w:space="0" w:color="auto"/>
              <w:bottom w:val="single" w:sz="4" w:space="0" w:color="auto"/>
              <w:right w:val="single" w:sz="4" w:space="0" w:color="auto"/>
            </w:tcBorders>
            <w:noWrap/>
            <w:vAlign w:val="center"/>
          </w:tcPr>
          <w:p w14:paraId="7E2E2CBE"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-64,1</w:t>
            </w:r>
          </w:p>
        </w:tc>
        <w:tc>
          <w:tcPr>
            <w:tcW w:w="951" w:type="dxa"/>
            <w:tcBorders>
              <w:top w:val="single" w:sz="4" w:space="0" w:color="auto"/>
              <w:left w:val="single" w:sz="4" w:space="0" w:color="auto"/>
              <w:bottom w:val="single" w:sz="4" w:space="0" w:color="auto"/>
              <w:right w:val="single" w:sz="4" w:space="0" w:color="auto"/>
            </w:tcBorders>
            <w:noWrap/>
            <w:vAlign w:val="center"/>
          </w:tcPr>
          <w:p w14:paraId="4C77760D" w14:textId="77777777" w:rsidR="00980E56" w:rsidRPr="00980E56" w:rsidRDefault="00980E56" w:rsidP="00980E56">
            <w:pPr>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98,3</w:t>
            </w:r>
          </w:p>
        </w:tc>
      </w:tr>
      <w:tr w:rsidR="00980E56" w:rsidRPr="00980E56" w14:paraId="13BF9FC8" w14:textId="77777777" w:rsidTr="00841821">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667DB5F3"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Egyenleg</w:t>
            </w:r>
          </w:p>
        </w:tc>
        <w:tc>
          <w:tcPr>
            <w:tcW w:w="1724" w:type="dxa"/>
            <w:tcBorders>
              <w:top w:val="single" w:sz="4" w:space="0" w:color="auto"/>
              <w:left w:val="single" w:sz="4" w:space="0" w:color="auto"/>
              <w:bottom w:val="single" w:sz="4" w:space="0" w:color="auto"/>
              <w:right w:val="single" w:sz="4" w:space="0" w:color="auto"/>
            </w:tcBorders>
            <w:noWrap/>
            <w:vAlign w:val="center"/>
          </w:tcPr>
          <w:p w14:paraId="7FBA1BBE" w14:textId="77777777" w:rsidR="00980E56" w:rsidRPr="00980E56" w:rsidRDefault="00980E56" w:rsidP="00980E56">
            <w:pPr>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4 754,9</w:t>
            </w:r>
          </w:p>
        </w:tc>
        <w:tc>
          <w:tcPr>
            <w:tcW w:w="1700" w:type="dxa"/>
            <w:tcBorders>
              <w:top w:val="single" w:sz="4" w:space="0" w:color="auto"/>
              <w:left w:val="single" w:sz="4" w:space="0" w:color="auto"/>
              <w:bottom w:val="single" w:sz="4" w:space="0" w:color="auto"/>
              <w:right w:val="single" w:sz="4" w:space="0" w:color="auto"/>
            </w:tcBorders>
            <w:noWrap/>
            <w:vAlign w:val="center"/>
          </w:tcPr>
          <w:p w14:paraId="21C73A84" w14:textId="77777777" w:rsidR="00980E56" w:rsidRPr="00980E56" w:rsidRDefault="00980E56" w:rsidP="00980E56">
            <w:pPr>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5 370,1</w:t>
            </w:r>
          </w:p>
        </w:tc>
        <w:tc>
          <w:tcPr>
            <w:tcW w:w="993" w:type="dxa"/>
            <w:tcBorders>
              <w:top w:val="single" w:sz="4" w:space="0" w:color="auto"/>
              <w:left w:val="single" w:sz="4" w:space="0" w:color="auto"/>
              <w:bottom w:val="single" w:sz="4" w:space="0" w:color="auto"/>
              <w:right w:val="single" w:sz="4" w:space="0" w:color="auto"/>
            </w:tcBorders>
            <w:noWrap/>
            <w:vAlign w:val="center"/>
          </w:tcPr>
          <w:p w14:paraId="731CA268" w14:textId="77777777" w:rsidR="00980E56" w:rsidRPr="00980E56" w:rsidRDefault="00980E56" w:rsidP="00980E56">
            <w:pPr>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615,2</w:t>
            </w:r>
          </w:p>
        </w:tc>
        <w:tc>
          <w:tcPr>
            <w:tcW w:w="951" w:type="dxa"/>
            <w:tcBorders>
              <w:top w:val="single" w:sz="4" w:space="0" w:color="auto"/>
              <w:left w:val="single" w:sz="4" w:space="0" w:color="auto"/>
              <w:bottom w:val="single" w:sz="4" w:space="0" w:color="auto"/>
              <w:right w:val="single" w:sz="4" w:space="0" w:color="auto"/>
            </w:tcBorders>
            <w:noWrap/>
            <w:vAlign w:val="center"/>
          </w:tcPr>
          <w:p w14:paraId="2C8F626C" w14:textId="77777777" w:rsidR="00980E56" w:rsidRPr="00980E56" w:rsidRDefault="00980E56" w:rsidP="00980E56">
            <w:pPr>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112,9</w:t>
            </w:r>
          </w:p>
        </w:tc>
      </w:tr>
    </w:tbl>
    <w:p w14:paraId="68938D25" w14:textId="77777777" w:rsidR="0019060B" w:rsidRDefault="0019060B" w:rsidP="7C285CBA">
      <w:pPr>
        <w:spacing w:before="240"/>
        <w:jc w:val="both"/>
        <w:rPr>
          <w:rFonts w:ascii="Times New Roman" w:eastAsia="Times New Roman" w:hAnsi="Times New Roman" w:cs="Times New Roman"/>
          <w:sz w:val="26"/>
          <w:szCs w:val="20"/>
          <w:lang w:eastAsia="hu-HU"/>
        </w:rPr>
      </w:pPr>
    </w:p>
    <w:p w14:paraId="7BD8A1E9" w14:textId="710BB109" w:rsidR="002A41A8" w:rsidRDefault="00980E56" w:rsidP="7C285CBA">
      <w:pPr>
        <w:spacing w:before="240"/>
        <w:jc w:val="both"/>
        <w:rPr>
          <w:rFonts w:ascii="Times New Roman" w:eastAsia="Times New Roman" w:hAnsi="Times New Roman" w:cs="Times New Roman"/>
          <w:sz w:val="26"/>
          <w:szCs w:val="26"/>
          <w:lang w:eastAsia="hu-HU"/>
        </w:rPr>
      </w:pPr>
      <w:r w:rsidRPr="00980E56">
        <w:rPr>
          <w:rFonts w:ascii="Times New Roman" w:eastAsia="Times New Roman" w:hAnsi="Times New Roman" w:cs="Times New Roman"/>
          <w:sz w:val="26"/>
          <w:szCs w:val="20"/>
          <w:lang w:eastAsia="hu-HU"/>
        </w:rPr>
        <w:t>A belföldi befizetések és az import utáni áfabevétel</w:t>
      </w:r>
      <w:r w:rsidR="00A01BFF">
        <w:rPr>
          <w:rFonts w:ascii="Times New Roman" w:eastAsia="Times New Roman" w:hAnsi="Times New Roman" w:cs="Times New Roman"/>
          <w:sz w:val="26"/>
          <w:szCs w:val="20"/>
          <w:lang w:eastAsia="hu-HU"/>
        </w:rPr>
        <w:t>ek</w:t>
      </w:r>
      <w:r w:rsidRPr="00980E56">
        <w:rPr>
          <w:rFonts w:ascii="Times New Roman" w:eastAsia="Times New Roman" w:hAnsi="Times New Roman" w:cs="Times New Roman"/>
          <w:sz w:val="26"/>
          <w:szCs w:val="20"/>
          <w:lang w:eastAsia="hu-HU"/>
        </w:rPr>
        <w:t xml:space="preserve"> növeked</w:t>
      </w:r>
      <w:r w:rsidR="00A01BFF">
        <w:rPr>
          <w:rFonts w:ascii="Times New Roman" w:eastAsia="Times New Roman" w:hAnsi="Times New Roman" w:cs="Times New Roman"/>
          <w:sz w:val="26"/>
          <w:szCs w:val="20"/>
          <w:lang w:eastAsia="hu-HU"/>
        </w:rPr>
        <w:t>t</w:t>
      </w:r>
      <w:r w:rsidR="00203266">
        <w:rPr>
          <w:rFonts w:ascii="Times New Roman" w:eastAsia="Times New Roman" w:hAnsi="Times New Roman" w:cs="Times New Roman"/>
          <w:sz w:val="26"/>
          <w:szCs w:val="20"/>
          <w:lang w:eastAsia="hu-HU"/>
        </w:rPr>
        <w:t>ek</w:t>
      </w:r>
      <w:r w:rsidRPr="00980E56">
        <w:rPr>
          <w:rFonts w:ascii="Times New Roman" w:eastAsia="Times New Roman" w:hAnsi="Times New Roman" w:cs="Times New Roman"/>
          <w:sz w:val="26"/>
          <w:szCs w:val="20"/>
          <w:lang w:eastAsia="hu-HU"/>
        </w:rPr>
        <w:t>, ugyanakkor a</w:t>
      </w:r>
      <w:r w:rsidR="00A01BFF">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dohány</w:t>
      </w:r>
      <w:r w:rsidR="00203266">
        <w:rPr>
          <w:rFonts w:ascii="Times New Roman" w:eastAsia="Times New Roman" w:hAnsi="Times New Roman" w:cs="Times New Roman"/>
          <w:sz w:val="26"/>
          <w:szCs w:val="20"/>
          <w:lang w:eastAsia="hu-HU"/>
        </w:rPr>
        <w:t>-</w:t>
      </w:r>
      <w:r w:rsidRPr="00980E56">
        <w:rPr>
          <w:rFonts w:ascii="Times New Roman" w:eastAsia="Times New Roman" w:hAnsi="Times New Roman" w:cs="Times New Roman"/>
          <w:sz w:val="26"/>
          <w:szCs w:val="20"/>
          <w:lang w:eastAsia="hu-HU"/>
        </w:rPr>
        <w:t>termékek utáni áfabevétel csökkent. A belföldi befizetések növekedése elsősorban a</w:t>
      </w:r>
      <w:r w:rsidR="0020326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kereskedelem ágazathoz köthető. Az import utáni befizetések növekedése hátterében a</w:t>
      </w:r>
      <w:r w:rsidR="0020326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 xml:space="preserve">forgalom alakulása áll. A dohánytermékek utáni bevételek alacsonyabb teljesülését </w:t>
      </w:r>
      <w:r w:rsidRPr="00980E56">
        <w:rPr>
          <w:rFonts w:ascii="Times New Roman" w:eastAsia="Times New Roman" w:hAnsi="Times New Roman" w:cs="Times New Roman"/>
          <w:sz w:val="26"/>
          <w:szCs w:val="20"/>
          <w:lang w:eastAsia="hu-HU"/>
        </w:rPr>
        <w:lastRenderedPageBreak/>
        <w:t>a</w:t>
      </w:r>
      <w:r w:rsidR="0020326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2025.</w:t>
      </w:r>
      <w:r w:rsidR="00A01BFF">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januári jövedéki adómérték-emelésre adott piaci reakció, a készletezési hatás</w:t>
      </w:r>
      <w:r w:rsidR="00A01BFF">
        <w:rPr>
          <w:rFonts w:ascii="Times New Roman" w:eastAsia="Times New Roman" w:hAnsi="Times New Roman" w:cs="Times New Roman"/>
          <w:sz w:val="26"/>
          <w:szCs w:val="20"/>
          <w:lang w:eastAsia="hu-HU"/>
        </w:rPr>
        <w:t>,</w:t>
      </w:r>
      <w:r w:rsidRPr="00980E56">
        <w:rPr>
          <w:rFonts w:ascii="Times New Roman" w:eastAsia="Times New Roman" w:hAnsi="Times New Roman" w:cs="Times New Roman"/>
          <w:sz w:val="26"/>
          <w:szCs w:val="20"/>
          <w:lang w:eastAsia="hu-HU"/>
        </w:rPr>
        <w:t xml:space="preserve"> valamint az ízesített, hevített dohánytermékekre vonatkozó jogszabályváltozás miatti 2024. júliusi készletezés együttes hatása magyarázza. A kiutalások alakulását a köztes ágazatok befizetése befolyásolja</w:t>
      </w:r>
      <w:r w:rsidR="7C285CBA" w:rsidRPr="7C285CBA">
        <w:rPr>
          <w:rFonts w:ascii="Times New Roman" w:eastAsia="Times New Roman" w:hAnsi="Times New Roman" w:cs="Times New Roman"/>
          <w:sz w:val="26"/>
          <w:szCs w:val="26"/>
          <w:lang w:eastAsia="hu-HU"/>
        </w:rPr>
        <w:t>.</w:t>
      </w:r>
    </w:p>
    <w:p w14:paraId="6A4419C7" w14:textId="346C50F0" w:rsidR="00CF551C" w:rsidRPr="00945E04" w:rsidRDefault="00B3244C" w:rsidP="004C0575">
      <w:pPr>
        <w:pStyle w:val="NormlWeb"/>
        <w:spacing w:before="0" w:beforeAutospacing="0" w:after="0" w:afterAutospacing="0"/>
        <w:jc w:val="center"/>
        <w:rPr>
          <w:sz w:val="22"/>
        </w:rPr>
      </w:pPr>
      <w:r>
        <w:rPr>
          <w:noProof/>
        </w:rPr>
        <w:drawing>
          <wp:inline distT="0" distB="0" distL="0" distR="0" wp14:anchorId="3A69D377" wp14:editId="3A3AC7B3">
            <wp:extent cx="5776995" cy="3685309"/>
            <wp:effectExtent l="0" t="0" r="0" b="0"/>
            <wp:docPr id="199600756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7560" name=""/>
                    <pic:cNvPicPr/>
                  </pic:nvPicPr>
                  <pic:blipFill rotWithShape="1">
                    <a:blip r:embed="rId15"/>
                    <a:srcRect b="2471"/>
                    <a:stretch/>
                  </pic:blipFill>
                  <pic:spPr bwMode="auto">
                    <a:xfrm>
                      <a:off x="0" y="0"/>
                      <a:ext cx="5801855" cy="3701168"/>
                    </a:xfrm>
                    <a:prstGeom prst="rect">
                      <a:avLst/>
                    </a:prstGeom>
                    <a:ln>
                      <a:noFill/>
                    </a:ln>
                    <a:extLst>
                      <a:ext uri="{53640926-AAD7-44D8-BBD7-CCE9431645EC}">
                        <a14:shadowObscured xmlns:a14="http://schemas.microsoft.com/office/drawing/2010/main"/>
                      </a:ext>
                    </a:extLst>
                  </pic:spPr>
                </pic:pic>
              </a:graphicData>
            </a:graphic>
          </wp:inline>
        </w:drawing>
      </w:r>
    </w:p>
    <w:p w14:paraId="031B7672" w14:textId="4F9B98E1" w:rsidR="00AE4815" w:rsidRDefault="00980E56" w:rsidP="7C285CBA">
      <w:pPr>
        <w:spacing w:before="240"/>
        <w:jc w:val="both"/>
        <w:rPr>
          <w:rFonts w:ascii="Times New Roman" w:eastAsia="Times New Roman" w:hAnsi="Times New Roman" w:cs="Times New Roman"/>
          <w:sz w:val="26"/>
          <w:szCs w:val="26"/>
          <w:lang w:eastAsia="hu-HU"/>
        </w:rPr>
      </w:pPr>
      <w:r w:rsidRPr="00980E56">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b/>
          <w:sz w:val="26"/>
          <w:szCs w:val="20"/>
          <w:lang w:eastAsia="hu-HU"/>
        </w:rPr>
        <w:t>jövedéki adóból</w:t>
      </w:r>
      <w:r w:rsidRPr="00980E56">
        <w:rPr>
          <w:rFonts w:ascii="Times New Roman" w:eastAsia="Times New Roman" w:hAnsi="Times New Roman" w:cs="Times New Roman"/>
          <w:sz w:val="26"/>
          <w:szCs w:val="20"/>
          <w:lang w:eastAsia="hu-HU"/>
        </w:rPr>
        <w:t xml:space="preserve"> származó bevétel a 2025. év első nyolc hónapjában 1043,8</w:t>
      </w:r>
      <w:r w:rsidRPr="00980E56">
        <w:rPr>
          <w:rFonts w:ascii="Times New Roman" w:eastAsia="Times New Roman" w:hAnsi="Times New Roman" w:cs="Times New Roman"/>
          <w:color w:val="000000"/>
          <w:sz w:val="26"/>
          <w:szCs w:val="20"/>
          <w:lang w:eastAsia="hu-HU"/>
        </w:rPr>
        <w:t> </w:t>
      </w:r>
      <w:r w:rsidRPr="00980E56">
        <w:rPr>
          <w:rFonts w:ascii="Times New Roman" w:eastAsia="Times New Roman" w:hAnsi="Times New Roman" w:cs="Times New Roman"/>
          <w:sz w:val="26"/>
          <w:szCs w:val="20"/>
          <w:lang w:eastAsia="hu-HU"/>
        </w:rPr>
        <w:t>milliárd forintot tett ki, amely 29,6 milliárd forinttal alacsonyabb az egy évvel korábbi bevételnél. Az üzemanyagok utáni bevételek növekedését a 2025. január 1-</w:t>
      </w:r>
      <w:r w:rsidR="00203266">
        <w:rPr>
          <w:rFonts w:ascii="Times New Roman" w:eastAsia="Times New Roman" w:hAnsi="Times New Roman" w:cs="Times New Roman"/>
          <w:sz w:val="26"/>
          <w:szCs w:val="20"/>
          <w:lang w:eastAsia="hu-HU"/>
        </w:rPr>
        <w:t>jé</w:t>
      </w:r>
      <w:r w:rsidRPr="00980E56">
        <w:rPr>
          <w:rFonts w:ascii="Times New Roman" w:eastAsia="Times New Roman" w:hAnsi="Times New Roman" w:cs="Times New Roman"/>
          <w:sz w:val="26"/>
          <w:szCs w:val="20"/>
          <w:lang w:eastAsia="hu-HU"/>
        </w:rPr>
        <w:t>től hatályos magasabb adómértékek magyarázzák. A dohánytermékek utáni bevételek csökkenésének hátterében a 2025. januári adómérték-emelésből fakadó készletezési hatás</w:t>
      </w:r>
      <w:r w:rsidR="00203266">
        <w:rPr>
          <w:rFonts w:ascii="Times New Roman" w:eastAsia="Times New Roman" w:hAnsi="Times New Roman" w:cs="Times New Roman"/>
          <w:sz w:val="26"/>
          <w:szCs w:val="20"/>
          <w:lang w:eastAsia="hu-HU"/>
        </w:rPr>
        <w:t>,</w:t>
      </w:r>
      <w:r w:rsidRPr="00980E56">
        <w:rPr>
          <w:rFonts w:ascii="Times New Roman" w:eastAsia="Times New Roman" w:hAnsi="Times New Roman" w:cs="Times New Roman"/>
          <w:sz w:val="26"/>
          <w:szCs w:val="20"/>
          <w:lang w:eastAsia="hu-HU"/>
        </w:rPr>
        <w:t xml:space="preserve"> valamint az ízesített, hevített dohánytermékekre vonatkozó jogszabályváltozásra adott piaci reakció, a</w:t>
      </w:r>
      <w:r w:rsidR="0020326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2024.</w:t>
      </w:r>
      <w:r w:rsidR="0020326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júliusi készletezés együttes hatása áll. A szeszesitalok és egyéb termékek esetében a bevételek csökkenését az alacsonyabb forgalom indokolja. Az energiaadó</w:t>
      </w:r>
      <w:r w:rsidR="0027381C">
        <w:rPr>
          <w:rFonts w:ascii="Times New Roman" w:eastAsia="Times New Roman" w:hAnsi="Times New Roman" w:cs="Times New Roman"/>
          <w:sz w:val="26"/>
          <w:szCs w:val="20"/>
          <w:lang w:eastAsia="hu-HU"/>
        </w:rPr>
        <w:t>-</w:t>
      </w:r>
      <w:r w:rsidRPr="00980E56">
        <w:rPr>
          <w:rFonts w:ascii="Times New Roman" w:eastAsia="Times New Roman" w:hAnsi="Times New Roman" w:cs="Times New Roman"/>
          <w:sz w:val="26"/>
          <w:szCs w:val="20"/>
          <w:lang w:eastAsia="hu-HU"/>
        </w:rPr>
        <w:t>bevételek növekedése adónem-elszámoláshoz köthető</w:t>
      </w:r>
      <w:r w:rsidR="7C285CBA" w:rsidRPr="7C285CBA">
        <w:rPr>
          <w:rFonts w:ascii="Times New Roman" w:eastAsia="Times New Roman" w:hAnsi="Times New Roman" w:cs="Times New Roman"/>
          <w:sz w:val="26"/>
          <w:szCs w:val="26"/>
          <w:lang w:eastAsia="hu-HU"/>
        </w:rPr>
        <w:t>.</w:t>
      </w:r>
    </w:p>
    <w:tbl>
      <w:tblPr>
        <w:tblW w:w="8752" w:type="dxa"/>
        <w:jc w:val="center"/>
        <w:tblCellMar>
          <w:left w:w="70" w:type="dxa"/>
          <w:right w:w="70" w:type="dxa"/>
        </w:tblCellMar>
        <w:tblLook w:val="04A0" w:firstRow="1" w:lastRow="0" w:firstColumn="1" w:lastColumn="0" w:noHBand="0" w:noVBand="1"/>
      </w:tblPr>
      <w:tblGrid>
        <w:gridCol w:w="3402"/>
        <w:gridCol w:w="1560"/>
        <w:gridCol w:w="1594"/>
        <w:gridCol w:w="1061"/>
        <w:gridCol w:w="1135"/>
      </w:tblGrid>
      <w:tr w:rsidR="00980E56" w:rsidRPr="00980E56" w14:paraId="6129358B" w14:textId="77777777" w:rsidTr="00841821">
        <w:trPr>
          <w:trHeight w:val="255"/>
          <w:jc w:val="center"/>
        </w:trPr>
        <w:tc>
          <w:tcPr>
            <w:tcW w:w="8752" w:type="dxa"/>
            <w:gridSpan w:val="5"/>
            <w:tcBorders>
              <w:top w:val="nil"/>
              <w:left w:val="nil"/>
              <w:bottom w:val="single" w:sz="4" w:space="0" w:color="auto"/>
              <w:right w:val="nil"/>
            </w:tcBorders>
            <w:noWrap/>
            <w:vAlign w:val="bottom"/>
            <w:hideMark/>
          </w:tcPr>
          <w:p w14:paraId="57E0ABBC" w14:textId="77777777" w:rsidR="00980E56" w:rsidRPr="00980E56" w:rsidRDefault="00980E56" w:rsidP="00980E56">
            <w:pPr>
              <w:spacing w:before="120" w:after="120" w:line="240" w:lineRule="auto"/>
              <w:jc w:val="center"/>
              <w:rPr>
                <w:rFonts w:ascii="Times New Roman" w:eastAsia="Times New Roman" w:hAnsi="Times New Roman" w:cs="Times New Roman"/>
                <w:b/>
                <w:bCs/>
                <w:sz w:val="26"/>
                <w:szCs w:val="20"/>
                <w:lang w:eastAsia="hu-HU"/>
              </w:rPr>
            </w:pPr>
            <w:r w:rsidRPr="00980E56">
              <w:rPr>
                <w:rFonts w:ascii="Times New Roman" w:eastAsia="Times New Roman" w:hAnsi="Times New Roman" w:cs="Times New Roman"/>
                <w:b/>
                <w:bCs/>
                <w:szCs w:val="20"/>
                <w:lang w:eastAsia="hu-HU"/>
              </w:rPr>
              <w:t>Jövedéki adó bevétel alakulása (milliárd forint)</w:t>
            </w:r>
          </w:p>
        </w:tc>
      </w:tr>
      <w:tr w:rsidR="00980E56" w:rsidRPr="00980E56" w14:paraId="443BC838" w14:textId="77777777" w:rsidTr="003D4300">
        <w:trPr>
          <w:trHeight w:val="340"/>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4F80511"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Megnevezés</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E72269"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2024.</w:t>
            </w:r>
          </w:p>
          <w:p w14:paraId="731FE9B0" w14:textId="5CC73EA1"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I-VIII. hó</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54F315"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2025.</w:t>
            </w:r>
          </w:p>
          <w:p w14:paraId="17FE4712" w14:textId="3C8C92D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I-VIII. hó</w:t>
            </w:r>
          </w:p>
        </w:tc>
        <w:tc>
          <w:tcPr>
            <w:tcW w:w="219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0F93A3C"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Eltérés</w:t>
            </w:r>
          </w:p>
        </w:tc>
      </w:tr>
      <w:tr w:rsidR="00980E56" w:rsidRPr="00980E56" w14:paraId="5B0C6425" w14:textId="77777777" w:rsidTr="003D4300">
        <w:trPr>
          <w:trHeight w:val="34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47CDD91"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p>
        </w:tc>
        <w:tc>
          <w:tcPr>
            <w:tcW w:w="156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4CD99F"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p>
        </w:tc>
        <w:tc>
          <w:tcPr>
            <w:tcW w:w="159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456959"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1E76B33"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Mrd Ft</w:t>
            </w:r>
          </w:p>
        </w:tc>
        <w:tc>
          <w:tcPr>
            <w:tcW w:w="113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60864B6"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w:t>
            </w:r>
          </w:p>
        </w:tc>
      </w:tr>
      <w:tr w:rsidR="00980E56" w:rsidRPr="00980E56" w14:paraId="24B67479" w14:textId="77777777" w:rsidTr="00841821">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056ACAF8"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Üzemanyag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6CF9324E" w14:textId="73008445"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580,</w:t>
            </w:r>
            <w:r w:rsidR="00AE4815">
              <w:rPr>
                <w:rFonts w:ascii="Times New Roman" w:eastAsia="Times New Roman" w:hAnsi="Times New Roman" w:cs="Times New Roman"/>
                <w:color w:val="000000"/>
                <w:lang w:eastAsia="hu-HU"/>
              </w:rPr>
              <w:t>3</w:t>
            </w:r>
          </w:p>
        </w:tc>
        <w:tc>
          <w:tcPr>
            <w:tcW w:w="1594" w:type="dxa"/>
            <w:tcBorders>
              <w:top w:val="single" w:sz="4" w:space="0" w:color="auto"/>
              <w:left w:val="single" w:sz="4" w:space="0" w:color="auto"/>
              <w:bottom w:val="single" w:sz="4" w:space="0" w:color="auto"/>
              <w:right w:val="single" w:sz="4" w:space="0" w:color="auto"/>
            </w:tcBorders>
            <w:noWrap/>
            <w:vAlign w:val="center"/>
          </w:tcPr>
          <w:p w14:paraId="2F0BCC9A"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614,0</w:t>
            </w:r>
          </w:p>
        </w:tc>
        <w:tc>
          <w:tcPr>
            <w:tcW w:w="1061" w:type="dxa"/>
            <w:tcBorders>
              <w:top w:val="single" w:sz="4" w:space="0" w:color="auto"/>
              <w:left w:val="single" w:sz="4" w:space="0" w:color="auto"/>
              <w:bottom w:val="single" w:sz="4" w:space="0" w:color="auto"/>
              <w:right w:val="single" w:sz="4" w:space="0" w:color="auto"/>
            </w:tcBorders>
            <w:noWrap/>
            <w:vAlign w:val="center"/>
          </w:tcPr>
          <w:p w14:paraId="72B509EE" w14:textId="01F10141"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33,</w:t>
            </w:r>
            <w:r w:rsidR="00AE4815">
              <w:rPr>
                <w:rFonts w:ascii="Times New Roman" w:eastAsia="Times New Roman" w:hAnsi="Times New Roman" w:cs="Times New Roman"/>
                <w:color w:val="000000"/>
                <w:lang w:eastAsia="hu-HU"/>
              </w:rPr>
              <w:t>7</w:t>
            </w:r>
          </w:p>
        </w:tc>
        <w:tc>
          <w:tcPr>
            <w:tcW w:w="1135" w:type="dxa"/>
            <w:tcBorders>
              <w:top w:val="single" w:sz="4" w:space="0" w:color="auto"/>
              <w:left w:val="single" w:sz="4" w:space="0" w:color="auto"/>
              <w:bottom w:val="single" w:sz="4" w:space="0" w:color="auto"/>
              <w:right w:val="single" w:sz="4" w:space="0" w:color="auto"/>
            </w:tcBorders>
            <w:noWrap/>
            <w:vAlign w:val="center"/>
          </w:tcPr>
          <w:p w14:paraId="264AF56F"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105,8</w:t>
            </w:r>
          </w:p>
        </w:tc>
      </w:tr>
      <w:tr w:rsidR="00980E56" w:rsidRPr="00980E56" w14:paraId="40C24F6E" w14:textId="77777777" w:rsidTr="00841821">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069F14EF"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Dohánygyártmány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1FF2D989"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390,6</w:t>
            </w:r>
          </w:p>
        </w:tc>
        <w:tc>
          <w:tcPr>
            <w:tcW w:w="1594" w:type="dxa"/>
            <w:tcBorders>
              <w:top w:val="single" w:sz="4" w:space="0" w:color="auto"/>
              <w:left w:val="single" w:sz="4" w:space="0" w:color="auto"/>
              <w:bottom w:val="single" w:sz="4" w:space="0" w:color="auto"/>
              <w:right w:val="single" w:sz="4" w:space="0" w:color="auto"/>
            </w:tcBorders>
            <w:noWrap/>
            <w:vAlign w:val="center"/>
          </w:tcPr>
          <w:p w14:paraId="429025E6"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328,8</w:t>
            </w:r>
          </w:p>
        </w:tc>
        <w:tc>
          <w:tcPr>
            <w:tcW w:w="1061" w:type="dxa"/>
            <w:tcBorders>
              <w:top w:val="single" w:sz="4" w:space="0" w:color="auto"/>
              <w:left w:val="single" w:sz="4" w:space="0" w:color="auto"/>
              <w:bottom w:val="single" w:sz="4" w:space="0" w:color="auto"/>
              <w:right w:val="single" w:sz="4" w:space="0" w:color="auto"/>
            </w:tcBorders>
            <w:noWrap/>
            <w:vAlign w:val="center"/>
          </w:tcPr>
          <w:p w14:paraId="2F0ACD2F"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-61,8</w:t>
            </w:r>
          </w:p>
        </w:tc>
        <w:tc>
          <w:tcPr>
            <w:tcW w:w="1135" w:type="dxa"/>
            <w:tcBorders>
              <w:top w:val="single" w:sz="4" w:space="0" w:color="auto"/>
              <w:left w:val="single" w:sz="4" w:space="0" w:color="auto"/>
              <w:bottom w:val="single" w:sz="4" w:space="0" w:color="auto"/>
              <w:right w:val="single" w:sz="4" w:space="0" w:color="auto"/>
            </w:tcBorders>
            <w:noWrap/>
            <w:vAlign w:val="center"/>
          </w:tcPr>
          <w:p w14:paraId="4C6E5BBD"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84,2</w:t>
            </w:r>
          </w:p>
        </w:tc>
      </w:tr>
      <w:tr w:rsidR="00980E56" w:rsidRPr="00980E56" w14:paraId="1F7ED109" w14:textId="77777777" w:rsidTr="00841821">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96E0CC5"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Egyéb termék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0DECCB4B" w14:textId="79D96FA9"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lang w:eastAsia="hu-HU"/>
              </w:rPr>
              <w:t>88</w:t>
            </w:r>
            <w:r w:rsidR="00F03965">
              <w:rPr>
                <w:rFonts w:ascii="Times New Roman" w:eastAsia="Times New Roman" w:hAnsi="Times New Roman" w:cs="Times New Roman"/>
                <w:lang w:eastAsia="hu-HU"/>
              </w:rPr>
              <w:t>,0</w:t>
            </w:r>
          </w:p>
        </w:tc>
        <w:tc>
          <w:tcPr>
            <w:tcW w:w="1594" w:type="dxa"/>
            <w:tcBorders>
              <w:top w:val="single" w:sz="4" w:space="0" w:color="auto"/>
              <w:left w:val="single" w:sz="4" w:space="0" w:color="auto"/>
              <w:bottom w:val="single" w:sz="4" w:space="0" w:color="auto"/>
              <w:right w:val="single" w:sz="4" w:space="0" w:color="auto"/>
            </w:tcBorders>
            <w:noWrap/>
            <w:vAlign w:val="center"/>
          </w:tcPr>
          <w:p w14:paraId="503FBB1C"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85,4</w:t>
            </w:r>
          </w:p>
        </w:tc>
        <w:tc>
          <w:tcPr>
            <w:tcW w:w="1061" w:type="dxa"/>
            <w:tcBorders>
              <w:top w:val="single" w:sz="4" w:space="0" w:color="auto"/>
              <w:left w:val="single" w:sz="4" w:space="0" w:color="auto"/>
              <w:bottom w:val="single" w:sz="4" w:space="0" w:color="auto"/>
              <w:right w:val="single" w:sz="4" w:space="0" w:color="auto"/>
            </w:tcBorders>
            <w:noWrap/>
            <w:vAlign w:val="center"/>
          </w:tcPr>
          <w:p w14:paraId="37FA0A39"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-2,6</w:t>
            </w:r>
          </w:p>
        </w:tc>
        <w:tc>
          <w:tcPr>
            <w:tcW w:w="1135" w:type="dxa"/>
            <w:tcBorders>
              <w:top w:val="single" w:sz="4" w:space="0" w:color="auto"/>
              <w:left w:val="single" w:sz="4" w:space="0" w:color="auto"/>
              <w:bottom w:val="single" w:sz="4" w:space="0" w:color="auto"/>
              <w:right w:val="single" w:sz="4" w:space="0" w:color="auto"/>
            </w:tcBorders>
            <w:noWrap/>
            <w:vAlign w:val="center"/>
          </w:tcPr>
          <w:p w14:paraId="0E66F983"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97,0</w:t>
            </w:r>
          </w:p>
        </w:tc>
      </w:tr>
      <w:tr w:rsidR="00980E56" w:rsidRPr="00980E56" w14:paraId="00C16246" w14:textId="77777777" w:rsidTr="00841821">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5F2613D2" w14:textId="77777777" w:rsidR="00980E56" w:rsidRPr="00980E56" w:rsidRDefault="00980E56" w:rsidP="00980E56">
            <w:pPr>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Import jövedéki adó és energiaadó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52D3390D" w14:textId="12182AA9"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14,</w:t>
            </w:r>
            <w:r w:rsidR="00AE4815">
              <w:rPr>
                <w:rFonts w:ascii="Times New Roman" w:eastAsia="Times New Roman" w:hAnsi="Times New Roman" w:cs="Times New Roman"/>
                <w:color w:val="000000"/>
                <w:lang w:eastAsia="hu-HU"/>
              </w:rPr>
              <w:t>5</w:t>
            </w:r>
          </w:p>
        </w:tc>
        <w:tc>
          <w:tcPr>
            <w:tcW w:w="1594" w:type="dxa"/>
            <w:tcBorders>
              <w:top w:val="single" w:sz="4" w:space="0" w:color="auto"/>
              <w:left w:val="single" w:sz="4" w:space="0" w:color="auto"/>
              <w:bottom w:val="single" w:sz="4" w:space="0" w:color="auto"/>
              <w:right w:val="single" w:sz="4" w:space="0" w:color="auto"/>
            </w:tcBorders>
            <w:noWrap/>
            <w:vAlign w:val="center"/>
          </w:tcPr>
          <w:p w14:paraId="0C4098CB" w14:textId="77777777"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15,6</w:t>
            </w:r>
          </w:p>
        </w:tc>
        <w:tc>
          <w:tcPr>
            <w:tcW w:w="1061" w:type="dxa"/>
            <w:tcBorders>
              <w:top w:val="single" w:sz="4" w:space="0" w:color="auto"/>
              <w:left w:val="single" w:sz="4" w:space="0" w:color="auto"/>
              <w:bottom w:val="single" w:sz="4" w:space="0" w:color="auto"/>
              <w:right w:val="single" w:sz="4" w:space="0" w:color="auto"/>
            </w:tcBorders>
            <w:noWrap/>
            <w:vAlign w:val="center"/>
          </w:tcPr>
          <w:p w14:paraId="25325AE5" w14:textId="71594F4A"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1,</w:t>
            </w:r>
            <w:r w:rsidR="00C948F5">
              <w:rPr>
                <w:rFonts w:ascii="Times New Roman" w:eastAsia="Times New Roman" w:hAnsi="Times New Roman" w:cs="Times New Roman"/>
                <w:color w:val="000000"/>
                <w:lang w:eastAsia="hu-HU"/>
              </w:rPr>
              <w:t>1</w:t>
            </w:r>
          </w:p>
        </w:tc>
        <w:tc>
          <w:tcPr>
            <w:tcW w:w="1135" w:type="dxa"/>
            <w:tcBorders>
              <w:top w:val="single" w:sz="4" w:space="0" w:color="auto"/>
              <w:left w:val="single" w:sz="4" w:space="0" w:color="auto"/>
              <w:bottom w:val="single" w:sz="4" w:space="0" w:color="auto"/>
              <w:right w:val="single" w:sz="4" w:space="0" w:color="auto"/>
            </w:tcBorders>
            <w:noWrap/>
            <w:vAlign w:val="center"/>
          </w:tcPr>
          <w:p w14:paraId="17D5D10B" w14:textId="7090441D" w:rsidR="00980E56" w:rsidRPr="00980E56" w:rsidRDefault="00980E56" w:rsidP="00980E56">
            <w:pPr>
              <w:spacing w:after="0" w:line="240" w:lineRule="auto"/>
              <w:jc w:val="right"/>
              <w:rPr>
                <w:rFonts w:ascii="Times New Roman" w:eastAsia="Times New Roman" w:hAnsi="Times New Roman" w:cs="Times New Roman"/>
                <w:lang w:eastAsia="hu-HU"/>
              </w:rPr>
            </w:pPr>
            <w:r w:rsidRPr="00980E56">
              <w:rPr>
                <w:rFonts w:ascii="Times New Roman" w:eastAsia="Times New Roman" w:hAnsi="Times New Roman" w:cs="Times New Roman"/>
                <w:color w:val="000000"/>
                <w:lang w:eastAsia="hu-HU"/>
              </w:rPr>
              <w:t>10</w:t>
            </w:r>
            <w:r w:rsidR="00AE4815">
              <w:rPr>
                <w:rFonts w:ascii="Times New Roman" w:eastAsia="Times New Roman" w:hAnsi="Times New Roman" w:cs="Times New Roman"/>
                <w:color w:val="000000"/>
                <w:lang w:eastAsia="hu-HU"/>
              </w:rPr>
              <w:t>7,6</w:t>
            </w:r>
          </w:p>
        </w:tc>
      </w:tr>
      <w:tr w:rsidR="00980E56" w:rsidRPr="00980E56" w14:paraId="2149FF71" w14:textId="77777777" w:rsidTr="00841821">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15E3D1A7" w14:textId="77777777" w:rsidR="00980E56" w:rsidRPr="00980E56" w:rsidRDefault="00980E56" w:rsidP="00980E56">
            <w:pPr>
              <w:spacing w:after="0" w:line="240" w:lineRule="auto"/>
              <w:jc w:val="both"/>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Jövedéki adók összesen</w:t>
            </w:r>
          </w:p>
        </w:tc>
        <w:tc>
          <w:tcPr>
            <w:tcW w:w="1560" w:type="dxa"/>
            <w:tcBorders>
              <w:top w:val="single" w:sz="4" w:space="0" w:color="auto"/>
              <w:left w:val="single" w:sz="4" w:space="0" w:color="auto"/>
              <w:bottom w:val="single" w:sz="4" w:space="0" w:color="auto"/>
              <w:right w:val="single" w:sz="4" w:space="0" w:color="auto"/>
            </w:tcBorders>
            <w:noWrap/>
            <w:vAlign w:val="center"/>
          </w:tcPr>
          <w:p w14:paraId="5FEEAC50" w14:textId="77777777" w:rsidR="00980E56" w:rsidRPr="00980E56" w:rsidRDefault="00980E56" w:rsidP="00980E56">
            <w:pPr>
              <w:spacing w:after="0" w:line="240" w:lineRule="auto"/>
              <w:jc w:val="right"/>
              <w:rPr>
                <w:rFonts w:ascii="Times New Roman" w:eastAsia="Times New Roman" w:hAnsi="Times New Roman" w:cs="Times New Roman"/>
                <w:b/>
                <w:bCs/>
                <w:lang w:eastAsia="hu-HU"/>
              </w:rPr>
            </w:pPr>
            <w:r w:rsidRPr="00980E56">
              <w:rPr>
                <w:rFonts w:ascii="Times New Roman" w:eastAsia="Times New Roman" w:hAnsi="Times New Roman" w:cs="Times New Roman"/>
                <w:b/>
                <w:bCs/>
                <w:color w:val="000000"/>
                <w:lang w:eastAsia="hu-HU"/>
              </w:rPr>
              <w:t>1</w:t>
            </w:r>
            <w:r w:rsidRPr="00980E56">
              <w:rPr>
                <w:rFonts w:ascii="Times New Roman" w:eastAsia="Times New Roman" w:hAnsi="Times New Roman" w:cs="Times New Roman"/>
                <w:b/>
                <w:bCs/>
                <w:szCs w:val="20"/>
                <w:lang w:eastAsia="hu-HU"/>
              </w:rPr>
              <w:t> </w:t>
            </w:r>
            <w:r w:rsidRPr="00980E56">
              <w:rPr>
                <w:rFonts w:ascii="Times New Roman" w:eastAsia="Times New Roman" w:hAnsi="Times New Roman" w:cs="Times New Roman"/>
                <w:b/>
                <w:bCs/>
                <w:color w:val="000000"/>
                <w:lang w:eastAsia="hu-HU"/>
              </w:rPr>
              <w:t>073,4</w:t>
            </w:r>
          </w:p>
        </w:tc>
        <w:tc>
          <w:tcPr>
            <w:tcW w:w="1594" w:type="dxa"/>
            <w:tcBorders>
              <w:top w:val="single" w:sz="4" w:space="0" w:color="auto"/>
              <w:left w:val="single" w:sz="4" w:space="0" w:color="auto"/>
              <w:bottom w:val="single" w:sz="4" w:space="0" w:color="auto"/>
              <w:right w:val="single" w:sz="4" w:space="0" w:color="auto"/>
            </w:tcBorders>
            <w:noWrap/>
            <w:vAlign w:val="center"/>
          </w:tcPr>
          <w:p w14:paraId="62556AB1" w14:textId="77777777" w:rsidR="00980E56" w:rsidRPr="00980E56" w:rsidRDefault="00980E56" w:rsidP="00980E56">
            <w:pPr>
              <w:spacing w:after="0" w:line="240" w:lineRule="auto"/>
              <w:jc w:val="right"/>
              <w:rPr>
                <w:rFonts w:ascii="Times New Roman" w:eastAsia="Times New Roman" w:hAnsi="Times New Roman" w:cs="Times New Roman"/>
                <w:b/>
                <w:bCs/>
                <w:lang w:eastAsia="hu-HU"/>
              </w:rPr>
            </w:pPr>
            <w:r w:rsidRPr="00980E56">
              <w:rPr>
                <w:rFonts w:ascii="Times New Roman" w:eastAsia="Times New Roman" w:hAnsi="Times New Roman" w:cs="Times New Roman"/>
                <w:b/>
                <w:bCs/>
                <w:color w:val="000000"/>
                <w:lang w:eastAsia="hu-HU"/>
              </w:rPr>
              <w:t>1</w:t>
            </w:r>
            <w:r w:rsidRPr="00980E56">
              <w:rPr>
                <w:rFonts w:ascii="Times New Roman" w:eastAsia="Times New Roman" w:hAnsi="Times New Roman" w:cs="Times New Roman"/>
                <w:b/>
                <w:bCs/>
                <w:szCs w:val="20"/>
                <w:lang w:eastAsia="hu-HU"/>
              </w:rPr>
              <w:t> </w:t>
            </w:r>
            <w:r w:rsidRPr="00980E56">
              <w:rPr>
                <w:rFonts w:ascii="Times New Roman" w:eastAsia="Times New Roman" w:hAnsi="Times New Roman" w:cs="Times New Roman"/>
                <w:b/>
                <w:bCs/>
                <w:color w:val="000000"/>
                <w:lang w:eastAsia="hu-HU"/>
              </w:rPr>
              <w:t>043,8</w:t>
            </w:r>
          </w:p>
        </w:tc>
        <w:tc>
          <w:tcPr>
            <w:tcW w:w="1061" w:type="dxa"/>
            <w:tcBorders>
              <w:top w:val="single" w:sz="4" w:space="0" w:color="auto"/>
              <w:left w:val="single" w:sz="4" w:space="0" w:color="auto"/>
              <w:bottom w:val="single" w:sz="4" w:space="0" w:color="auto"/>
              <w:right w:val="single" w:sz="4" w:space="0" w:color="auto"/>
            </w:tcBorders>
            <w:noWrap/>
            <w:vAlign w:val="center"/>
          </w:tcPr>
          <w:p w14:paraId="01EAE092" w14:textId="77777777" w:rsidR="00980E56" w:rsidRPr="00980E56" w:rsidRDefault="00980E56" w:rsidP="00980E56">
            <w:pPr>
              <w:spacing w:after="0" w:line="240" w:lineRule="auto"/>
              <w:jc w:val="right"/>
              <w:rPr>
                <w:rFonts w:ascii="Times New Roman" w:eastAsia="Times New Roman" w:hAnsi="Times New Roman" w:cs="Times New Roman"/>
                <w:b/>
                <w:bCs/>
                <w:lang w:eastAsia="hu-HU"/>
              </w:rPr>
            </w:pPr>
            <w:r w:rsidRPr="00980E56">
              <w:rPr>
                <w:rFonts w:ascii="Times New Roman" w:eastAsia="Times New Roman" w:hAnsi="Times New Roman" w:cs="Times New Roman"/>
                <w:b/>
                <w:bCs/>
                <w:color w:val="000000"/>
                <w:lang w:eastAsia="hu-HU"/>
              </w:rPr>
              <w:t>-29,6</w:t>
            </w:r>
          </w:p>
        </w:tc>
        <w:tc>
          <w:tcPr>
            <w:tcW w:w="1135" w:type="dxa"/>
            <w:tcBorders>
              <w:top w:val="single" w:sz="4" w:space="0" w:color="auto"/>
              <w:left w:val="single" w:sz="4" w:space="0" w:color="auto"/>
              <w:bottom w:val="single" w:sz="4" w:space="0" w:color="auto"/>
              <w:right w:val="single" w:sz="4" w:space="0" w:color="auto"/>
            </w:tcBorders>
            <w:noWrap/>
            <w:vAlign w:val="center"/>
          </w:tcPr>
          <w:p w14:paraId="2AB5F378" w14:textId="77777777" w:rsidR="00980E56" w:rsidRPr="00980E56" w:rsidRDefault="00980E56" w:rsidP="00980E56">
            <w:pPr>
              <w:spacing w:after="0" w:line="240" w:lineRule="auto"/>
              <w:jc w:val="right"/>
              <w:rPr>
                <w:rFonts w:ascii="Times New Roman" w:eastAsia="Times New Roman" w:hAnsi="Times New Roman" w:cs="Times New Roman"/>
                <w:b/>
                <w:bCs/>
                <w:lang w:eastAsia="hu-HU"/>
              </w:rPr>
            </w:pPr>
            <w:r w:rsidRPr="00980E56">
              <w:rPr>
                <w:rFonts w:ascii="Times New Roman" w:eastAsia="Times New Roman" w:hAnsi="Times New Roman" w:cs="Times New Roman"/>
                <w:b/>
                <w:bCs/>
                <w:color w:val="000000"/>
                <w:lang w:eastAsia="hu-HU"/>
              </w:rPr>
              <w:t>97,2</w:t>
            </w:r>
          </w:p>
        </w:tc>
      </w:tr>
    </w:tbl>
    <w:p w14:paraId="451798B7" w14:textId="77777777" w:rsidR="00E86C99" w:rsidRDefault="00E86C99" w:rsidP="00B3244C">
      <w:pPr>
        <w:spacing w:before="120"/>
        <w:jc w:val="both"/>
        <w:rPr>
          <w:rFonts w:ascii="Times New Roman" w:eastAsia="Times New Roman" w:hAnsi="Times New Roman" w:cs="Times New Roman"/>
          <w:b/>
          <w:sz w:val="26"/>
          <w:szCs w:val="20"/>
          <w:lang w:eastAsia="hu-HU"/>
        </w:rPr>
      </w:pPr>
    </w:p>
    <w:p w14:paraId="2117FD21" w14:textId="354A6D29" w:rsidR="00980E56" w:rsidRPr="00980E56" w:rsidRDefault="00E86C99" w:rsidP="00B3244C">
      <w:pPr>
        <w:spacing w:before="120"/>
        <w:jc w:val="both"/>
        <w:rPr>
          <w:rFonts w:ascii="Times New Roman" w:eastAsia="Times New Roman" w:hAnsi="Times New Roman" w:cs="Times New Roman"/>
          <w:sz w:val="26"/>
          <w:szCs w:val="20"/>
          <w:lang w:eastAsia="hu-HU"/>
        </w:rPr>
      </w:pPr>
      <w:r>
        <w:rPr>
          <w:rFonts w:ascii="Times New Roman" w:eastAsia="Times New Roman" w:hAnsi="Times New Roman" w:cs="Times New Roman"/>
          <w:b/>
          <w:sz w:val="26"/>
          <w:szCs w:val="20"/>
          <w:lang w:eastAsia="hu-HU"/>
        </w:rPr>
        <w:br w:type="column"/>
      </w:r>
      <w:r w:rsidR="00980E56" w:rsidRPr="00980E56">
        <w:rPr>
          <w:rFonts w:ascii="Times New Roman" w:eastAsia="Times New Roman" w:hAnsi="Times New Roman" w:cs="Times New Roman"/>
          <w:b/>
          <w:sz w:val="26"/>
          <w:szCs w:val="20"/>
          <w:lang w:eastAsia="hu-HU"/>
        </w:rPr>
        <w:lastRenderedPageBreak/>
        <w:t>Pénzügyi tranzakciós illetékből</w:t>
      </w:r>
      <w:r w:rsidR="00980E56" w:rsidRPr="00980E56">
        <w:rPr>
          <w:rFonts w:ascii="Times New Roman" w:eastAsia="Times New Roman" w:hAnsi="Times New Roman" w:cs="Times New Roman"/>
          <w:sz w:val="26"/>
          <w:szCs w:val="20"/>
          <w:lang w:eastAsia="hu-HU"/>
        </w:rPr>
        <w:t xml:space="preserve"> 2025 első nyolc hónapjában 385,6 milliárd</w:t>
      </w:r>
      <w:r w:rsidR="00AE4815">
        <w:rPr>
          <w:rFonts w:ascii="Times New Roman" w:eastAsia="Times New Roman" w:hAnsi="Times New Roman" w:cs="Times New Roman"/>
          <w:sz w:val="26"/>
          <w:szCs w:val="20"/>
          <w:lang w:eastAsia="hu-HU"/>
        </w:rPr>
        <w:t> </w:t>
      </w:r>
      <w:r w:rsidR="00980E56" w:rsidRPr="00980E56">
        <w:rPr>
          <w:rFonts w:ascii="Times New Roman" w:eastAsia="Times New Roman" w:hAnsi="Times New Roman" w:cs="Times New Roman"/>
          <w:sz w:val="26"/>
          <w:szCs w:val="20"/>
          <w:lang w:eastAsia="hu-HU"/>
        </w:rPr>
        <w:t>forint bevétele keletkezett a költségvetésnek, ami 157,0 milliárd forinttal haladta meg az egy évvel korábbi összeget. A bevételek növekedésének hátterében a 2024. augusztus 1-</w:t>
      </w:r>
      <w:r w:rsidR="00AE4815">
        <w:rPr>
          <w:rFonts w:ascii="Times New Roman" w:eastAsia="Times New Roman" w:hAnsi="Times New Roman" w:cs="Times New Roman"/>
          <w:sz w:val="26"/>
          <w:szCs w:val="20"/>
          <w:lang w:eastAsia="hu-HU"/>
        </w:rPr>
        <w:t>jé</w:t>
      </w:r>
      <w:r w:rsidR="00980E56" w:rsidRPr="00980E56">
        <w:rPr>
          <w:rFonts w:ascii="Times New Roman" w:eastAsia="Times New Roman" w:hAnsi="Times New Roman" w:cs="Times New Roman"/>
          <w:sz w:val="26"/>
          <w:szCs w:val="20"/>
          <w:lang w:eastAsia="hu-HU"/>
        </w:rPr>
        <w:t>től hatályos megemelt adómértékek, valamint a 2024. október elsejétől az adó hatálya alá tartozó konverziót tartalmazó műveletek állnak.</w:t>
      </w:r>
    </w:p>
    <w:p w14:paraId="30569116" w14:textId="55FEB697" w:rsidR="00980E56" w:rsidRPr="00980E56" w:rsidRDefault="00980E56" w:rsidP="00203266">
      <w:pPr>
        <w:jc w:val="both"/>
        <w:rPr>
          <w:rFonts w:ascii="Times New Roman" w:eastAsia="Times New Roman" w:hAnsi="Times New Roman" w:cs="Times New Roman"/>
          <w:sz w:val="26"/>
          <w:szCs w:val="20"/>
          <w:lang w:eastAsia="hu-HU"/>
        </w:rPr>
      </w:pPr>
      <w:r w:rsidRPr="00980E56">
        <w:rPr>
          <w:rFonts w:ascii="Times New Roman" w:eastAsia="Times New Roman" w:hAnsi="Times New Roman" w:cs="Times New Roman"/>
          <w:sz w:val="26"/>
          <w:szCs w:val="20"/>
          <w:lang w:eastAsia="hu-HU"/>
        </w:rPr>
        <w:t xml:space="preserve">A </w:t>
      </w:r>
      <w:r w:rsidRPr="00980E56">
        <w:rPr>
          <w:rFonts w:ascii="Times New Roman" w:eastAsia="Times New Roman" w:hAnsi="Times New Roman" w:cs="Times New Roman"/>
          <w:b/>
          <w:sz w:val="26"/>
          <w:szCs w:val="20"/>
          <w:lang w:eastAsia="hu-HU"/>
        </w:rPr>
        <w:t xml:space="preserve">biztosítási adóból </w:t>
      </w:r>
      <w:r w:rsidRPr="00980E56">
        <w:rPr>
          <w:rFonts w:ascii="Times New Roman" w:eastAsia="Times New Roman" w:hAnsi="Times New Roman" w:cs="Times New Roman"/>
          <w:sz w:val="26"/>
          <w:szCs w:val="20"/>
          <w:lang w:eastAsia="hu-HU"/>
        </w:rPr>
        <w:t xml:space="preserve">származó bevétel </w:t>
      </w:r>
      <w:r w:rsidR="00AE4815">
        <w:rPr>
          <w:rFonts w:ascii="Times New Roman" w:eastAsia="Times New Roman" w:hAnsi="Times New Roman" w:cs="Times New Roman"/>
          <w:sz w:val="26"/>
          <w:szCs w:val="20"/>
          <w:lang w:eastAsia="hu-HU"/>
        </w:rPr>
        <w:t>az</w:t>
      </w:r>
      <w:r w:rsidRPr="00980E56">
        <w:rPr>
          <w:rFonts w:ascii="Times New Roman" w:eastAsia="Times New Roman" w:hAnsi="Times New Roman" w:cs="Times New Roman"/>
          <w:sz w:val="26"/>
          <w:szCs w:val="20"/>
          <w:lang w:eastAsia="hu-HU"/>
        </w:rPr>
        <w:t xml:space="preserve"> év első nyolc hónapjában 123,5</w:t>
      </w:r>
      <w:r w:rsidR="00AE4815">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milliárd forintot tett ki, amely 66,3 milliárd forinttal alacsonyabb az egy évvel korábbi bevételnél. A</w:t>
      </w:r>
      <w:r w:rsidR="004012A0">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sz w:val="26"/>
          <w:szCs w:val="20"/>
          <w:lang w:eastAsia="hu-HU"/>
        </w:rPr>
        <w:t>bevételek előző évhez viszonyított alacsonyabb teljesülését egyrészt a 2023. évi biztosítási pótadó-kötelezettség 2024. januári és júliusi elszámolásából fakadó többletbevétel, másrészt a 2024. évi pótadóelőleg első, 2024</w:t>
      </w:r>
      <w:r w:rsidR="007C4EF2">
        <w:rPr>
          <w:rFonts w:ascii="Times New Roman" w:eastAsia="Times New Roman" w:hAnsi="Times New Roman" w:cs="Times New Roman"/>
          <w:sz w:val="26"/>
          <w:szCs w:val="20"/>
          <w:lang w:eastAsia="hu-HU"/>
        </w:rPr>
        <w:t>.</w:t>
      </w:r>
      <w:r w:rsidRPr="00980E56">
        <w:rPr>
          <w:rFonts w:ascii="Times New Roman" w:eastAsia="Times New Roman" w:hAnsi="Times New Roman" w:cs="Times New Roman"/>
          <w:sz w:val="26"/>
          <w:szCs w:val="20"/>
          <w:lang w:eastAsia="hu-HU"/>
        </w:rPr>
        <w:t xml:space="preserve"> május havi befizetése befolyásolja.</w:t>
      </w:r>
    </w:p>
    <w:p w14:paraId="68EDBC78" w14:textId="6133ADED" w:rsidR="006330AD" w:rsidRPr="006330AD" w:rsidRDefault="00980E56" w:rsidP="00203266">
      <w:pPr>
        <w:jc w:val="both"/>
        <w:rPr>
          <w:rFonts w:ascii="Times New Roman" w:eastAsia="Times New Roman" w:hAnsi="Times New Roman" w:cs="Times New Roman"/>
          <w:color w:val="000000" w:themeColor="text1"/>
          <w:sz w:val="26"/>
          <w:szCs w:val="26"/>
          <w:lang w:eastAsia="hu-HU"/>
        </w:rPr>
      </w:pPr>
      <w:r w:rsidRPr="00980E56">
        <w:rPr>
          <w:rFonts w:ascii="Times New Roman" w:eastAsia="Times New Roman" w:hAnsi="Times New Roman" w:cs="Times New Roman"/>
          <w:color w:val="000000"/>
          <w:sz w:val="26"/>
          <w:szCs w:val="20"/>
          <w:lang w:eastAsia="hu-HU"/>
        </w:rPr>
        <w:t xml:space="preserve">A </w:t>
      </w:r>
      <w:r w:rsidRPr="00980E56">
        <w:rPr>
          <w:rFonts w:ascii="Times New Roman" w:eastAsia="Times New Roman" w:hAnsi="Times New Roman" w:cs="Times New Roman"/>
          <w:b/>
          <w:bCs/>
          <w:color w:val="000000"/>
          <w:sz w:val="26"/>
          <w:szCs w:val="20"/>
          <w:lang w:eastAsia="hu-HU"/>
        </w:rPr>
        <w:t>személyi jövedelemadó</w:t>
      </w:r>
      <w:r w:rsidRPr="00980E56">
        <w:rPr>
          <w:rFonts w:ascii="Times New Roman" w:eastAsia="Times New Roman" w:hAnsi="Times New Roman" w:cs="Times New Roman"/>
          <w:color w:val="000000"/>
          <w:sz w:val="26"/>
          <w:szCs w:val="20"/>
          <w:lang w:eastAsia="hu-HU"/>
        </w:rPr>
        <w:t xml:space="preserve"> bevétele 2025 első nyolc hónapjában 3</w:t>
      </w:r>
      <w:r w:rsidRPr="00980E56">
        <w:rPr>
          <w:rFonts w:ascii="Times New Roman" w:eastAsia="Times New Roman" w:hAnsi="Times New Roman" w:cs="Times New Roman"/>
          <w:sz w:val="26"/>
          <w:szCs w:val="20"/>
          <w:lang w:eastAsia="hu-HU"/>
        </w:rPr>
        <w:t>256,4 </w:t>
      </w:r>
      <w:r w:rsidRPr="00980E56">
        <w:rPr>
          <w:rFonts w:ascii="Times New Roman" w:eastAsia="Times New Roman" w:hAnsi="Times New Roman" w:cs="Times New Roman"/>
          <w:color w:val="000000"/>
          <w:sz w:val="26"/>
          <w:szCs w:val="20"/>
          <w:lang w:eastAsia="hu-HU"/>
        </w:rPr>
        <w:t>milliárd</w:t>
      </w:r>
      <w:r w:rsidRPr="00980E5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color w:val="000000"/>
          <w:sz w:val="26"/>
          <w:szCs w:val="20"/>
          <w:lang w:eastAsia="hu-HU"/>
        </w:rPr>
        <w:t>forint volt, amely 278,8</w:t>
      </w:r>
      <w:r w:rsidRPr="00980E5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color w:val="000000"/>
          <w:sz w:val="26"/>
          <w:szCs w:val="20"/>
          <w:lang w:eastAsia="hu-HU"/>
        </w:rPr>
        <w:t>milliárd</w:t>
      </w:r>
      <w:r w:rsidRPr="00980E56">
        <w:rPr>
          <w:rFonts w:ascii="Times New Roman" w:eastAsia="Times New Roman" w:hAnsi="Times New Roman" w:cs="Times New Roman"/>
          <w:sz w:val="26"/>
          <w:szCs w:val="20"/>
          <w:lang w:eastAsia="hu-HU"/>
        </w:rPr>
        <w:t> </w:t>
      </w:r>
      <w:r w:rsidRPr="00980E56">
        <w:rPr>
          <w:rFonts w:ascii="Times New Roman" w:eastAsia="Times New Roman" w:hAnsi="Times New Roman" w:cs="Times New Roman"/>
          <w:color w:val="000000"/>
          <w:sz w:val="26"/>
          <w:szCs w:val="20"/>
          <w:lang w:eastAsia="hu-HU"/>
        </w:rPr>
        <w:t>forinttal magasabb az egy évvel korábbi összegnél. Ennek oka a bértömeg növekedése</w:t>
      </w:r>
      <w:r w:rsidR="7C285CBA" w:rsidRPr="7C285CBA">
        <w:rPr>
          <w:rFonts w:ascii="Times New Roman" w:eastAsia="Times New Roman" w:hAnsi="Times New Roman" w:cs="Times New Roman"/>
          <w:color w:val="000000" w:themeColor="text1"/>
          <w:sz w:val="26"/>
          <w:szCs w:val="26"/>
          <w:lang w:eastAsia="hu-HU"/>
        </w:rPr>
        <w:t>.</w:t>
      </w:r>
    </w:p>
    <w:p w14:paraId="4AD2F5D6" w14:textId="3FECE57E" w:rsidR="00085C37" w:rsidRPr="005861AE" w:rsidRDefault="7C285CBA" w:rsidP="7C285CBA">
      <w:pPr>
        <w:spacing w:before="240"/>
        <w:jc w:val="center"/>
        <w:rPr>
          <w:rFonts w:ascii="Times New Roman" w:hAnsi="Times New Roman" w:cs="Times New Roman"/>
          <w:b/>
          <w:bCs/>
        </w:rPr>
      </w:pPr>
      <w:r w:rsidRPr="7C285CBA">
        <w:rPr>
          <w:rFonts w:ascii="Times New Roman" w:hAnsi="Times New Roman" w:cs="Times New Roman"/>
          <w:b/>
          <w:bCs/>
        </w:rPr>
        <w:t>Személyi jövedelemadó bevétel alakulása (milliárd forint)</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9"/>
        <w:gridCol w:w="1645"/>
        <w:gridCol w:w="1701"/>
        <w:gridCol w:w="992"/>
        <w:gridCol w:w="992"/>
      </w:tblGrid>
      <w:tr w:rsidR="00980E56" w:rsidRPr="00980E56" w14:paraId="646BF5E2" w14:textId="77777777" w:rsidTr="003D4300">
        <w:trPr>
          <w:trHeight w:val="283"/>
          <w:jc w:val="center"/>
        </w:trPr>
        <w:tc>
          <w:tcPr>
            <w:tcW w:w="1469" w:type="dxa"/>
            <w:vMerge w:val="restart"/>
            <w:shd w:val="clear" w:color="auto" w:fill="BDD6EE" w:themeFill="accent1" w:themeFillTint="66"/>
            <w:noWrap/>
            <w:vAlign w:val="center"/>
            <w:hideMark/>
          </w:tcPr>
          <w:p w14:paraId="76E9FB5B" w14:textId="77777777" w:rsidR="00980E56" w:rsidRPr="00980E56" w:rsidRDefault="00980E56" w:rsidP="00980E56">
            <w:pPr>
              <w:keepNext/>
              <w:keepLines/>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Megnevezés</w:t>
            </w:r>
          </w:p>
        </w:tc>
        <w:tc>
          <w:tcPr>
            <w:tcW w:w="1645" w:type="dxa"/>
            <w:vMerge w:val="restart"/>
            <w:shd w:val="clear" w:color="auto" w:fill="BDD6EE" w:themeFill="accent1" w:themeFillTint="66"/>
            <w:vAlign w:val="center"/>
            <w:hideMark/>
          </w:tcPr>
          <w:p w14:paraId="095CD62A" w14:textId="34A2E972"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 xml:space="preserve">2024. </w:t>
            </w:r>
            <w:r w:rsidRPr="00980E56">
              <w:rPr>
                <w:rFonts w:ascii="Times New Roman" w:eastAsia="Times New Roman" w:hAnsi="Times New Roman" w:cs="Times New Roman"/>
                <w:b/>
                <w:bCs/>
                <w:szCs w:val="20"/>
                <w:lang w:eastAsia="hu-HU"/>
              </w:rPr>
              <w:br/>
              <w:t>I-VIII. hó</w:t>
            </w:r>
          </w:p>
        </w:tc>
        <w:tc>
          <w:tcPr>
            <w:tcW w:w="1701" w:type="dxa"/>
            <w:vMerge w:val="restart"/>
            <w:shd w:val="clear" w:color="auto" w:fill="BDD6EE" w:themeFill="accent1" w:themeFillTint="66"/>
            <w:vAlign w:val="center"/>
            <w:hideMark/>
          </w:tcPr>
          <w:p w14:paraId="4990B64A" w14:textId="16A43571"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2025.</w:t>
            </w:r>
            <w:r w:rsidRPr="00980E56">
              <w:rPr>
                <w:rFonts w:ascii="Times New Roman" w:eastAsia="Times New Roman" w:hAnsi="Times New Roman" w:cs="Times New Roman"/>
                <w:b/>
                <w:bCs/>
                <w:szCs w:val="20"/>
                <w:lang w:eastAsia="hu-HU"/>
              </w:rPr>
              <w:br/>
              <w:t>I-VIII. hó</w:t>
            </w:r>
          </w:p>
        </w:tc>
        <w:tc>
          <w:tcPr>
            <w:tcW w:w="1984" w:type="dxa"/>
            <w:gridSpan w:val="2"/>
            <w:shd w:val="clear" w:color="auto" w:fill="BDD6EE" w:themeFill="accent1" w:themeFillTint="66"/>
            <w:vAlign w:val="center"/>
            <w:hideMark/>
          </w:tcPr>
          <w:p w14:paraId="4FAE1517" w14:textId="77777777" w:rsidR="00980E56" w:rsidRPr="00980E56" w:rsidRDefault="00980E56" w:rsidP="00980E56">
            <w:pPr>
              <w:keepNext/>
              <w:keepLines/>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Eltérés</w:t>
            </w:r>
          </w:p>
        </w:tc>
      </w:tr>
      <w:tr w:rsidR="00980E56" w:rsidRPr="00980E56" w14:paraId="0379C3FF" w14:textId="77777777" w:rsidTr="003D4300">
        <w:trPr>
          <w:trHeight w:val="283"/>
          <w:jc w:val="center"/>
        </w:trPr>
        <w:tc>
          <w:tcPr>
            <w:tcW w:w="1469" w:type="dxa"/>
            <w:vMerge/>
            <w:shd w:val="clear" w:color="auto" w:fill="BDD6EE" w:themeFill="accent1" w:themeFillTint="66"/>
            <w:noWrap/>
            <w:vAlign w:val="center"/>
          </w:tcPr>
          <w:p w14:paraId="1CC4D9D6" w14:textId="77777777" w:rsidR="00980E56" w:rsidRPr="00980E56" w:rsidRDefault="00980E56" w:rsidP="00980E56">
            <w:pPr>
              <w:keepNext/>
              <w:keepLines/>
              <w:spacing w:after="0" w:line="240" w:lineRule="auto"/>
              <w:jc w:val="center"/>
              <w:rPr>
                <w:rFonts w:ascii="Times New Roman" w:eastAsia="Times New Roman" w:hAnsi="Times New Roman" w:cs="Times New Roman"/>
                <w:b/>
                <w:bCs/>
                <w:szCs w:val="20"/>
                <w:lang w:eastAsia="hu-HU"/>
              </w:rPr>
            </w:pPr>
          </w:p>
        </w:tc>
        <w:tc>
          <w:tcPr>
            <w:tcW w:w="1645" w:type="dxa"/>
            <w:vMerge/>
            <w:shd w:val="clear" w:color="auto" w:fill="BDD6EE" w:themeFill="accent1" w:themeFillTint="66"/>
            <w:vAlign w:val="center"/>
          </w:tcPr>
          <w:p w14:paraId="46E5AE73"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p>
        </w:tc>
        <w:tc>
          <w:tcPr>
            <w:tcW w:w="1701" w:type="dxa"/>
            <w:vMerge/>
            <w:shd w:val="clear" w:color="auto" w:fill="BDD6EE" w:themeFill="accent1" w:themeFillTint="66"/>
            <w:vAlign w:val="center"/>
          </w:tcPr>
          <w:p w14:paraId="74624518" w14:textId="77777777" w:rsidR="00980E56" w:rsidRPr="00980E56" w:rsidRDefault="00980E56" w:rsidP="00980E56">
            <w:pPr>
              <w:spacing w:after="0" w:line="240" w:lineRule="auto"/>
              <w:jc w:val="center"/>
              <w:rPr>
                <w:rFonts w:ascii="Times New Roman" w:eastAsia="Times New Roman" w:hAnsi="Times New Roman" w:cs="Times New Roman"/>
                <w:b/>
                <w:bCs/>
                <w:szCs w:val="20"/>
                <w:lang w:eastAsia="hu-HU"/>
              </w:rPr>
            </w:pPr>
          </w:p>
        </w:tc>
        <w:tc>
          <w:tcPr>
            <w:tcW w:w="992" w:type="dxa"/>
            <w:shd w:val="clear" w:color="auto" w:fill="BDD6EE" w:themeFill="accent1" w:themeFillTint="66"/>
            <w:vAlign w:val="center"/>
          </w:tcPr>
          <w:p w14:paraId="7901A952" w14:textId="77777777" w:rsidR="00980E56" w:rsidRPr="00980E56" w:rsidRDefault="00980E56" w:rsidP="00980E56">
            <w:pPr>
              <w:keepNext/>
              <w:keepLines/>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Mrd Ft</w:t>
            </w:r>
          </w:p>
        </w:tc>
        <w:tc>
          <w:tcPr>
            <w:tcW w:w="992" w:type="dxa"/>
            <w:shd w:val="clear" w:color="auto" w:fill="BDD6EE" w:themeFill="accent1" w:themeFillTint="66"/>
          </w:tcPr>
          <w:p w14:paraId="4FC99584" w14:textId="77777777" w:rsidR="00980E56" w:rsidRPr="00980E56" w:rsidRDefault="00980E56" w:rsidP="00980E56">
            <w:pPr>
              <w:keepNext/>
              <w:keepLines/>
              <w:spacing w:after="0" w:line="240" w:lineRule="auto"/>
              <w:jc w:val="center"/>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w:t>
            </w:r>
          </w:p>
        </w:tc>
      </w:tr>
      <w:tr w:rsidR="00980E56" w:rsidRPr="00980E56" w14:paraId="1D0B50BF" w14:textId="77777777" w:rsidTr="00841821">
        <w:trPr>
          <w:trHeight w:val="340"/>
          <w:jc w:val="center"/>
        </w:trPr>
        <w:tc>
          <w:tcPr>
            <w:tcW w:w="1469" w:type="dxa"/>
            <w:noWrap/>
            <w:vAlign w:val="center"/>
            <w:hideMark/>
          </w:tcPr>
          <w:p w14:paraId="7160B559" w14:textId="77777777" w:rsidR="00980E56" w:rsidRPr="00980E56" w:rsidRDefault="00980E56" w:rsidP="00980E56">
            <w:pPr>
              <w:keepNext/>
              <w:keepLines/>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Befizetés</w:t>
            </w:r>
          </w:p>
        </w:tc>
        <w:tc>
          <w:tcPr>
            <w:tcW w:w="1645" w:type="dxa"/>
            <w:noWrap/>
            <w:vAlign w:val="center"/>
          </w:tcPr>
          <w:p w14:paraId="2619FB83"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3 202,9</w:t>
            </w:r>
          </w:p>
        </w:tc>
        <w:tc>
          <w:tcPr>
            <w:tcW w:w="1701" w:type="dxa"/>
            <w:noWrap/>
            <w:vAlign w:val="center"/>
          </w:tcPr>
          <w:p w14:paraId="4DD2A4E2"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3 500,1</w:t>
            </w:r>
          </w:p>
        </w:tc>
        <w:tc>
          <w:tcPr>
            <w:tcW w:w="992" w:type="dxa"/>
            <w:noWrap/>
            <w:vAlign w:val="center"/>
          </w:tcPr>
          <w:p w14:paraId="250C5934"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297,2</w:t>
            </w:r>
          </w:p>
        </w:tc>
        <w:tc>
          <w:tcPr>
            <w:tcW w:w="992" w:type="dxa"/>
            <w:vAlign w:val="center"/>
          </w:tcPr>
          <w:p w14:paraId="65C6F754"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109,3</w:t>
            </w:r>
          </w:p>
        </w:tc>
      </w:tr>
      <w:tr w:rsidR="00980E56" w:rsidRPr="00980E56" w14:paraId="77242B18" w14:textId="77777777" w:rsidTr="00841821">
        <w:trPr>
          <w:trHeight w:val="340"/>
          <w:jc w:val="center"/>
        </w:trPr>
        <w:tc>
          <w:tcPr>
            <w:tcW w:w="1469" w:type="dxa"/>
            <w:noWrap/>
            <w:vAlign w:val="center"/>
            <w:hideMark/>
          </w:tcPr>
          <w:p w14:paraId="56257332" w14:textId="77777777" w:rsidR="00980E56" w:rsidRPr="00980E56" w:rsidRDefault="00980E56" w:rsidP="00980E56">
            <w:pPr>
              <w:keepNext/>
              <w:keepLines/>
              <w:spacing w:after="0" w:line="240" w:lineRule="auto"/>
              <w:jc w:val="both"/>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Kiutalás</w:t>
            </w:r>
          </w:p>
        </w:tc>
        <w:tc>
          <w:tcPr>
            <w:tcW w:w="1645" w:type="dxa"/>
            <w:noWrap/>
            <w:vAlign w:val="center"/>
          </w:tcPr>
          <w:p w14:paraId="75C12DC3"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225,3</w:t>
            </w:r>
          </w:p>
        </w:tc>
        <w:tc>
          <w:tcPr>
            <w:tcW w:w="1701" w:type="dxa"/>
            <w:noWrap/>
            <w:vAlign w:val="center"/>
          </w:tcPr>
          <w:p w14:paraId="0F058190"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243,7</w:t>
            </w:r>
          </w:p>
        </w:tc>
        <w:tc>
          <w:tcPr>
            <w:tcW w:w="992" w:type="dxa"/>
            <w:noWrap/>
            <w:vAlign w:val="center"/>
          </w:tcPr>
          <w:p w14:paraId="61481E31"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18,4</w:t>
            </w:r>
          </w:p>
        </w:tc>
        <w:tc>
          <w:tcPr>
            <w:tcW w:w="992" w:type="dxa"/>
            <w:vAlign w:val="center"/>
          </w:tcPr>
          <w:p w14:paraId="26BB3670" w14:textId="77777777" w:rsidR="00980E56" w:rsidRPr="00980E56" w:rsidRDefault="00980E56" w:rsidP="00980E56">
            <w:pPr>
              <w:keepNext/>
              <w:keepLines/>
              <w:spacing w:after="0" w:line="240" w:lineRule="auto"/>
              <w:jc w:val="right"/>
              <w:rPr>
                <w:rFonts w:ascii="Times New Roman" w:eastAsia="Times New Roman" w:hAnsi="Times New Roman" w:cs="Times New Roman"/>
                <w:szCs w:val="20"/>
                <w:lang w:eastAsia="hu-HU"/>
              </w:rPr>
            </w:pPr>
            <w:r w:rsidRPr="00980E56">
              <w:rPr>
                <w:rFonts w:ascii="Times New Roman" w:eastAsia="Times New Roman" w:hAnsi="Times New Roman" w:cs="Times New Roman"/>
                <w:szCs w:val="20"/>
                <w:lang w:eastAsia="hu-HU"/>
              </w:rPr>
              <w:t>108,2</w:t>
            </w:r>
          </w:p>
        </w:tc>
      </w:tr>
      <w:tr w:rsidR="00980E56" w:rsidRPr="00980E56" w14:paraId="5BBF5941" w14:textId="77777777" w:rsidTr="00841821">
        <w:trPr>
          <w:trHeight w:val="340"/>
          <w:jc w:val="center"/>
        </w:trPr>
        <w:tc>
          <w:tcPr>
            <w:tcW w:w="1469" w:type="dxa"/>
            <w:noWrap/>
            <w:vAlign w:val="center"/>
            <w:hideMark/>
          </w:tcPr>
          <w:p w14:paraId="419631B4" w14:textId="77777777" w:rsidR="00980E56" w:rsidRPr="00980E56" w:rsidRDefault="00980E56" w:rsidP="00980E56">
            <w:pPr>
              <w:widowControl w:val="0"/>
              <w:spacing w:after="0" w:line="240" w:lineRule="auto"/>
              <w:jc w:val="both"/>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Egyenleg</w:t>
            </w:r>
          </w:p>
        </w:tc>
        <w:tc>
          <w:tcPr>
            <w:tcW w:w="1645" w:type="dxa"/>
            <w:noWrap/>
            <w:vAlign w:val="center"/>
          </w:tcPr>
          <w:p w14:paraId="39FD9524" w14:textId="77777777" w:rsidR="00980E56" w:rsidRPr="00980E56" w:rsidRDefault="00980E56" w:rsidP="00980E56">
            <w:pPr>
              <w:widowControl w:val="0"/>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2 977,6</w:t>
            </w:r>
          </w:p>
        </w:tc>
        <w:tc>
          <w:tcPr>
            <w:tcW w:w="1701" w:type="dxa"/>
            <w:noWrap/>
            <w:vAlign w:val="center"/>
          </w:tcPr>
          <w:p w14:paraId="504F5C3F" w14:textId="77777777" w:rsidR="00980E56" w:rsidRPr="00980E56" w:rsidRDefault="00980E56" w:rsidP="00980E56">
            <w:pPr>
              <w:widowControl w:val="0"/>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3 256,4</w:t>
            </w:r>
          </w:p>
        </w:tc>
        <w:tc>
          <w:tcPr>
            <w:tcW w:w="992" w:type="dxa"/>
            <w:noWrap/>
            <w:vAlign w:val="center"/>
          </w:tcPr>
          <w:p w14:paraId="0F92B262" w14:textId="77777777" w:rsidR="00980E56" w:rsidRPr="00980E56" w:rsidRDefault="00980E56" w:rsidP="00980E56">
            <w:pPr>
              <w:widowControl w:val="0"/>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278,8</w:t>
            </w:r>
          </w:p>
        </w:tc>
        <w:tc>
          <w:tcPr>
            <w:tcW w:w="992" w:type="dxa"/>
            <w:vAlign w:val="center"/>
          </w:tcPr>
          <w:p w14:paraId="09D216BF" w14:textId="77777777" w:rsidR="00980E56" w:rsidRPr="00980E56" w:rsidRDefault="00980E56" w:rsidP="00980E56">
            <w:pPr>
              <w:widowControl w:val="0"/>
              <w:spacing w:after="0" w:line="240" w:lineRule="auto"/>
              <w:jc w:val="right"/>
              <w:rPr>
                <w:rFonts w:ascii="Times New Roman" w:eastAsia="Times New Roman" w:hAnsi="Times New Roman" w:cs="Times New Roman"/>
                <w:b/>
                <w:bCs/>
                <w:szCs w:val="20"/>
                <w:lang w:eastAsia="hu-HU"/>
              </w:rPr>
            </w:pPr>
            <w:r w:rsidRPr="00980E56">
              <w:rPr>
                <w:rFonts w:ascii="Times New Roman" w:eastAsia="Times New Roman" w:hAnsi="Times New Roman" w:cs="Times New Roman"/>
                <w:b/>
                <w:bCs/>
                <w:szCs w:val="20"/>
                <w:lang w:eastAsia="hu-HU"/>
              </w:rPr>
              <w:t>109,4</w:t>
            </w:r>
          </w:p>
        </w:tc>
      </w:tr>
    </w:tbl>
    <w:p w14:paraId="54234F12" w14:textId="33E140C1" w:rsidR="123EFD2F" w:rsidRPr="00381A54" w:rsidRDefault="7C285CBA" w:rsidP="7C285CBA">
      <w:pPr>
        <w:spacing w:before="24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Központi Maradványelszámolási Alapba</w:t>
      </w:r>
      <w:r w:rsidRPr="7C285CBA">
        <w:rPr>
          <w:rFonts w:ascii="Times New Roman" w:eastAsia="Times New Roman" w:hAnsi="Times New Roman" w:cs="Times New Roman"/>
          <w:sz w:val="26"/>
          <w:szCs w:val="26"/>
        </w:rPr>
        <w:t xml:space="preserve"> </w:t>
      </w:r>
      <w:r w:rsidRPr="7C285CBA">
        <w:rPr>
          <w:rFonts w:ascii="Times New Roman" w:eastAsia="Times New Roman" w:hAnsi="Times New Roman" w:cs="Times New Roman"/>
          <w:b/>
          <w:bCs/>
          <w:sz w:val="26"/>
          <w:szCs w:val="26"/>
        </w:rPr>
        <w:t>történő befizetések</w:t>
      </w:r>
      <w:r w:rsidRPr="7C285CBA">
        <w:rPr>
          <w:rFonts w:ascii="Times New Roman" w:eastAsia="Times New Roman" w:hAnsi="Times New Roman" w:cs="Times New Roman"/>
          <w:sz w:val="26"/>
          <w:szCs w:val="26"/>
        </w:rPr>
        <w:t xml:space="preserve"> mérlegsorra az év első nyolc hónapjában 331,1 milliárd forint maradvány került befizetésre, szemben az előző év azonos időszakában befolyt 167,2 milliárd forintos összeggel.</w:t>
      </w:r>
    </w:p>
    <w:p w14:paraId="25C427CE" w14:textId="09FA15B7" w:rsidR="029C2633" w:rsidRPr="00381A54" w:rsidRDefault="7C285CBA" w:rsidP="7C285CBA">
      <w:pPr>
        <w:jc w:val="both"/>
        <w:rPr>
          <w:rFonts w:ascii="Times New Roman" w:eastAsia="Times New Roman" w:hAnsi="Times New Roman" w:cs="Times New Roman"/>
          <w:b/>
          <w:bCs/>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 xml:space="preserve">állami vagyonnal kapcsolatos befizetések </w:t>
      </w:r>
      <w:r w:rsidRPr="7C285CBA">
        <w:rPr>
          <w:rFonts w:ascii="Times New Roman" w:eastAsia="Times New Roman" w:hAnsi="Times New Roman" w:cs="Times New Roman"/>
          <w:sz w:val="26"/>
          <w:szCs w:val="26"/>
        </w:rPr>
        <w:t>2025 első nyolchavi összege 613,6 milliárd forint, amelynek meghatározó tétele az osztalékbefizetés volt.</w:t>
      </w:r>
      <w:r w:rsidRPr="7C285CBA">
        <w:rPr>
          <w:rFonts w:ascii="Times New Roman" w:eastAsia="Times New Roman" w:hAnsi="Times New Roman" w:cs="Times New Roman"/>
          <w:b/>
          <w:bCs/>
          <w:sz w:val="26"/>
          <w:szCs w:val="26"/>
        </w:rPr>
        <w:t xml:space="preserve"> </w:t>
      </w:r>
    </w:p>
    <w:p w14:paraId="0D0F2783" w14:textId="3C4C3EDE" w:rsidR="009D55B4" w:rsidRPr="00377D59" w:rsidRDefault="00B3244C" w:rsidP="009D55B4">
      <w:pPr>
        <w:jc w:val="center"/>
        <w:rPr>
          <w:rFonts w:ascii="Times New Roman" w:eastAsia="Times New Roman" w:hAnsi="Times New Roman" w:cs="Times New Roman"/>
          <w:sz w:val="26"/>
          <w:szCs w:val="26"/>
        </w:rPr>
      </w:pPr>
      <w:r>
        <w:rPr>
          <w:noProof/>
        </w:rPr>
        <w:drawing>
          <wp:inline distT="0" distB="0" distL="0" distR="0" wp14:anchorId="54149D5E" wp14:editId="4288C44C">
            <wp:extent cx="5040172" cy="3099239"/>
            <wp:effectExtent l="0" t="0" r="8255" b="6350"/>
            <wp:docPr id="665358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582" name=""/>
                    <pic:cNvPicPr/>
                  </pic:nvPicPr>
                  <pic:blipFill rotWithShape="1">
                    <a:blip r:embed="rId16"/>
                    <a:srcRect l="3172"/>
                    <a:stretch/>
                  </pic:blipFill>
                  <pic:spPr bwMode="auto">
                    <a:xfrm>
                      <a:off x="0" y="0"/>
                      <a:ext cx="5090089" cy="3129933"/>
                    </a:xfrm>
                    <a:prstGeom prst="rect">
                      <a:avLst/>
                    </a:prstGeom>
                    <a:ln>
                      <a:noFill/>
                    </a:ln>
                    <a:extLst>
                      <a:ext uri="{53640926-AAD7-44D8-BBD7-CCE9431645EC}">
                        <a14:shadowObscured xmlns:a14="http://schemas.microsoft.com/office/drawing/2010/main"/>
                      </a:ext>
                    </a:extLst>
                  </pic:spPr>
                </pic:pic>
              </a:graphicData>
            </a:graphic>
          </wp:inline>
        </w:drawing>
      </w:r>
    </w:p>
    <w:p w14:paraId="23623F4E" w14:textId="6C8A3A23" w:rsidR="5B67C7D7" w:rsidRPr="00920F4D" w:rsidRDefault="7C285CBA" w:rsidP="00285866">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lastRenderedPageBreak/>
        <w:t xml:space="preserve">A költségvetés XLV. </w:t>
      </w:r>
      <w:r w:rsidRPr="7C285CBA">
        <w:rPr>
          <w:rFonts w:ascii="Times New Roman" w:eastAsia="Times New Roman" w:hAnsi="Times New Roman" w:cs="Times New Roman"/>
          <w:b/>
          <w:bCs/>
          <w:sz w:val="26"/>
          <w:szCs w:val="26"/>
        </w:rPr>
        <w:t>Állami beruházások</w:t>
      </w:r>
      <w:r w:rsidRPr="7C285CBA">
        <w:rPr>
          <w:rFonts w:ascii="Times New Roman" w:eastAsia="Times New Roman" w:hAnsi="Times New Roman" w:cs="Times New Roman"/>
          <w:sz w:val="26"/>
          <w:szCs w:val="26"/>
        </w:rPr>
        <w:t xml:space="preserve"> fejezetének bevételei 2025. augusztus végéig 167,2 milliárd forintot tettek ki.</w:t>
      </w:r>
    </w:p>
    <w:p w14:paraId="4BE4CA6A" w14:textId="7EF78DD2" w:rsidR="39728167" w:rsidRPr="00377D59" w:rsidRDefault="7C285CBA" w:rsidP="00285866">
      <w:pPr>
        <w:jc w:val="both"/>
        <w:rPr>
          <w:rFonts w:ascii="Times New Roman" w:hAnsi="Times New Roman" w:cs="Times New Roman"/>
        </w:rPr>
      </w:pPr>
      <w:r w:rsidRPr="7C285CBA">
        <w:rPr>
          <w:rFonts w:ascii="Times New Roman" w:eastAsia="Times New Roman" w:hAnsi="Times New Roman" w:cs="Times New Roman"/>
          <w:sz w:val="26"/>
          <w:szCs w:val="26"/>
        </w:rPr>
        <w:t xml:space="preserve">Az uniós bevételek főszabály szerint a XLII. A költségvetés közvetlen bevételei és kiadásai fejezetbe érkeznek, ezek kimutatására szolgálnak az </w:t>
      </w:r>
      <w:r w:rsidRPr="7C285CBA">
        <w:rPr>
          <w:rFonts w:ascii="Times New Roman" w:eastAsia="Times New Roman" w:hAnsi="Times New Roman" w:cs="Times New Roman"/>
          <w:b/>
          <w:bCs/>
          <w:sz w:val="26"/>
          <w:szCs w:val="26"/>
        </w:rPr>
        <w:t>Uniós programok bevételei</w:t>
      </w:r>
      <w:r w:rsidRPr="7C285CBA">
        <w:rPr>
          <w:rFonts w:ascii="Times New Roman" w:eastAsia="Times New Roman" w:hAnsi="Times New Roman" w:cs="Times New Roman"/>
          <w:sz w:val="26"/>
          <w:szCs w:val="26"/>
        </w:rPr>
        <w:t xml:space="preserve">, valamint az </w:t>
      </w:r>
      <w:r w:rsidRPr="7C285CBA">
        <w:rPr>
          <w:rFonts w:ascii="Times New Roman" w:eastAsia="Times New Roman" w:hAnsi="Times New Roman" w:cs="Times New Roman"/>
          <w:b/>
          <w:bCs/>
          <w:sz w:val="26"/>
          <w:szCs w:val="26"/>
        </w:rPr>
        <w:t>Egyéb uniós bevételek</w:t>
      </w:r>
      <w:r w:rsidRPr="7C285CBA">
        <w:rPr>
          <w:rFonts w:ascii="Times New Roman" w:eastAsia="Times New Roman" w:hAnsi="Times New Roman" w:cs="Times New Roman"/>
          <w:sz w:val="26"/>
          <w:szCs w:val="26"/>
        </w:rPr>
        <w:t xml:space="preserve"> mérlegsorok.</w:t>
      </w:r>
    </w:p>
    <w:p w14:paraId="3C3A66C8" w14:textId="02F8E535" w:rsidR="74B9DF17" w:rsidRDefault="7C285CBA" w:rsidP="00285866">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Uniós programok bevételei</w:t>
      </w:r>
      <w:r w:rsidRPr="7C285CBA">
        <w:rPr>
          <w:rFonts w:ascii="Times New Roman" w:eastAsia="Times New Roman" w:hAnsi="Times New Roman" w:cs="Times New Roman"/>
          <w:sz w:val="26"/>
          <w:szCs w:val="26"/>
        </w:rPr>
        <w:t xml:space="preserve"> mérlegsoron 2025. augusztus végéig 500,1 milliárd forint bevétel keletkezett. Ez az összeg a törvényi előirányzat (2235,9 milliárd forint) 22,4%-át teszi ki. A teljesült bevételből 436,8 milliárd forint az uniós és 63,3 milliárd forint az egyéb bevételekhez tartozik.</w:t>
      </w:r>
    </w:p>
    <w:p w14:paraId="040E2327" w14:textId="4657E2C7" w:rsidR="74B9DF17" w:rsidRPr="00FE12D5" w:rsidRDefault="7C285CBA" w:rsidP="00285866">
      <w:pPr>
        <w:jc w:val="both"/>
        <w:rPr>
          <w:rFonts w:ascii="Times New Roman" w:hAnsi="Times New Roman" w:cs="Times New Roman"/>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 xml:space="preserve">Egyéb uniós bevételek </w:t>
      </w:r>
      <w:r w:rsidRPr="7C285CBA">
        <w:rPr>
          <w:rFonts w:ascii="Times New Roman" w:eastAsia="Times New Roman" w:hAnsi="Times New Roman" w:cs="Times New Roman"/>
          <w:sz w:val="26"/>
          <w:szCs w:val="26"/>
        </w:rPr>
        <w:t>soron a vámbeszedési költség megtérítése jelenik meg, mely 23,2</w:t>
      </w:r>
      <w:r w:rsidR="00463BF1">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forintot tett ki 2025 augusztusáig. Ez az összeg a törvényi előirányzat 73,1%</w:t>
      </w:r>
      <w:r w:rsidR="00463BF1">
        <w:rPr>
          <w:rFonts w:ascii="Times New Roman" w:eastAsia="Times New Roman" w:hAnsi="Times New Roman" w:cs="Times New Roman"/>
          <w:sz w:val="26"/>
          <w:szCs w:val="26"/>
        </w:rPr>
        <w:noBreakHyphen/>
      </w:r>
      <w:r w:rsidRPr="7C285CBA">
        <w:rPr>
          <w:rFonts w:ascii="Times New Roman" w:eastAsia="Times New Roman" w:hAnsi="Times New Roman" w:cs="Times New Roman"/>
          <w:sz w:val="26"/>
          <w:szCs w:val="26"/>
        </w:rPr>
        <w:t>a</w:t>
      </w:r>
      <w:r w:rsidR="00463BF1">
        <w:rPr>
          <w:rFonts w:ascii="Times New Roman" w:eastAsia="Times New Roman" w:hAnsi="Times New Roman" w:cs="Times New Roman"/>
          <w:sz w:val="26"/>
          <w:szCs w:val="26"/>
        </w:rPr>
        <w:t>,</w:t>
      </w:r>
      <w:r w:rsidRPr="7C285CBA">
        <w:rPr>
          <w:rFonts w:ascii="Times New Roman" w:eastAsia="Times New Roman" w:hAnsi="Times New Roman" w:cs="Times New Roman"/>
          <w:sz w:val="26"/>
          <w:szCs w:val="26"/>
        </w:rPr>
        <w:t xml:space="preserve"> és 3,</w:t>
      </w:r>
      <w:r w:rsidR="00463BF1">
        <w:rPr>
          <w:rFonts w:ascii="Times New Roman" w:eastAsia="Times New Roman" w:hAnsi="Times New Roman" w:cs="Times New Roman"/>
          <w:sz w:val="26"/>
          <w:szCs w:val="26"/>
        </w:rPr>
        <w:t>3 </w:t>
      </w:r>
      <w:r w:rsidRPr="7C285CBA">
        <w:rPr>
          <w:rFonts w:ascii="Times New Roman" w:eastAsia="Times New Roman" w:hAnsi="Times New Roman" w:cs="Times New Roman"/>
          <w:sz w:val="26"/>
          <w:szCs w:val="26"/>
        </w:rPr>
        <w:t>milliárd forinttal haladja meg a 2024. év azonos időszakában keletkezett bevételt.</w:t>
      </w:r>
    </w:p>
    <w:p w14:paraId="0BB117DA" w14:textId="77777777" w:rsidR="00BD1758" w:rsidRPr="00BD1758" w:rsidRDefault="00BD1758" w:rsidP="00285866">
      <w:pPr>
        <w:jc w:val="both"/>
        <w:rPr>
          <w:rFonts w:ascii="Times New Roman" w:eastAsia="Calibri" w:hAnsi="Times New Roman" w:cs="Times New Roman"/>
          <w:sz w:val="26"/>
          <w:szCs w:val="26"/>
          <w:lang w:eastAsia="hu-HU"/>
        </w:rPr>
      </w:pPr>
      <w:r w:rsidRPr="00BD1758">
        <w:rPr>
          <w:rFonts w:ascii="Times New Roman" w:eastAsia="Calibri" w:hAnsi="Times New Roman" w:cs="Times New Roman"/>
          <w:sz w:val="26"/>
          <w:szCs w:val="26"/>
          <w:lang w:eastAsia="hu-HU"/>
        </w:rPr>
        <w:t xml:space="preserve">A befizetett társadalombiztosítási járulék 8,1%-át az állami adóhatóság a foglalkoztatási programokkal kapcsolatos elkülönített állami pénzalapnak utalja át. 2025. augusztus végéig a </w:t>
      </w:r>
      <w:r w:rsidRPr="00BD1758">
        <w:rPr>
          <w:rFonts w:ascii="Times New Roman" w:eastAsia="Calibri" w:hAnsi="Times New Roman" w:cs="Times New Roman"/>
          <w:b/>
          <w:bCs/>
          <w:sz w:val="26"/>
          <w:szCs w:val="26"/>
          <w:lang w:eastAsia="hu-HU"/>
        </w:rPr>
        <w:t xml:space="preserve">társadalombiztosítási járulék </w:t>
      </w:r>
      <w:r w:rsidRPr="00BD1758">
        <w:rPr>
          <w:rFonts w:ascii="Times New Roman" w:eastAsia="Times New Roman" w:hAnsi="Times New Roman" w:cs="Times New Roman"/>
          <w:b/>
          <w:bCs/>
          <w:sz w:val="26"/>
          <w:szCs w:val="26"/>
          <w:lang w:eastAsia="hu-HU"/>
        </w:rPr>
        <w:t xml:space="preserve">Nemzeti Foglalkoztatási </w:t>
      </w:r>
      <w:r w:rsidRPr="00BD1758">
        <w:rPr>
          <w:rFonts w:ascii="Times New Roman" w:eastAsia="Calibri" w:hAnsi="Times New Roman" w:cs="Times New Roman"/>
          <w:b/>
          <w:bCs/>
          <w:sz w:val="26"/>
          <w:szCs w:val="26"/>
          <w:lang w:eastAsia="hu-HU"/>
        </w:rPr>
        <w:t xml:space="preserve">Alapot megillető része </w:t>
      </w:r>
      <w:r w:rsidRPr="00BD1758">
        <w:rPr>
          <w:rFonts w:ascii="Times New Roman" w:eastAsia="Calibri" w:hAnsi="Times New Roman" w:cs="Times New Roman"/>
          <w:bCs/>
          <w:sz w:val="26"/>
          <w:szCs w:val="26"/>
          <w:lang w:eastAsia="hu-HU"/>
        </w:rPr>
        <w:t>289,3</w:t>
      </w:r>
      <w:r w:rsidRPr="00BD1758">
        <w:rPr>
          <w:rFonts w:ascii="Times New Roman" w:eastAsia="Calibri" w:hAnsi="Times New Roman" w:cs="Times New Roman"/>
          <w:sz w:val="26"/>
          <w:szCs w:val="26"/>
          <w:lang w:eastAsia="hu-HU"/>
        </w:rPr>
        <w:t> 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forintban teljesült, amely az előző év azonos időszakában befolyt bevételt 23,9</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forinttal haladta meg. A bevételnövekedés oka a járulékköteles jövedelmek növekedése.</w:t>
      </w:r>
    </w:p>
    <w:p w14:paraId="23ECB148" w14:textId="7EEA6B13" w:rsidR="00BD1758" w:rsidRPr="00BD1758" w:rsidRDefault="00BD1758" w:rsidP="00285866">
      <w:pPr>
        <w:jc w:val="both"/>
        <w:rPr>
          <w:rFonts w:ascii="Times New Roman" w:eastAsia="Times New Roman" w:hAnsi="Times New Roman" w:cs="Times New Roman"/>
          <w:sz w:val="26"/>
          <w:szCs w:val="26"/>
          <w:lang w:eastAsia="hu-HU"/>
        </w:rPr>
      </w:pPr>
      <w:r w:rsidRPr="00BD1758">
        <w:rPr>
          <w:rFonts w:ascii="Times New Roman" w:eastAsia="Times New Roman" w:hAnsi="Times New Roman" w:cs="Times New Roman"/>
          <w:sz w:val="26"/>
          <w:szCs w:val="26"/>
          <w:lang w:eastAsia="hu-HU"/>
        </w:rPr>
        <w:t xml:space="preserve">2025-ben a szociális hozzájárulási adó megfizetett összegének 86,96%-a </w:t>
      </w:r>
      <w:proofErr w:type="spellStart"/>
      <w:r w:rsidRPr="00BD1758">
        <w:rPr>
          <w:rFonts w:ascii="Times New Roman" w:eastAsia="Times New Roman" w:hAnsi="Times New Roman" w:cs="Times New Roman"/>
          <w:sz w:val="26"/>
          <w:szCs w:val="26"/>
          <w:lang w:eastAsia="hu-HU"/>
        </w:rPr>
        <w:t>a</w:t>
      </w:r>
      <w:proofErr w:type="spellEnd"/>
      <w:r w:rsidR="004012A0">
        <w:rPr>
          <w:rFonts w:ascii="Times New Roman" w:eastAsia="Times New Roman" w:hAnsi="Times New Roman" w:cs="Times New Roman"/>
          <w:sz w:val="26"/>
          <w:szCs w:val="26"/>
          <w:lang w:eastAsia="hu-HU"/>
        </w:rPr>
        <w:t> </w:t>
      </w:r>
      <w:r w:rsidRPr="00BD1758">
        <w:rPr>
          <w:rFonts w:ascii="Times New Roman" w:eastAsia="Times New Roman" w:hAnsi="Times New Roman" w:cs="Times New Roman"/>
          <w:sz w:val="26"/>
          <w:szCs w:val="26"/>
          <w:lang w:eastAsia="hu-HU"/>
        </w:rPr>
        <w:t xml:space="preserve">Nyugdíjbiztosítási Alapot illeti meg. A </w:t>
      </w:r>
      <w:r w:rsidRPr="00BD1758">
        <w:rPr>
          <w:rFonts w:ascii="Times New Roman" w:eastAsia="Times New Roman" w:hAnsi="Times New Roman" w:cs="Times New Roman"/>
          <w:b/>
          <w:bCs/>
          <w:sz w:val="26"/>
          <w:szCs w:val="26"/>
          <w:lang w:eastAsia="hu-HU"/>
        </w:rPr>
        <w:t xml:space="preserve">szociális hozzájárulási adó Nyugdíjbiztosítási Alapot megillető része </w:t>
      </w:r>
      <w:r w:rsidRPr="00BD1758">
        <w:rPr>
          <w:rFonts w:ascii="Times New Roman" w:eastAsia="Times New Roman" w:hAnsi="Times New Roman" w:cs="Times New Roman"/>
          <w:bCs/>
          <w:sz w:val="26"/>
          <w:szCs w:val="26"/>
          <w:lang w:eastAsia="hu-HU"/>
        </w:rPr>
        <w:t>2025 első nyolc hónapjában</w:t>
      </w:r>
      <w:r w:rsidRPr="00BD1758">
        <w:rPr>
          <w:rFonts w:ascii="Times New Roman" w:eastAsia="Times New Roman" w:hAnsi="Times New Roman" w:cs="Times New Roman"/>
          <w:sz w:val="26"/>
          <w:szCs w:val="26"/>
          <w:lang w:eastAsia="hu-HU"/>
        </w:rPr>
        <w:t xml:space="preserve"> 1939,6</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forintban teljesült, amely 139,9</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forinttal haladta meg az előző év azonos időszakában befolyt bevételt. A bevétel változása az adóköteles jövedelmek növekedésével és az alapok közötti megoszlási arány változásával magyarázható.</w:t>
      </w:r>
    </w:p>
    <w:p w14:paraId="14944D8E" w14:textId="4842FB11" w:rsidR="002A41A8" w:rsidRDefault="00BD1758" w:rsidP="00285866">
      <w:pPr>
        <w:jc w:val="both"/>
        <w:rPr>
          <w:rFonts w:ascii="Times New Roman" w:eastAsia="Calibri" w:hAnsi="Times New Roman" w:cs="Times New Roman"/>
          <w:sz w:val="26"/>
          <w:szCs w:val="26"/>
          <w:lang w:eastAsia="hu-HU"/>
        </w:rPr>
      </w:pPr>
      <w:r w:rsidRPr="00BD1758">
        <w:rPr>
          <w:rFonts w:ascii="Times New Roman" w:eastAsia="Times New Roman" w:hAnsi="Times New Roman" w:cs="Times New Roman"/>
          <w:sz w:val="26"/>
          <w:szCs w:val="26"/>
          <w:lang w:eastAsia="hu-HU"/>
        </w:rPr>
        <w:t xml:space="preserve">A befizetett társadalombiztosítási járulék 54%-át az állami adóhatóság a Nyugdíjbiztosítási Alapnak utalja át. 2025. augusztus végéig a </w:t>
      </w:r>
      <w:r w:rsidRPr="00BD1758">
        <w:rPr>
          <w:rFonts w:ascii="Times New Roman" w:eastAsia="Times New Roman" w:hAnsi="Times New Roman" w:cs="Times New Roman"/>
          <w:b/>
          <w:bCs/>
          <w:sz w:val="26"/>
          <w:szCs w:val="26"/>
          <w:lang w:eastAsia="hu-HU"/>
        </w:rPr>
        <w:t>társadalombiztosítási járulék Nyugdíjbiztosítási Alapot megillető része és nyugdíjjárulék</w:t>
      </w:r>
      <w:r w:rsidRPr="00BD1758">
        <w:rPr>
          <w:rFonts w:ascii="Times New Roman" w:eastAsia="Times New Roman" w:hAnsi="Times New Roman" w:cs="Times New Roman"/>
          <w:sz w:val="26"/>
          <w:szCs w:val="26"/>
          <w:lang w:eastAsia="hu-HU"/>
        </w:rPr>
        <w:t xml:space="preserve"> 1968,6</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forintban teljesült, amely az előző év azonos időszakában befolyt bevételt 161,4</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Times New Roman" w:hAnsi="Times New Roman" w:cs="Times New Roman"/>
          <w:sz w:val="26"/>
          <w:szCs w:val="26"/>
          <w:lang w:eastAsia="hu-HU"/>
        </w:rPr>
        <w:t xml:space="preserve">forinttal haladta meg. </w:t>
      </w:r>
      <w:r w:rsidRPr="00BD1758">
        <w:rPr>
          <w:rFonts w:ascii="Times New Roman" w:eastAsia="Calibri" w:hAnsi="Times New Roman" w:cs="Times New Roman"/>
          <w:sz w:val="26"/>
          <w:szCs w:val="26"/>
          <w:lang w:eastAsia="hu-HU"/>
        </w:rPr>
        <w:t>A bevételnövekedés oka a járulékköteles jövedelmek növekedése</w:t>
      </w:r>
      <w:r w:rsidR="7C285CBA" w:rsidRPr="7C285CBA">
        <w:rPr>
          <w:rFonts w:ascii="Times New Roman" w:eastAsia="Calibri" w:hAnsi="Times New Roman" w:cs="Times New Roman"/>
          <w:sz w:val="26"/>
          <w:szCs w:val="26"/>
          <w:lang w:eastAsia="hu-HU"/>
        </w:rPr>
        <w:t>.</w:t>
      </w:r>
    </w:p>
    <w:p w14:paraId="6512C1A9" w14:textId="1F517F7B" w:rsidR="00462EDD" w:rsidRPr="00462EDD" w:rsidRDefault="57821025" w:rsidP="00285866">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 xml:space="preserve">A </w:t>
      </w:r>
      <w:r w:rsidRPr="57821025">
        <w:rPr>
          <w:rFonts w:ascii="Times New Roman" w:eastAsia="Times New Roman" w:hAnsi="Times New Roman" w:cs="Times New Roman"/>
          <w:b/>
          <w:bCs/>
          <w:sz w:val="26"/>
          <w:szCs w:val="26"/>
        </w:rPr>
        <w:t>Nyugdíjbiztosítási Alap</w:t>
      </w:r>
      <w:r w:rsidRPr="57821025">
        <w:rPr>
          <w:rFonts w:ascii="Times New Roman" w:eastAsia="Times New Roman" w:hAnsi="Times New Roman" w:cs="Times New Roman"/>
          <w:sz w:val="26"/>
          <w:szCs w:val="26"/>
        </w:rPr>
        <w:t xml:space="preserve"> 2025. évi költségvetése az ellátási kiadások támogatására 564,5 milliárd forint központi </w:t>
      </w:r>
      <w:r w:rsidRPr="57821025">
        <w:rPr>
          <w:rFonts w:ascii="Times New Roman" w:eastAsia="Times New Roman" w:hAnsi="Times New Roman" w:cs="Times New Roman"/>
          <w:b/>
          <w:bCs/>
          <w:sz w:val="26"/>
          <w:szCs w:val="26"/>
        </w:rPr>
        <w:t>költségvetési hozzájárulást</w:t>
      </w:r>
      <w:r w:rsidRPr="57821025">
        <w:rPr>
          <w:rFonts w:ascii="Times New Roman" w:eastAsia="Times New Roman" w:hAnsi="Times New Roman" w:cs="Times New Roman"/>
          <w:sz w:val="26"/>
          <w:szCs w:val="26"/>
        </w:rPr>
        <w:t xml:space="preserve"> tartalmaz, ami 33,1 milliárd forinttal haladja meg az előző évi előirányzatot.</w:t>
      </w:r>
    </w:p>
    <w:p w14:paraId="1B9C4A3C" w14:textId="19DB75C2" w:rsidR="00462EDD" w:rsidRPr="00462EDD" w:rsidRDefault="7C285CBA" w:rsidP="00285866">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A központi költségvetés 77,4 milliárd forintot biztosít az Alap részére pénzeszközátadás útján, míg további 487,1 milliárd forintot – a 13. havi nyugdíj és a nyugdíjprémium fedezeteként – címzett támogatás formájában. A 13. havi nyugdíj és a nyugdíjprémium támogatásának előirányzatai év közben előirányzat-módosítás nélkül túlléphetők.</w:t>
      </w:r>
    </w:p>
    <w:p w14:paraId="2CBF9A93" w14:textId="5D95CDBF" w:rsidR="19667954" w:rsidRDefault="57821025" w:rsidP="00285866">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 xml:space="preserve">A Magyar Államkincstár az ellátási kiadások támogatására a Nyugdíjbiztosítási Alap részére 2025. augusztus végéig 51,6 milliárd forint központi támogatást utalt át </w:t>
      </w:r>
      <w:r w:rsidRPr="57821025">
        <w:rPr>
          <w:rFonts w:ascii="Times New Roman" w:eastAsia="Times New Roman" w:hAnsi="Times New Roman" w:cs="Times New Roman"/>
          <w:b/>
          <w:bCs/>
          <w:sz w:val="26"/>
          <w:szCs w:val="26"/>
        </w:rPr>
        <w:lastRenderedPageBreak/>
        <w:t>pénzeszköz-átadás</w:t>
      </w:r>
      <w:r w:rsidRPr="57821025">
        <w:rPr>
          <w:rFonts w:ascii="Times New Roman" w:eastAsia="Times New Roman" w:hAnsi="Times New Roman" w:cs="Times New Roman"/>
          <w:sz w:val="26"/>
          <w:szCs w:val="26"/>
        </w:rPr>
        <w:t xml:space="preserve"> jogcímen, ami 10,4 milliárd forinttal magasabb az előző év azonos időszakában nyújtott támogatás összegénél. A pénzeszköz-átadás a Nyugdíjbiztosítási Alap költségvetési egyensúlyának biztosítását szolgálja.</w:t>
      </w:r>
    </w:p>
    <w:p w14:paraId="6BF2F156" w14:textId="4BC83F57" w:rsidR="00A76FE3" w:rsidRDefault="7C285CBA" w:rsidP="00285866">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13. havi nyugdíj kifizetésének</w:t>
      </w:r>
      <w:r w:rsidRPr="7C285CBA">
        <w:rPr>
          <w:rFonts w:ascii="Times New Roman" w:eastAsia="Times New Roman" w:hAnsi="Times New Roman" w:cs="Times New Roman"/>
          <w:sz w:val="26"/>
          <w:szCs w:val="26"/>
        </w:rPr>
        <w:t xml:space="preserve"> támogatására február hónapban 487,1 milliárd forint került átutalásra a Nyugdíjbiztosítási Alap részére, ami 38,1 milliárd forinttal haladja meg az előző év azonos időszakában ugyanezen a jogcímen nyújtott támogatás összegét.</w:t>
      </w:r>
    </w:p>
    <w:p w14:paraId="1E5039D7" w14:textId="1967BBF6" w:rsidR="475F3A1A" w:rsidRDefault="00B3244C" w:rsidP="005861AE">
      <w:pPr>
        <w:jc w:val="center"/>
        <w:rPr>
          <w:rFonts w:ascii="Times New Roman" w:eastAsia="Times New Roman" w:hAnsi="Times New Roman" w:cs="Times New Roman"/>
          <w:sz w:val="26"/>
          <w:szCs w:val="26"/>
        </w:rPr>
      </w:pPr>
      <w:r>
        <w:rPr>
          <w:noProof/>
        </w:rPr>
        <w:drawing>
          <wp:inline distT="0" distB="0" distL="0" distR="0" wp14:anchorId="3BA290ED" wp14:editId="24E7C52C">
            <wp:extent cx="5940425" cy="2382982"/>
            <wp:effectExtent l="0" t="0" r="3175" b="0"/>
            <wp:docPr id="102464977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49774" name=""/>
                    <pic:cNvPicPr/>
                  </pic:nvPicPr>
                  <pic:blipFill rotWithShape="1">
                    <a:blip r:embed="rId17"/>
                    <a:srcRect b="8826"/>
                    <a:stretch/>
                  </pic:blipFill>
                  <pic:spPr bwMode="auto">
                    <a:xfrm>
                      <a:off x="0" y="0"/>
                      <a:ext cx="5940425" cy="2382982"/>
                    </a:xfrm>
                    <a:prstGeom prst="rect">
                      <a:avLst/>
                    </a:prstGeom>
                    <a:ln>
                      <a:noFill/>
                    </a:ln>
                    <a:extLst>
                      <a:ext uri="{53640926-AAD7-44D8-BBD7-CCE9431645EC}">
                        <a14:shadowObscured xmlns:a14="http://schemas.microsoft.com/office/drawing/2010/main"/>
                      </a:ext>
                    </a:extLst>
                  </pic:spPr>
                </pic:pic>
              </a:graphicData>
            </a:graphic>
          </wp:inline>
        </w:drawing>
      </w:r>
    </w:p>
    <w:p w14:paraId="2B1BEBD3" w14:textId="79B0EB0D" w:rsidR="00BD1758" w:rsidRPr="00BD1758" w:rsidRDefault="00BD1758" w:rsidP="004B3295">
      <w:pPr>
        <w:jc w:val="both"/>
        <w:rPr>
          <w:rFonts w:ascii="Times New Roman" w:eastAsia="Times New Roman" w:hAnsi="Times New Roman" w:cs="Times New Roman"/>
          <w:sz w:val="26"/>
          <w:szCs w:val="26"/>
          <w:lang w:eastAsia="hu-HU"/>
        </w:rPr>
      </w:pPr>
      <w:r w:rsidRPr="00BD1758">
        <w:rPr>
          <w:rFonts w:ascii="Times New Roman" w:eastAsia="Calibri" w:hAnsi="Times New Roman" w:cs="Times New Roman"/>
          <w:sz w:val="26"/>
          <w:szCs w:val="26"/>
          <w:lang w:eastAsia="hu-HU"/>
        </w:rPr>
        <w:t>2025-ben a szociális hozzájárulási adó megfizetett összegének 13,04%-a az</w:t>
      </w:r>
      <w:r w:rsidR="00C94EDE">
        <w:rPr>
          <w:rFonts w:ascii="Times New Roman" w:eastAsia="Calibri" w:hAnsi="Times New Roman" w:cs="Times New Roman"/>
          <w:sz w:val="26"/>
          <w:szCs w:val="26"/>
          <w:lang w:eastAsia="hu-HU"/>
        </w:rPr>
        <w:t> </w:t>
      </w:r>
      <w:r w:rsidRPr="00BD1758">
        <w:rPr>
          <w:rFonts w:ascii="Times New Roman" w:eastAsia="Calibri" w:hAnsi="Times New Roman" w:cs="Times New Roman"/>
          <w:sz w:val="26"/>
          <w:szCs w:val="26"/>
          <w:lang w:eastAsia="hu-HU"/>
        </w:rPr>
        <w:t xml:space="preserve">Egészségbiztosítási Alapot illeti meg. 2025 első nyolc hónapjában a </w:t>
      </w:r>
      <w:r w:rsidRPr="00BD1758">
        <w:rPr>
          <w:rFonts w:ascii="Times New Roman" w:eastAsia="Calibri" w:hAnsi="Times New Roman" w:cs="Times New Roman"/>
          <w:b/>
          <w:bCs/>
          <w:sz w:val="26"/>
          <w:szCs w:val="26"/>
          <w:lang w:eastAsia="hu-HU"/>
        </w:rPr>
        <w:t>szociális hozzájárulási adó Egészségbiztosítási Alapot megillető része</w:t>
      </w:r>
      <w:r w:rsidRPr="00BD1758">
        <w:rPr>
          <w:rFonts w:ascii="Times New Roman" w:eastAsia="Calibri" w:hAnsi="Times New Roman" w:cs="Times New Roman"/>
          <w:sz w:val="26"/>
          <w:szCs w:val="26"/>
          <w:lang w:eastAsia="hu-HU"/>
        </w:rPr>
        <w:t xml:space="preserve"> 290,9</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forintban teljesült, amely 71,7</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 xml:space="preserve">forinttal </w:t>
      </w:r>
      <w:r w:rsidRPr="00BD1758">
        <w:rPr>
          <w:rFonts w:ascii="Times New Roman" w:eastAsia="Times New Roman" w:hAnsi="Times New Roman" w:cs="Times New Roman"/>
          <w:sz w:val="26"/>
          <w:szCs w:val="26"/>
          <w:lang w:eastAsia="hu-HU"/>
        </w:rPr>
        <w:t>haladta meg az előző év azonos időszakában befolyt bevételt</w:t>
      </w:r>
      <w:r w:rsidRPr="00BD1758">
        <w:rPr>
          <w:rFonts w:ascii="Times New Roman" w:eastAsia="Calibri" w:hAnsi="Times New Roman" w:cs="Times New Roman"/>
          <w:sz w:val="26"/>
          <w:szCs w:val="26"/>
          <w:lang w:eastAsia="hu-HU"/>
        </w:rPr>
        <w:t xml:space="preserve">. </w:t>
      </w:r>
      <w:r w:rsidRPr="00BD1758">
        <w:rPr>
          <w:rFonts w:ascii="Times New Roman" w:eastAsia="Times New Roman" w:hAnsi="Times New Roman" w:cs="Times New Roman"/>
          <w:sz w:val="26"/>
          <w:szCs w:val="26"/>
          <w:lang w:eastAsia="hu-HU"/>
        </w:rPr>
        <w:t>A bevétel változása az adóköteles jövedelmek növekedésével és az alapok közötti megoszlási arány változásának együttes hatásával magyarázható.</w:t>
      </w:r>
    </w:p>
    <w:p w14:paraId="0BFBC401" w14:textId="73E086FE" w:rsidR="002A41A8" w:rsidRDefault="00BD1758" w:rsidP="004B3295">
      <w:pPr>
        <w:jc w:val="both"/>
        <w:rPr>
          <w:rFonts w:ascii="Times New Roman" w:eastAsia="Calibri" w:hAnsi="Times New Roman" w:cs="Times New Roman"/>
          <w:sz w:val="26"/>
          <w:szCs w:val="26"/>
          <w:lang w:eastAsia="hu-HU"/>
        </w:rPr>
      </w:pPr>
      <w:r w:rsidRPr="00BD1758">
        <w:rPr>
          <w:rFonts w:ascii="Times New Roman" w:eastAsia="Calibri" w:hAnsi="Times New Roman" w:cs="Times New Roman"/>
          <w:sz w:val="26"/>
          <w:szCs w:val="26"/>
          <w:lang w:eastAsia="hu-HU"/>
        </w:rPr>
        <w:t xml:space="preserve">A befizetett társadalombiztosítási járulék 37,9%-át az állami adóhatóság az Egészségbiztosítási Alapnak utalja át. 2025. augusztus végéig a </w:t>
      </w:r>
      <w:r w:rsidRPr="00BD1758">
        <w:rPr>
          <w:rFonts w:ascii="Times New Roman" w:eastAsia="Calibri" w:hAnsi="Times New Roman" w:cs="Times New Roman"/>
          <w:b/>
          <w:bCs/>
          <w:sz w:val="26"/>
          <w:szCs w:val="26"/>
          <w:lang w:eastAsia="hu-HU"/>
        </w:rPr>
        <w:t>társadalombiztosítási járulék Egészségbiztosítási Alapot megillető része és egészségbiztosítási járulék</w:t>
      </w:r>
      <w:r w:rsidRPr="00BD1758">
        <w:rPr>
          <w:rFonts w:ascii="Times New Roman" w:eastAsia="Calibri" w:hAnsi="Times New Roman" w:cs="Times New Roman"/>
          <w:sz w:val="26"/>
          <w:szCs w:val="26"/>
          <w:lang w:eastAsia="hu-HU"/>
        </w:rPr>
        <w:t xml:space="preserve"> 1342,0</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 xml:space="preserve">forintban teljesült, </w:t>
      </w:r>
      <w:r w:rsidRPr="00BD1758">
        <w:rPr>
          <w:rFonts w:ascii="Times New Roman" w:eastAsia="Times New Roman" w:hAnsi="Times New Roman" w:cs="Times New Roman"/>
          <w:sz w:val="26"/>
          <w:szCs w:val="26"/>
          <w:lang w:eastAsia="hu-HU"/>
        </w:rPr>
        <w:t>amely az előző év azonos időszakában befolyt bevételt</w:t>
      </w:r>
      <w:r w:rsidRPr="00BD1758">
        <w:rPr>
          <w:rFonts w:ascii="Times New Roman" w:eastAsia="Calibri" w:hAnsi="Times New Roman" w:cs="Times New Roman"/>
          <w:sz w:val="26"/>
          <w:szCs w:val="26"/>
          <w:lang w:eastAsia="hu-HU"/>
        </w:rPr>
        <w:t xml:space="preserve"> 109,8 milliárd</w:t>
      </w:r>
      <w:r w:rsidRPr="00BD1758">
        <w:rPr>
          <w:rFonts w:ascii="Times New Roman" w:eastAsia="Times New Roman" w:hAnsi="Times New Roman" w:cs="Times New Roman"/>
          <w:sz w:val="26"/>
          <w:szCs w:val="20"/>
          <w:lang w:eastAsia="hu-HU"/>
        </w:rPr>
        <w:t> </w:t>
      </w:r>
      <w:r w:rsidRPr="00BD1758">
        <w:rPr>
          <w:rFonts w:ascii="Times New Roman" w:eastAsia="Calibri" w:hAnsi="Times New Roman" w:cs="Times New Roman"/>
          <w:sz w:val="26"/>
          <w:szCs w:val="26"/>
          <w:lang w:eastAsia="hu-HU"/>
        </w:rPr>
        <w:t>forinttal haladta meg. A bevételnövekedés oka a járulékköteles jövedelmek növekedése</w:t>
      </w:r>
      <w:r w:rsidR="7C285CBA" w:rsidRPr="7C285CBA">
        <w:rPr>
          <w:rFonts w:ascii="Times New Roman" w:eastAsia="Calibri" w:hAnsi="Times New Roman" w:cs="Times New Roman"/>
          <w:sz w:val="26"/>
          <w:szCs w:val="26"/>
          <w:lang w:eastAsia="hu-HU"/>
        </w:rPr>
        <w:t>.</w:t>
      </w:r>
    </w:p>
    <w:p w14:paraId="754C440E" w14:textId="78E50008" w:rsidR="005961B9" w:rsidRDefault="12F4B78A" w:rsidP="00F46F72">
      <w:pPr>
        <w:jc w:val="both"/>
        <w:rPr>
          <w:rFonts w:ascii="Times New Roman" w:hAnsi="Times New Roman" w:cs="Times New Roman"/>
          <w:sz w:val="26"/>
          <w:szCs w:val="26"/>
        </w:rPr>
      </w:pPr>
      <w:r w:rsidRPr="12F4B78A">
        <w:rPr>
          <w:rFonts w:ascii="Times New Roman" w:hAnsi="Times New Roman" w:cs="Times New Roman"/>
          <w:sz w:val="26"/>
          <w:szCs w:val="26"/>
        </w:rPr>
        <w:t xml:space="preserve">Az </w:t>
      </w:r>
      <w:r w:rsidRPr="12F4B78A">
        <w:rPr>
          <w:rFonts w:ascii="Times New Roman" w:hAnsi="Times New Roman" w:cs="Times New Roman"/>
          <w:b/>
          <w:bCs/>
          <w:sz w:val="26"/>
          <w:szCs w:val="26"/>
        </w:rPr>
        <w:t>Egészségbiztosítási Alap költségvetési hozzájárulásai</w:t>
      </w:r>
      <w:r w:rsidRPr="12F4B78A">
        <w:rPr>
          <w:rFonts w:ascii="Times New Roman" w:hAnsi="Times New Roman" w:cs="Times New Roman"/>
          <w:sz w:val="26"/>
          <w:szCs w:val="26"/>
        </w:rPr>
        <w:t xml:space="preserve"> 2025 első nyolc hónapjában összesen 1259,5 milliárd forintot tettek ki, amely 1,2 milliárd forinttal alacsonyabb, mint az előző év azonos időszakában átutalt összeg. 2025 augusztus végéig az Egészségbiztosítási Alap járulék címen átvett pénzeszközként 461,5 milliárd forint támogatást kapott, szemben a tavalyi év azonos időszakában átutalt 435,3 milliárd forint összeggel. Az alap kiadásainak támogatására szolgáló tervezett pénzeszköz-átvétel és az</w:t>
      </w:r>
      <w:r w:rsidR="004B3295">
        <w:rPr>
          <w:rFonts w:ascii="Times New Roman" w:hAnsi="Times New Roman" w:cs="Times New Roman"/>
          <w:sz w:val="26"/>
          <w:szCs w:val="26"/>
        </w:rPr>
        <w:t xml:space="preserve"> </w:t>
      </w:r>
      <w:r w:rsidRPr="12F4B78A">
        <w:rPr>
          <w:rFonts w:ascii="Times New Roman" w:hAnsi="Times New Roman" w:cs="Times New Roman"/>
          <w:sz w:val="26"/>
          <w:szCs w:val="26"/>
        </w:rPr>
        <w:t>egészségügyi feladatok ellátásával kapcsolatos hozzájárulás együttes összege 2025.</w:t>
      </w:r>
      <w:r w:rsidR="004B3295">
        <w:rPr>
          <w:rFonts w:ascii="Times New Roman" w:hAnsi="Times New Roman" w:cs="Times New Roman"/>
          <w:sz w:val="26"/>
          <w:szCs w:val="26"/>
        </w:rPr>
        <w:t> </w:t>
      </w:r>
      <w:r w:rsidRPr="12F4B78A">
        <w:rPr>
          <w:rFonts w:ascii="Times New Roman" w:hAnsi="Times New Roman" w:cs="Times New Roman"/>
          <w:sz w:val="26"/>
          <w:szCs w:val="26"/>
        </w:rPr>
        <w:t>augusztus végéig 79</w:t>
      </w:r>
      <w:r w:rsidR="00890B2A">
        <w:rPr>
          <w:rFonts w:ascii="Times New Roman" w:hAnsi="Times New Roman" w:cs="Times New Roman"/>
          <w:sz w:val="26"/>
          <w:szCs w:val="26"/>
        </w:rPr>
        <w:t>8</w:t>
      </w:r>
      <w:r w:rsidRPr="12F4B78A">
        <w:rPr>
          <w:rFonts w:ascii="Times New Roman" w:hAnsi="Times New Roman" w:cs="Times New Roman"/>
          <w:sz w:val="26"/>
          <w:szCs w:val="26"/>
        </w:rPr>
        <w:t>,</w:t>
      </w:r>
      <w:r w:rsidR="00890B2A">
        <w:rPr>
          <w:rFonts w:ascii="Times New Roman" w:hAnsi="Times New Roman" w:cs="Times New Roman"/>
          <w:sz w:val="26"/>
          <w:szCs w:val="26"/>
        </w:rPr>
        <w:t>0</w:t>
      </w:r>
      <w:r w:rsidRPr="12F4B78A">
        <w:rPr>
          <w:rFonts w:ascii="Times New Roman" w:hAnsi="Times New Roman" w:cs="Times New Roman"/>
          <w:sz w:val="26"/>
          <w:szCs w:val="26"/>
        </w:rPr>
        <w:t> milliárd forintot tett ki, amely 27,</w:t>
      </w:r>
      <w:r w:rsidR="00194EEE">
        <w:rPr>
          <w:rFonts w:ascii="Times New Roman" w:hAnsi="Times New Roman" w:cs="Times New Roman"/>
          <w:sz w:val="26"/>
          <w:szCs w:val="26"/>
        </w:rPr>
        <w:t>4</w:t>
      </w:r>
      <w:r w:rsidRPr="12F4B78A">
        <w:rPr>
          <w:rFonts w:ascii="Times New Roman" w:hAnsi="Times New Roman" w:cs="Times New Roman"/>
          <w:sz w:val="26"/>
          <w:szCs w:val="26"/>
        </w:rPr>
        <w:t> milliárd forinttal elmarad a tavalyi év ugyanezen időszakában átutalt összegtől.</w:t>
      </w:r>
    </w:p>
    <w:p w14:paraId="51F08DF7" w14:textId="6FA8B559" w:rsidR="009E34AE" w:rsidRPr="00377D59" w:rsidRDefault="7C285CBA" w:rsidP="7C285CBA">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7C285CBA">
        <w:rPr>
          <w:rFonts w:ascii="Times New Roman" w:eastAsia="Times New Roman" w:hAnsi="Times New Roman" w:cs="Times New Roman"/>
          <w:b/>
          <w:bCs/>
          <w:smallCaps/>
          <w:sz w:val="28"/>
          <w:szCs w:val="28"/>
          <w:lang w:eastAsia="hu-HU"/>
        </w:rPr>
        <w:lastRenderedPageBreak/>
        <w:t xml:space="preserve">A főbb kiadások </w:t>
      </w:r>
    </w:p>
    <w:p w14:paraId="37346F2A" w14:textId="09D5B0BF" w:rsidR="00D33920" w:rsidRPr="00D33920" w:rsidRDefault="00D33920" w:rsidP="00F46F72">
      <w:pPr>
        <w:jc w:val="both"/>
        <w:rPr>
          <w:rFonts w:ascii="Times New Roman" w:eastAsia="Times New Roman" w:hAnsi="Times New Roman" w:cs="Times New Roman"/>
          <w:b/>
          <w:bCs/>
          <w:sz w:val="26"/>
          <w:szCs w:val="26"/>
          <w:lang w:eastAsia="hu-HU"/>
        </w:rPr>
      </w:pPr>
      <w:bookmarkStart w:id="0" w:name="_Hlk203486744"/>
      <w:r w:rsidRPr="00D33920">
        <w:rPr>
          <w:rFonts w:ascii="Times New Roman" w:eastAsia="Times New Roman" w:hAnsi="Times New Roman" w:cs="Times New Roman"/>
          <w:b/>
          <w:bCs/>
          <w:sz w:val="26"/>
          <w:szCs w:val="26"/>
          <w:lang w:eastAsia="hu-HU"/>
        </w:rPr>
        <w:t>A központi alrendszer augusztus végi 29</w:t>
      </w:r>
      <w:r>
        <w:rPr>
          <w:rFonts w:ascii="Times New Roman" w:eastAsia="Times New Roman" w:hAnsi="Times New Roman" w:cs="Times New Roman"/>
          <w:b/>
          <w:bCs/>
          <w:sz w:val="26"/>
          <w:szCs w:val="26"/>
          <w:lang w:eastAsia="hu-HU"/>
        </w:rPr>
        <w:t> </w:t>
      </w:r>
      <w:r w:rsidRPr="00D33920">
        <w:rPr>
          <w:rFonts w:ascii="Times New Roman" w:eastAsia="Times New Roman" w:hAnsi="Times New Roman" w:cs="Times New Roman"/>
          <w:b/>
          <w:bCs/>
          <w:sz w:val="26"/>
          <w:szCs w:val="26"/>
          <w:lang w:eastAsia="hu-HU"/>
        </w:rPr>
        <w:t>377,5</w:t>
      </w:r>
      <w:r w:rsidR="002827DF">
        <w:rPr>
          <w:rFonts w:ascii="Times New Roman" w:eastAsia="Times New Roman" w:hAnsi="Times New Roman" w:cs="Times New Roman"/>
          <w:b/>
          <w:bCs/>
          <w:sz w:val="26"/>
          <w:szCs w:val="26"/>
          <w:lang w:eastAsia="hu-HU"/>
        </w:rPr>
        <w:t> </w:t>
      </w:r>
      <w:r w:rsidRPr="00D33920">
        <w:rPr>
          <w:rFonts w:ascii="Times New Roman" w:eastAsia="Times New Roman" w:hAnsi="Times New Roman" w:cs="Times New Roman"/>
          <w:b/>
          <w:bCs/>
          <w:sz w:val="26"/>
          <w:szCs w:val="26"/>
          <w:lang w:eastAsia="hu-HU"/>
        </w:rPr>
        <w:t xml:space="preserve">milliárd forint összegű kiadásai </w:t>
      </w:r>
      <w:r>
        <w:rPr>
          <w:rFonts w:ascii="Times New Roman" w:eastAsia="Times New Roman" w:hAnsi="Times New Roman" w:cs="Times New Roman"/>
          <w:b/>
          <w:bCs/>
          <w:sz w:val="26"/>
          <w:szCs w:val="26"/>
          <w:lang w:eastAsia="hu-HU"/>
        </w:rPr>
        <w:br/>
      </w:r>
      <w:r w:rsidRPr="00D33920">
        <w:rPr>
          <w:rFonts w:ascii="Times New Roman" w:eastAsia="Times New Roman" w:hAnsi="Times New Roman" w:cs="Times New Roman"/>
          <w:b/>
          <w:bCs/>
          <w:sz w:val="26"/>
          <w:szCs w:val="26"/>
          <w:lang w:eastAsia="hu-HU"/>
        </w:rPr>
        <w:t xml:space="preserve">1905,1 milliárd forinttal, 6,9%-kal haladták meg az előző év azonos időszaki adatát. </w:t>
      </w:r>
    </w:p>
    <w:bookmarkEnd w:id="0"/>
    <w:p w14:paraId="156EBD71" w14:textId="6FB7EAA5" w:rsidR="00F46F72" w:rsidRPr="00F46F72" w:rsidRDefault="00F46F72" w:rsidP="00F46F72">
      <w:pPr>
        <w:pStyle w:val="NormlWeb"/>
        <w:spacing w:before="0" w:beforeAutospacing="0" w:after="160" w:afterAutospacing="0" w:line="259" w:lineRule="auto"/>
        <w:jc w:val="both"/>
        <w:rPr>
          <w:b/>
          <w:bCs/>
          <w:sz w:val="26"/>
          <w:szCs w:val="26"/>
        </w:rPr>
      </w:pPr>
      <w:r w:rsidRPr="00F46F72">
        <w:rPr>
          <w:b/>
          <w:bCs/>
          <w:sz w:val="26"/>
          <w:szCs w:val="26"/>
        </w:rPr>
        <w:t>Magasabban teljesültek az egy évvel korábbihoz képest többek között az állami közlekedési és közüzemi szolgáltatások</w:t>
      </w:r>
      <w:r w:rsidR="002D7CCE">
        <w:rPr>
          <w:b/>
          <w:bCs/>
          <w:sz w:val="26"/>
          <w:szCs w:val="26"/>
        </w:rPr>
        <w:t xml:space="preserve"> kiadásai</w:t>
      </w:r>
      <w:r w:rsidRPr="00F46F72">
        <w:rPr>
          <w:b/>
          <w:bCs/>
          <w:sz w:val="26"/>
          <w:szCs w:val="26"/>
        </w:rPr>
        <w:t>, a babaváró támogatások, a költségvetési szervek kiadásai, a szakmai fejezeti kezelésű előirányzatok kiadásai, a kamatkiadások és a helyi önkormányzatok támogatásai.</w:t>
      </w:r>
    </w:p>
    <w:p w14:paraId="1660E392" w14:textId="1F877E5C" w:rsidR="00F46F72" w:rsidRDefault="00F46F72" w:rsidP="00F46F72">
      <w:pPr>
        <w:pStyle w:val="NormlWeb"/>
        <w:spacing w:before="0" w:beforeAutospacing="0" w:after="160" w:afterAutospacing="0" w:line="259" w:lineRule="auto"/>
        <w:jc w:val="both"/>
        <w:rPr>
          <w:b/>
          <w:bCs/>
          <w:sz w:val="26"/>
          <w:szCs w:val="26"/>
        </w:rPr>
      </w:pPr>
      <w:r w:rsidRPr="00F46F72">
        <w:rPr>
          <w:b/>
          <w:bCs/>
          <w:sz w:val="26"/>
          <w:szCs w:val="26"/>
        </w:rPr>
        <w:t xml:space="preserve">Meghaladták az egy évvel korábbi kifizetést a nyugellátásokra és a gyógyító-megelőző ellátásra fordított összegek is. Nyugellátásokra </w:t>
      </w:r>
      <w:r>
        <w:rPr>
          <w:b/>
          <w:bCs/>
          <w:sz w:val="26"/>
          <w:szCs w:val="26"/>
        </w:rPr>
        <w:t xml:space="preserve">és nyugdíjszerű ellátásokra </w:t>
      </w:r>
      <w:r w:rsidRPr="00F46F72">
        <w:rPr>
          <w:b/>
          <w:bCs/>
          <w:sz w:val="26"/>
          <w:szCs w:val="26"/>
        </w:rPr>
        <w:t>4</w:t>
      </w:r>
      <w:r>
        <w:rPr>
          <w:b/>
          <w:bCs/>
          <w:sz w:val="26"/>
          <w:szCs w:val="26"/>
        </w:rPr>
        <w:t>954,6 </w:t>
      </w:r>
      <w:r w:rsidRPr="00F46F72">
        <w:rPr>
          <w:b/>
          <w:bCs/>
          <w:sz w:val="26"/>
          <w:szCs w:val="26"/>
        </w:rPr>
        <w:t>milliárd forint, míg a gyógyító-megelőző ellátásra 1969,5 milliárd forint került kifizetésre augusztus végéig.</w:t>
      </w:r>
    </w:p>
    <w:p w14:paraId="71AFDEF8" w14:textId="3049B2E6" w:rsidR="00C35E13" w:rsidRDefault="00B3244C" w:rsidP="00F46F72">
      <w:pPr>
        <w:pStyle w:val="NormlWeb"/>
        <w:spacing w:after="0" w:afterAutospacing="0"/>
        <w:jc w:val="both"/>
      </w:pPr>
      <w:r>
        <w:rPr>
          <w:noProof/>
        </w:rPr>
        <w:drawing>
          <wp:inline distT="0" distB="0" distL="0" distR="0" wp14:anchorId="56CB2828" wp14:editId="201A2FA5">
            <wp:extent cx="5940425" cy="2108200"/>
            <wp:effectExtent l="0" t="0" r="3175" b="6350"/>
            <wp:docPr id="78525780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57802" name=""/>
                    <pic:cNvPicPr/>
                  </pic:nvPicPr>
                  <pic:blipFill>
                    <a:blip r:embed="rId18"/>
                    <a:stretch>
                      <a:fillRect/>
                    </a:stretch>
                  </pic:blipFill>
                  <pic:spPr>
                    <a:xfrm>
                      <a:off x="0" y="0"/>
                      <a:ext cx="5940425" cy="2108200"/>
                    </a:xfrm>
                    <a:prstGeom prst="rect">
                      <a:avLst/>
                    </a:prstGeom>
                  </pic:spPr>
                </pic:pic>
              </a:graphicData>
            </a:graphic>
          </wp:inline>
        </w:drawing>
      </w:r>
    </w:p>
    <w:p w14:paraId="4B8141ED" w14:textId="71C2E40F" w:rsidR="3268830B" w:rsidRDefault="7C285CBA" w:rsidP="7C285CBA">
      <w:pPr>
        <w:spacing w:before="24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úthálózat rendelkezésre állási díjak</w:t>
      </w:r>
      <w:r w:rsidRPr="7C285CBA">
        <w:rPr>
          <w:rFonts w:ascii="Times New Roman" w:eastAsia="Times New Roman" w:hAnsi="Times New Roman" w:cs="Times New Roman"/>
          <w:sz w:val="26"/>
          <w:szCs w:val="26"/>
        </w:rPr>
        <w:t xml:space="preserve"> mérlegsor tartalmazza az M5, M6 autópálya rendelkezésre állási díjak, valamint a gyorsforgalmi úthálózat rendelkezésre állási díj előirányzatok kiadásait, amelynek összege 2025. augusztus végéig 415,9 milliárd forint volt, ami 155,0 milliárd forinttal magasabban alakult a 2024. év azonos időszakához képest. Az eltérést egyrészt a gyorsforgalmi úthálózat rendelkezésre állási díjának szerződésből fakadó változása, másrészt egyedi elemként egyes felújítási munkákból és nagykarbantartási munkákból történő kifizetése</w:t>
      </w:r>
      <w:r w:rsidR="00541D66">
        <w:rPr>
          <w:rFonts w:ascii="Times New Roman" w:eastAsia="Times New Roman" w:hAnsi="Times New Roman" w:cs="Times New Roman"/>
          <w:sz w:val="26"/>
          <w:szCs w:val="26"/>
        </w:rPr>
        <w:t>k</w:t>
      </w:r>
      <w:r w:rsidRPr="7C285CBA">
        <w:rPr>
          <w:rFonts w:ascii="Times New Roman" w:eastAsia="Times New Roman" w:hAnsi="Times New Roman" w:cs="Times New Roman"/>
          <w:sz w:val="26"/>
          <w:szCs w:val="26"/>
        </w:rPr>
        <w:t xml:space="preserve"> magyarázz</w:t>
      </w:r>
      <w:r w:rsidR="00541D66">
        <w:rPr>
          <w:rFonts w:ascii="Times New Roman" w:eastAsia="Times New Roman" w:hAnsi="Times New Roman" w:cs="Times New Roman"/>
          <w:sz w:val="26"/>
          <w:szCs w:val="26"/>
        </w:rPr>
        <w:t>ák</w:t>
      </w:r>
      <w:r w:rsidRPr="7C285CBA">
        <w:rPr>
          <w:rFonts w:ascii="Times New Roman" w:eastAsia="Times New Roman" w:hAnsi="Times New Roman" w:cs="Times New Roman"/>
          <w:sz w:val="26"/>
          <w:szCs w:val="26"/>
        </w:rPr>
        <w:t>.</w:t>
      </w:r>
    </w:p>
    <w:p w14:paraId="182A3A7A" w14:textId="4E47B9E3" w:rsidR="1EBF714E" w:rsidRPr="003772C6" w:rsidRDefault="7C285CBA" w:rsidP="7C285CBA">
      <w:pPr>
        <w:jc w:val="both"/>
        <w:rPr>
          <w:rFonts w:ascii="Times New Roman" w:eastAsia="Times New Roman" w:hAnsi="Times New Roman" w:cs="Times New Roman"/>
          <w:sz w:val="26"/>
          <w:szCs w:val="26"/>
          <w:highlight w:val="yellow"/>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közösségi közlekedés költségtérítés és támogatás</w:t>
      </w:r>
      <w:r w:rsidRPr="7C285CBA">
        <w:rPr>
          <w:rFonts w:ascii="Times New Roman" w:eastAsia="Times New Roman" w:hAnsi="Times New Roman" w:cs="Times New Roman"/>
          <w:sz w:val="26"/>
          <w:szCs w:val="26"/>
        </w:rPr>
        <w:t xml:space="preserve"> mérlegsor kiadásai 2025. augusztus végéig 574,5 milliárd forintot tettek ki, amelyből a szociálpolitikai menetdíj támogatás 107,4 milliárd forint. Az összes kiadás 26,7 milliárd forinttal több, mint a megelőző év azonos időszaki teljesítése, amit részben a kifizetések lehívásának éven belüli időbeli eltérése, részben az új típusú autóbuszos szolgáltatásnak a korábbiaktól eltérő finanszírozási rendszere okoz.   </w:t>
      </w:r>
    </w:p>
    <w:p w14:paraId="3B52873E" w14:textId="3217500D" w:rsidR="008D3E76"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közüzemi szolgáltatások támogatása</w:t>
      </w:r>
      <w:r w:rsidRPr="7C285CBA">
        <w:rPr>
          <w:rFonts w:ascii="Times New Roman" w:eastAsia="Times New Roman" w:hAnsi="Times New Roman" w:cs="Times New Roman"/>
          <w:sz w:val="26"/>
          <w:szCs w:val="26"/>
        </w:rPr>
        <w:t xml:space="preserve"> mérlegsor tartalmazza a lakossági energia rezsivédelmi szolgáltatás, a rezsivédelmi készletezési szolgáltatás és a távhőszolgáltatók kompenzációjával kapcsolatos kiadásokat, valamint a Víziközmű-fejlesztési és Ellentételezési Alap kiadásait is. A közüzemi szolgáltatások támogatására fordított kiadások 2025. augusztus végéig 664,1 milliárd forintot tettek ki. A mérlegsor jelenlegi teljesítése 8,9 milliárd</w:t>
      </w:r>
      <w:r w:rsidR="00980E46">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 xml:space="preserve">forinttal alacsonyabb, mint a 2024. év azonos időszakában a </w:t>
      </w:r>
      <w:r w:rsidRPr="7C285CBA">
        <w:rPr>
          <w:rFonts w:ascii="Times New Roman" w:eastAsia="Times New Roman" w:hAnsi="Times New Roman" w:cs="Times New Roman"/>
          <w:sz w:val="26"/>
          <w:szCs w:val="26"/>
        </w:rPr>
        <w:lastRenderedPageBreak/>
        <w:t>közüzemi szolgáltatások teljesítésére fordított 673,0 milliárd forint, amely a kifizetések eltérő ütemezéséből fakadt.</w:t>
      </w:r>
    </w:p>
    <w:p w14:paraId="79E44A54" w14:textId="5B9B7852" w:rsidR="0F03D9E1"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b/>
          <w:bCs/>
          <w:sz w:val="26"/>
          <w:szCs w:val="26"/>
          <w:lang w:eastAsia="hu-HU"/>
        </w:rPr>
        <w:t xml:space="preserve">Lakástámogatásokra </w:t>
      </w:r>
      <w:r w:rsidRPr="7C285CBA">
        <w:rPr>
          <w:rFonts w:ascii="Times New Roman" w:eastAsia="Times New Roman" w:hAnsi="Times New Roman" w:cs="Times New Roman"/>
          <w:sz w:val="26"/>
          <w:szCs w:val="26"/>
        </w:rPr>
        <w:t>fordított kiadások összege augusztus végéig 109,4 milliárd forint volt, mely az előző év azonos időszakához viszonyítva 2,</w:t>
      </w:r>
      <w:r w:rsidR="00980E46">
        <w:rPr>
          <w:rFonts w:ascii="Times New Roman" w:eastAsia="Times New Roman" w:hAnsi="Times New Roman" w:cs="Times New Roman"/>
          <w:sz w:val="26"/>
          <w:szCs w:val="26"/>
        </w:rPr>
        <w:t>9</w:t>
      </w:r>
      <w:r w:rsidRPr="7C285CBA">
        <w:rPr>
          <w:rFonts w:ascii="Times New Roman" w:eastAsia="Times New Roman" w:hAnsi="Times New Roman" w:cs="Times New Roman"/>
          <w:sz w:val="26"/>
          <w:szCs w:val="26"/>
        </w:rPr>
        <w:t> milliárd forinttal teljesült alacsonyabban.</w:t>
      </w:r>
    </w:p>
    <w:p w14:paraId="33223970" w14:textId="25DDB887" w:rsidR="0F03D9E1"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Nemzeti Család- és Szociálpolitikai Alap</w:t>
      </w:r>
      <w:r w:rsidRPr="7C285CBA">
        <w:rPr>
          <w:rFonts w:ascii="Times New Roman" w:eastAsia="Times New Roman" w:hAnsi="Times New Roman" w:cs="Times New Roman"/>
          <w:sz w:val="26"/>
          <w:szCs w:val="26"/>
        </w:rPr>
        <w:t xml:space="preserve"> a családi támogatásokat, a korhatár alatti ellátásokat, a jövedelempótló és jövedelemkiegészítő szociális támogatásokat, valamint a különféle jogcímen adott térítéseket tartalmazza. A főbb támogatásokat a következő táblázat részletezi:</w:t>
      </w:r>
    </w:p>
    <w:p w14:paraId="46398944" w14:textId="2D482933" w:rsidR="00621840" w:rsidRPr="00B32682" w:rsidRDefault="7C285CBA" w:rsidP="7C285CBA">
      <w:pPr>
        <w:spacing w:after="0"/>
        <w:jc w:val="center"/>
        <w:rPr>
          <w:rFonts w:ascii="Times New Roman" w:eastAsia="Times New Roman" w:hAnsi="Times New Roman" w:cs="Times New Roman"/>
        </w:rPr>
      </w:pPr>
      <w:r w:rsidRPr="7C285CBA">
        <w:rPr>
          <w:rFonts w:ascii="Times New Roman" w:hAnsi="Times New Roman" w:cs="Times New Roman"/>
          <w:b/>
          <w:bCs/>
          <w:color w:val="000000" w:themeColor="text1"/>
        </w:rPr>
        <w:t>A Nemzeti Család- és Szociálpolitikai Alap kiadásainak alakulása (milliárd forint)</w:t>
      </w:r>
    </w:p>
    <w:tbl>
      <w:tblPr>
        <w:tblW w:w="9356" w:type="dxa"/>
        <w:tblCellMar>
          <w:left w:w="70" w:type="dxa"/>
          <w:right w:w="70" w:type="dxa"/>
        </w:tblCellMar>
        <w:tblLook w:val="04A0" w:firstRow="1" w:lastRow="0" w:firstColumn="1" w:lastColumn="0" w:noHBand="0" w:noVBand="1"/>
      </w:tblPr>
      <w:tblGrid>
        <w:gridCol w:w="5529"/>
        <w:gridCol w:w="1134"/>
        <w:gridCol w:w="1134"/>
        <w:gridCol w:w="850"/>
        <w:gridCol w:w="709"/>
      </w:tblGrid>
      <w:tr w:rsidR="006068B4" w:rsidRPr="00B32682" w14:paraId="2A7C74BD" w14:textId="77777777" w:rsidTr="7C285CBA">
        <w:trPr>
          <w:trHeight w:hRule="exact" w:val="284"/>
        </w:trPr>
        <w:tc>
          <w:tcPr>
            <w:tcW w:w="9356" w:type="dxa"/>
            <w:gridSpan w:val="5"/>
            <w:tcBorders>
              <w:top w:val="nil"/>
              <w:left w:val="nil"/>
              <w:bottom w:val="single" w:sz="4" w:space="0" w:color="auto"/>
              <w:right w:val="nil"/>
            </w:tcBorders>
            <w:noWrap/>
            <w:vAlign w:val="center"/>
            <w:hideMark/>
          </w:tcPr>
          <w:p w14:paraId="003FCBDC" w14:textId="77777777" w:rsidR="006068B4" w:rsidRPr="00B32682" w:rsidRDefault="006068B4" w:rsidP="000C1105">
            <w:pPr>
              <w:spacing w:after="0"/>
              <w:jc w:val="center"/>
              <w:rPr>
                <w:rFonts w:ascii="Times New Roman" w:hAnsi="Times New Roman" w:cs="Times New Roman"/>
                <w:b/>
                <w:bCs/>
                <w:color w:val="000000"/>
              </w:rPr>
            </w:pPr>
          </w:p>
        </w:tc>
      </w:tr>
      <w:tr w:rsidR="00081A16" w:rsidRPr="006068B4" w14:paraId="485D9574" w14:textId="77777777" w:rsidTr="00DF0A34">
        <w:trPr>
          <w:trHeight w:hRule="exact" w:val="284"/>
        </w:trPr>
        <w:tc>
          <w:tcPr>
            <w:tcW w:w="5529" w:type="dxa"/>
            <w:vMerge w:val="restart"/>
            <w:tcBorders>
              <w:top w:val="nil"/>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03974AE3" w14:textId="77777777" w:rsidR="00081A16" w:rsidRPr="00DD7FD1" w:rsidRDefault="7C285CBA" w:rsidP="7C285CBA">
            <w:pPr>
              <w:spacing w:after="0" w:line="240" w:lineRule="auto"/>
              <w:jc w:val="center"/>
              <w:rPr>
                <w:rFonts w:ascii="Times New Roman" w:hAnsi="Times New Roman" w:cs="Times New Roman"/>
                <w:b/>
                <w:bCs/>
                <w:color w:val="000000" w:themeColor="text1"/>
              </w:rPr>
            </w:pPr>
            <w:r w:rsidRPr="7C285CBA">
              <w:rPr>
                <w:rFonts w:ascii="Times New Roman" w:hAnsi="Times New Roman" w:cs="Times New Roman"/>
                <w:b/>
                <w:bCs/>
                <w:color w:val="000000" w:themeColor="text1"/>
              </w:rPr>
              <w:t>Megnevezés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119955B" w14:textId="30BE9847" w:rsidR="00081A16" w:rsidRPr="00DD7FD1" w:rsidRDefault="7C285CBA" w:rsidP="7C285CBA">
            <w:pPr>
              <w:spacing w:after="0" w:line="240" w:lineRule="auto"/>
              <w:jc w:val="center"/>
              <w:rPr>
                <w:rFonts w:ascii="Times New Roman" w:hAnsi="Times New Roman" w:cs="Times New Roman"/>
                <w:b/>
                <w:bCs/>
                <w:color w:val="000000" w:themeColor="text1"/>
              </w:rPr>
            </w:pPr>
            <w:r w:rsidRPr="7C285CBA">
              <w:rPr>
                <w:rFonts w:ascii="Times New Roman" w:eastAsia="Times New Roman" w:hAnsi="Times New Roman" w:cs="Times New Roman"/>
                <w:b/>
                <w:bCs/>
                <w:lang w:eastAsia="hu-HU"/>
              </w:rPr>
              <w:t xml:space="preserve">2024. </w:t>
            </w:r>
          </w:p>
          <w:p w14:paraId="5E208842" w14:textId="4A022DEF" w:rsidR="00081A16" w:rsidRPr="00DD7FD1" w:rsidRDefault="7C285CBA" w:rsidP="7C285CBA">
            <w:pPr>
              <w:spacing w:after="0" w:line="240" w:lineRule="auto"/>
              <w:jc w:val="center"/>
              <w:rPr>
                <w:rFonts w:ascii="Times New Roman" w:hAnsi="Times New Roman" w:cs="Times New Roman"/>
                <w:b/>
                <w:bCs/>
                <w:color w:val="000000" w:themeColor="text1"/>
              </w:rPr>
            </w:pPr>
            <w:r w:rsidRPr="7C285CBA">
              <w:rPr>
                <w:rFonts w:ascii="Times New Roman" w:eastAsia="Times New Roman" w:hAnsi="Times New Roman" w:cs="Times New Roman"/>
                <w:b/>
                <w:bCs/>
                <w:lang w:eastAsia="hu-HU"/>
              </w:rPr>
              <w:t>I-VIII. hó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515045" w14:textId="76BFE4BD" w:rsidR="00081A16" w:rsidRPr="00DD7FD1" w:rsidRDefault="7C285CBA" w:rsidP="7C285CBA">
            <w:pPr>
              <w:spacing w:after="0" w:line="240" w:lineRule="auto"/>
              <w:jc w:val="center"/>
              <w:rPr>
                <w:rFonts w:ascii="Times New Roman" w:hAnsi="Times New Roman" w:cs="Times New Roman"/>
                <w:b/>
                <w:bCs/>
                <w:color w:val="000000" w:themeColor="text1"/>
              </w:rPr>
            </w:pPr>
            <w:r w:rsidRPr="7C285CBA">
              <w:rPr>
                <w:rFonts w:ascii="Times New Roman" w:eastAsia="Times New Roman" w:hAnsi="Times New Roman" w:cs="Times New Roman"/>
                <w:b/>
                <w:bCs/>
                <w:lang w:eastAsia="hu-HU"/>
              </w:rPr>
              <w:t xml:space="preserve">2025. </w:t>
            </w:r>
          </w:p>
          <w:p w14:paraId="211822BF" w14:textId="27FC1C87" w:rsidR="00081A16" w:rsidRPr="00DD7FD1" w:rsidRDefault="7C285CBA" w:rsidP="7C285CBA">
            <w:pPr>
              <w:spacing w:after="0" w:line="240" w:lineRule="auto"/>
              <w:jc w:val="center"/>
              <w:rPr>
                <w:rFonts w:ascii="Times New Roman" w:hAnsi="Times New Roman" w:cs="Times New Roman"/>
                <w:b/>
                <w:bCs/>
                <w:color w:val="000000" w:themeColor="text1"/>
              </w:rPr>
            </w:pPr>
            <w:r w:rsidRPr="7C285CBA">
              <w:rPr>
                <w:rFonts w:ascii="Times New Roman" w:eastAsia="Times New Roman" w:hAnsi="Times New Roman" w:cs="Times New Roman"/>
                <w:b/>
                <w:bCs/>
                <w:lang w:eastAsia="hu-HU"/>
              </w:rPr>
              <w:t>I-VIII. hó</w:t>
            </w:r>
          </w:p>
        </w:tc>
        <w:tc>
          <w:tcPr>
            <w:tcW w:w="1559"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5F9B9E7" w14:textId="77777777" w:rsidR="00081A16" w:rsidRPr="00DD7FD1" w:rsidRDefault="7C285CBA" w:rsidP="7C285CBA">
            <w:pPr>
              <w:jc w:val="center"/>
              <w:rPr>
                <w:rFonts w:ascii="Times New Roman" w:hAnsi="Times New Roman" w:cs="Times New Roman"/>
                <w:b/>
                <w:bCs/>
                <w:color w:val="000000" w:themeColor="text1"/>
              </w:rPr>
            </w:pPr>
            <w:r w:rsidRPr="7C285CBA">
              <w:rPr>
                <w:rFonts w:ascii="Times New Roman" w:hAnsi="Times New Roman" w:cs="Times New Roman"/>
                <w:b/>
                <w:bCs/>
                <w:color w:val="000000" w:themeColor="text1"/>
              </w:rPr>
              <w:t>Eltérés</w:t>
            </w:r>
          </w:p>
        </w:tc>
      </w:tr>
      <w:tr w:rsidR="006068B4" w:rsidRPr="006068B4" w14:paraId="2BEB1728" w14:textId="77777777" w:rsidTr="00DF0A34">
        <w:trPr>
          <w:trHeight w:hRule="exact" w:val="569"/>
        </w:trPr>
        <w:tc>
          <w:tcPr>
            <w:tcW w:w="5529" w:type="dxa"/>
            <w:vMerge/>
            <w:tcBorders>
              <w:top w:val="nil"/>
              <w:left w:val="single" w:sz="4" w:space="0" w:color="auto"/>
              <w:bottom w:val="single" w:sz="4" w:space="0" w:color="000000"/>
              <w:right w:val="single" w:sz="4" w:space="0" w:color="auto"/>
            </w:tcBorders>
            <w:shd w:val="clear" w:color="auto" w:fill="BDD6EE" w:themeFill="accent1" w:themeFillTint="66"/>
            <w:vAlign w:val="center"/>
            <w:hideMark/>
          </w:tcPr>
          <w:p w14:paraId="493B685E" w14:textId="77777777" w:rsidR="006068B4" w:rsidRPr="00DD7FD1" w:rsidRDefault="006068B4" w:rsidP="000C1105">
            <w:pPr>
              <w:rPr>
                <w:rFonts w:ascii="Times New Roman" w:hAnsi="Times New Roman" w:cs="Times New Roman"/>
                <w:b/>
                <w:bCs/>
                <w:color w:val="000000"/>
              </w:rPr>
            </w:pPr>
          </w:p>
        </w:tc>
        <w:tc>
          <w:tcPr>
            <w:tcW w:w="1134" w:type="dxa"/>
            <w:vMerge/>
            <w:tcBorders>
              <w:top w:val="nil"/>
              <w:left w:val="single" w:sz="4" w:space="0" w:color="auto"/>
              <w:bottom w:val="single" w:sz="4" w:space="0" w:color="000000"/>
              <w:right w:val="single" w:sz="4" w:space="0" w:color="auto"/>
            </w:tcBorders>
            <w:shd w:val="clear" w:color="auto" w:fill="BDD6EE" w:themeFill="accent1" w:themeFillTint="66"/>
            <w:vAlign w:val="center"/>
            <w:hideMark/>
          </w:tcPr>
          <w:p w14:paraId="071FC734" w14:textId="77777777" w:rsidR="006068B4" w:rsidRPr="00DD7FD1" w:rsidRDefault="006068B4" w:rsidP="000C1105">
            <w:pPr>
              <w:rPr>
                <w:rFonts w:ascii="Times New Roman" w:hAnsi="Times New Roman" w:cs="Times New Roman"/>
                <w:b/>
                <w:bCs/>
                <w:color w:val="000000"/>
              </w:rPr>
            </w:pPr>
          </w:p>
        </w:tc>
        <w:tc>
          <w:tcPr>
            <w:tcW w:w="1134" w:type="dxa"/>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6929BC54" w14:textId="77777777" w:rsidR="006068B4" w:rsidRPr="00DD7FD1" w:rsidRDefault="006068B4" w:rsidP="000C1105">
            <w:pPr>
              <w:rPr>
                <w:rFonts w:ascii="Times New Roman" w:hAnsi="Times New Roman" w:cs="Times New Roman"/>
                <w:b/>
                <w:bCs/>
                <w:color w:val="000000"/>
              </w:rPr>
            </w:pPr>
          </w:p>
        </w:tc>
        <w:tc>
          <w:tcPr>
            <w:tcW w:w="850" w:type="dxa"/>
            <w:tcBorders>
              <w:top w:val="nil"/>
              <w:left w:val="nil"/>
              <w:bottom w:val="single" w:sz="4" w:space="0" w:color="auto"/>
              <w:right w:val="single" w:sz="4" w:space="0" w:color="auto"/>
            </w:tcBorders>
            <w:shd w:val="clear" w:color="auto" w:fill="BDD6EE" w:themeFill="accent1" w:themeFillTint="66"/>
            <w:noWrap/>
            <w:vAlign w:val="bottom"/>
            <w:hideMark/>
          </w:tcPr>
          <w:p w14:paraId="012AC354" w14:textId="77777777" w:rsidR="006068B4" w:rsidRPr="00DD7FD1" w:rsidRDefault="7C285CBA" w:rsidP="7C285CBA">
            <w:pPr>
              <w:jc w:val="center"/>
              <w:rPr>
                <w:rFonts w:ascii="Times New Roman" w:hAnsi="Times New Roman" w:cs="Times New Roman"/>
                <w:b/>
                <w:bCs/>
                <w:color w:val="000000" w:themeColor="text1"/>
              </w:rPr>
            </w:pPr>
            <w:r w:rsidRPr="7C285CBA">
              <w:rPr>
                <w:rFonts w:ascii="Times New Roman" w:hAnsi="Times New Roman" w:cs="Times New Roman"/>
                <w:b/>
                <w:bCs/>
                <w:color w:val="000000" w:themeColor="text1"/>
              </w:rPr>
              <w:t>Mrd Ft</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14:paraId="609414B4" w14:textId="77777777" w:rsidR="006068B4" w:rsidRPr="00DD7FD1" w:rsidRDefault="7C285CBA" w:rsidP="7C285CBA">
            <w:pPr>
              <w:jc w:val="center"/>
              <w:rPr>
                <w:rFonts w:ascii="Times New Roman" w:hAnsi="Times New Roman" w:cs="Times New Roman"/>
                <w:b/>
                <w:bCs/>
                <w:color w:val="000000" w:themeColor="text1"/>
              </w:rPr>
            </w:pPr>
            <w:r w:rsidRPr="7C285CBA">
              <w:rPr>
                <w:rFonts w:ascii="Times New Roman" w:hAnsi="Times New Roman" w:cs="Times New Roman"/>
                <w:b/>
                <w:bCs/>
                <w:color w:val="000000" w:themeColor="text1"/>
              </w:rPr>
              <w:t>%</w:t>
            </w:r>
          </w:p>
        </w:tc>
      </w:tr>
      <w:tr w:rsidR="00DA488F" w:rsidRPr="006068B4" w14:paraId="49EB33A2"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74E42FB2" w14:textId="77777777" w:rsidR="00DA488F" w:rsidRPr="006068B4" w:rsidRDefault="7C285CBA" w:rsidP="7C285CBA">
            <w:pPr>
              <w:spacing w:line="240" w:lineRule="auto"/>
              <w:rPr>
                <w:rFonts w:ascii="Times New Roman" w:hAnsi="Times New Roman" w:cs="Times New Roman"/>
                <w:b/>
                <w:bCs/>
                <w:color w:val="000000" w:themeColor="text1"/>
                <w:sz w:val="20"/>
                <w:szCs w:val="20"/>
              </w:rPr>
            </w:pPr>
            <w:r w:rsidRPr="7C285CBA">
              <w:rPr>
                <w:rFonts w:ascii="Times New Roman" w:hAnsi="Times New Roman" w:cs="Times New Roman"/>
                <w:b/>
                <w:bCs/>
                <w:color w:val="000000" w:themeColor="text1"/>
                <w:sz w:val="20"/>
                <w:szCs w:val="20"/>
              </w:rPr>
              <w:t>Családi támogatások</w:t>
            </w:r>
          </w:p>
        </w:tc>
        <w:tc>
          <w:tcPr>
            <w:tcW w:w="1134" w:type="dxa"/>
            <w:tcBorders>
              <w:top w:val="nil"/>
              <w:left w:val="nil"/>
              <w:bottom w:val="single" w:sz="4" w:space="0" w:color="auto"/>
              <w:right w:val="single" w:sz="4" w:space="0" w:color="auto"/>
            </w:tcBorders>
            <w:noWrap/>
            <w:hideMark/>
          </w:tcPr>
          <w:p w14:paraId="7106BB85" w14:textId="66CBC477"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307,9</w:t>
            </w:r>
          </w:p>
        </w:tc>
        <w:tc>
          <w:tcPr>
            <w:tcW w:w="1134" w:type="dxa"/>
            <w:tcBorders>
              <w:top w:val="nil"/>
              <w:left w:val="nil"/>
              <w:bottom w:val="single" w:sz="4" w:space="0" w:color="auto"/>
              <w:right w:val="single" w:sz="4" w:space="0" w:color="auto"/>
            </w:tcBorders>
            <w:noWrap/>
            <w:hideMark/>
          </w:tcPr>
          <w:p w14:paraId="2A54C0E6" w14:textId="6F2C7F73"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292,7</w:t>
            </w:r>
          </w:p>
        </w:tc>
        <w:tc>
          <w:tcPr>
            <w:tcW w:w="850" w:type="dxa"/>
            <w:tcBorders>
              <w:top w:val="nil"/>
              <w:left w:val="nil"/>
              <w:bottom w:val="single" w:sz="4" w:space="0" w:color="auto"/>
              <w:right w:val="single" w:sz="4" w:space="0" w:color="auto"/>
            </w:tcBorders>
            <w:noWrap/>
            <w:hideMark/>
          </w:tcPr>
          <w:p w14:paraId="1078FA78" w14:textId="47193727"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-15,2</w:t>
            </w:r>
          </w:p>
        </w:tc>
        <w:tc>
          <w:tcPr>
            <w:tcW w:w="709" w:type="dxa"/>
            <w:tcBorders>
              <w:top w:val="nil"/>
              <w:left w:val="nil"/>
              <w:bottom w:val="single" w:sz="4" w:space="0" w:color="auto"/>
              <w:right w:val="single" w:sz="4" w:space="0" w:color="auto"/>
            </w:tcBorders>
            <w:noWrap/>
            <w:hideMark/>
          </w:tcPr>
          <w:p w14:paraId="0C2D88F1" w14:textId="42C60A7A"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95,1</w:t>
            </w:r>
          </w:p>
        </w:tc>
      </w:tr>
      <w:tr w:rsidR="00DA488F" w:rsidRPr="006068B4" w14:paraId="18F11EAE"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5F289C86" w14:textId="77777777" w:rsidR="00DA488F" w:rsidRPr="006068B4" w:rsidRDefault="7C285CBA" w:rsidP="7C285CBA">
            <w:pPr>
              <w:spacing w:line="240" w:lineRule="auto"/>
              <w:ind w:firstLineChars="100" w:firstLine="20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Ebből:</w:t>
            </w:r>
          </w:p>
        </w:tc>
        <w:tc>
          <w:tcPr>
            <w:tcW w:w="1134" w:type="dxa"/>
            <w:tcBorders>
              <w:top w:val="nil"/>
              <w:left w:val="nil"/>
              <w:bottom w:val="single" w:sz="4" w:space="0" w:color="auto"/>
              <w:right w:val="single" w:sz="4" w:space="0" w:color="auto"/>
            </w:tcBorders>
            <w:noWrap/>
            <w:hideMark/>
          </w:tcPr>
          <w:p w14:paraId="3409B63E" w14:textId="38F34D08" w:rsidR="00DA488F" w:rsidRPr="00DA488F" w:rsidRDefault="00DA488F" w:rsidP="00DA488F">
            <w:pPr>
              <w:spacing w:line="240" w:lineRule="auto"/>
              <w:jc w:val="right"/>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noWrap/>
            <w:hideMark/>
          </w:tcPr>
          <w:p w14:paraId="73A14223" w14:textId="68DF0F09" w:rsidR="00DA488F" w:rsidRPr="00DA488F" w:rsidRDefault="00DA488F" w:rsidP="00DA488F">
            <w:pPr>
              <w:spacing w:line="240" w:lineRule="auto"/>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hideMark/>
          </w:tcPr>
          <w:p w14:paraId="0C731BD9" w14:textId="5050B205" w:rsidR="00DA488F" w:rsidRPr="00DA488F" w:rsidRDefault="00DA488F" w:rsidP="00DA488F">
            <w:pPr>
              <w:spacing w:line="240" w:lineRule="auto"/>
              <w:jc w:val="right"/>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noWrap/>
            <w:hideMark/>
          </w:tcPr>
          <w:p w14:paraId="3700134C" w14:textId="42CA5D48" w:rsidR="00DA488F" w:rsidRPr="00DA488F" w:rsidRDefault="00DA488F" w:rsidP="00DA488F">
            <w:pPr>
              <w:spacing w:line="240" w:lineRule="auto"/>
              <w:jc w:val="right"/>
              <w:rPr>
                <w:rFonts w:ascii="Times New Roman" w:hAnsi="Times New Roman" w:cs="Times New Roman"/>
                <w:sz w:val="20"/>
                <w:szCs w:val="20"/>
              </w:rPr>
            </w:pPr>
          </w:p>
        </w:tc>
      </w:tr>
      <w:tr w:rsidR="00DA488F" w:rsidRPr="006068B4" w14:paraId="177E3B96"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7532CB68"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családi pótlék</w:t>
            </w:r>
          </w:p>
        </w:tc>
        <w:tc>
          <w:tcPr>
            <w:tcW w:w="1134" w:type="dxa"/>
            <w:tcBorders>
              <w:top w:val="nil"/>
              <w:left w:val="nil"/>
              <w:bottom w:val="single" w:sz="4" w:space="0" w:color="auto"/>
              <w:right w:val="single" w:sz="4" w:space="0" w:color="auto"/>
            </w:tcBorders>
            <w:noWrap/>
            <w:hideMark/>
          </w:tcPr>
          <w:p w14:paraId="38B23896" w14:textId="6F5CD998"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228,6</w:t>
            </w:r>
          </w:p>
        </w:tc>
        <w:tc>
          <w:tcPr>
            <w:tcW w:w="1134" w:type="dxa"/>
            <w:tcBorders>
              <w:top w:val="nil"/>
              <w:left w:val="nil"/>
              <w:bottom w:val="single" w:sz="4" w:space="0" w:color="auto"/>
              <w:right w:val="single" w:sz="4" w:space="0" w:color="auto"/>
            </w:tcBorders>
            <w:noWrap/>
            <w:hideMark/>
          </w:tcPr>
          <w:p w14:paraId="2831AA3C" w14:textId="57DB7C3C"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226,4</w:t>
            </w:r>
          </w:p>
        </w:tc>
        <w:tc>
          <w:tcPr>
            <w:tcW w:w="850" w:type="dxa"/>
            <w:tcBorders>
              <w:top w:val="nil"/>
              <w:left w:val="nil"/>
              <w:bottom w:val="single" w:sz="4" w:space="0" w:color="auto"/>
              <w:right w:val="single" w:sz="4" w:space="0" w:color="auto"/>
            </w:tcBorders>
            <w:noWrap/>
            <w:hideMark/>
          </w:tcPr>
          <w:p w14:paraId="145C8E2D" w14:textId="4C59EDBA"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-2,2</w:t>
            </w:r>
          </w:p>
        </w:tc>
        <w:tc>
          <w:tcPr>
            <w:tcW w:w="709" w:type="dxa"/>
            <w:tcBorders>
              <w:top w:val="nil"/>
              <w:left w:val="nil"/>
              <w:bottom w:val="single" w:sz="4" w:space="0" w:color="auto"/>
              <w:right w:val="single" w:sz="4" w:space="0" w:color="auto"/>
            </w:tcBorders>
            <w:noWrap/>
            <w:hideMark/>
          </w:tcPr>
          <w:p w14:paraId="3DC707AD" w14:textId="2E2E810B"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99,0</w:t>
            </w:r>
          </w:p>
        </w:tc>
      </w:tr>
      <w:tr w:rsidR="00DA488F" w:rsidRPr="006068B4" w14:paraId="750E94DE"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60C0A4C2"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anyasági támogatás</w:t>
            </w:r>
          </w:p>
        </w:tc>
        <w:tc>
          <w:tcPr>
            <w:tcW w:w="1134" w:type="dxa"/>
            <w:tcBorders>
              <w:top w:val="nil"/>
              <w:left w:val="nil"/>
              <w:bottom w:val="single" w:sz="4" w:space="0" w:color="auto"/>
              <w:right w:val="single" w:sz="4" w:space="0" w:color="auto"/>
            </w:tcBorders>
            <w:noWrap/>
            <w:hideMark/>
          </w:tcPr>
          <w:p w14:paraId="597D9A51" w14:textId="702A194D"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3,6</w:t>
            </w:r>
          </w:p>
        </w:tc>
        <w:tc>
          <w:tcPr>
            <w:tcW w:w="1134" w:type="dxa"/>
            <w:tcBorders>
              <w:top w:val="nil"/>
              <w:left w:val="nil"/>
              <w:bottom w:val="single" w:sz="4" w:space="0" w:color="auto"/>
              <w:right w:val="single" w:sz="4" w:space="0" w:color="auto"/>
            </w:tcBorders>
            <w:noWrap/>
            <w:hideMark/>
          </w:tcPr>
          <w:p w14:paraId="4295E839" w14:textId="2FDFC829"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3,3</w:t>
            </w:r>
          </w:p>
        </w:tc>
        <w:tc>
          <w:tcPr>
            <w:tcW w:w="850" w:type="dxa"/>
            <w:tcBorders>
              <w:top w:val="nil"/>
              <w:left w:val="nil"/>
              <w:bottom w:val="single" w:sz="4" w:space="0" w:color="auto"/>
              <w:right w:val="single" w:sz="4" w:space="0" w:color="auto"/>
            </w:tcBorders>
            <w:noWrap/>
            <w:hideMark/>
          </w:tcPr>
          <w:p w14:paraId="0BFAA189" w14:textId="3356B002"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-0,3</w:t>
            </w:r>
          </w:p>
        </w:tc>
        <w:tc>
          <w:tcPr>
            <w:tcW w:w="709" w:type="dxa"/>
            <w:tcBorders>
              <w:top w:val="nil"/>
              <w:left w:val="nil"/>
              <w:bottom w:val="single" w:sz="4" w:space="0" w:color="auto"/>
              <w:right w:val="single" w:sz="4" w:space="0" w:color="auto"/>
            </w:tcBorders>
            <w:noWrap/>
            <w:hideMark/>
          </w:tcPr>
          <w:p w14:paraId="2913BB8B" w14:textId="2B4D510B"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91,7</w:t>
            </w:r>
          </w:p>
        </w:tc>
      </w:tr>
      <w:tr w:rsidR="00DA488F" w:rsidRPr="006068B4" w14:paraId="723C4BB5" w14:textId="77777777" w:rsidTr="00DF0A34">
        <w:trPr>
          <w:trHeight w:hRule="exact" w:val="284"/>
        </w:trPr>
        <w:tc>
          <w:tcPr>
            <w:tcW w:w="5529" w:type="dxa"/>
            <w:tcBorders>
              <w:top w:val="nil"/>
              <w:left w:val="single" w:sz="4" w:space="0" w:color="auto"/>
              <w:bottom w:val="single" w:sz="4" w:space="0" w:color="auto"/>
              <w:right w:val="single" w:sz="4" w:space="0" w:color="auto"/>
            </w:tcBorders>
            <w:vAlign w:val="center"/>
            <w:hideMark/>
          </w:tcPr>
          <w:p w14:paraId="4B71EC87"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gyermekgondozást segítő ellátás</w:t>
            </w:r>
          </w:p>
        </w:tc>
        <w:tc>
          <w:tcPr>
            <w:tcW w:w="1134" w:type="dxa"/>
            <w:tcBorders>
              <w:top w:val="nil"/>
              <w:left w:val="nil"/>
              <w:bottom w:val="single" w:sz="4" w:space="0" w:color="auto"/>
              <w:right w:val="single" w:sz="4" w:space="0" w:color="auto"/>
            </w:tcBorders>
            <w:noWrap/>
            <w:hideMark/>
          </w:tcPr>
          <w:p w14:paraId="6C8BD5D3" w14:textId="728C9867"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39,4</w:t>
            </w:r>
          </w:p>
        </w:tc>
        <w:tc>
          <w:tcPr>
            <w:tcW w:w="1134" w:type="dxa"/>
            <w:tcBorders>
              <w:top w:val="nil"/>
              <w:left w:val="nil"/>
              <w:bottom w:val="single" w:sz="4" w:space="0" w:color="auto"/>
              <w:right w:val="single" w:sz="4" w:space="0" w:color="auto"/>
            </w:tcBorders>
            <w:noWrap/>
            <w:hideMark/>
          </w:tcPr>
          <w:p w14:paraId="4B96F73D" w14:textId="13F98674"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39,1</w:t>
            </w:r>
          </w:p>
        </w:tc>
        <w:tc>
          <w:tcPr>
            <w:tcW w:w="850" w:type="dxa"/>
            <w:tcBorders>
              <w:top w:val="nil"/>
              <w:left w:val="nil"/>
              <w:bottom w:val="single" w:sz="4" w:space="0" w:color="auto"/>
              <w:right w:val="single" w:sz="4" w:space="0" w:color="auto"/>
            </w:tcBorders>
            <w:noWrap/>
            <w:hideMark/>
          </w:tcPr>
          <w:p w14:paraId="7997B51A" w14:textId="6D9E43E6"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-0,3</w:t>
            </w:r>
          </w:p>
        </w:tc>
        <w:tc>
          <w:tcPr>
            <w:tcW w:w="709" w:type="dxa"/>
            <w:tcBorders>
              <w:top w:val="nil"/>
              <w:left w:val="nil"/>
              <w:bottom w:val="single" w:sz="4" w:space="0" w:color="auto"/>
              <w:right w:val="single" w:sz="4" w:space="0" w:color="auto"/>
            </w:tcBorders>
            <w:noWrap/>
            <w:hideMark/>
          </w:tcPr>
          <w:p w14:paraId="4C0B8D65" w14:textId="319CD70A"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99,2</w:t>
            </w:r>
          </w:p>
        </w:tc>
      </w:tr>
      <w:tr w:rsidR="00DA488F" w:rsidRPr="006068B4" w14:paraId="4C1A9EFC" w14:textId="77777777" w:rsidTr="00DF0A34">
        <w:trPr>
          <w:trHeight w:hRule="exact" w:val="284"/>
        </w:trPr>
        <w:tc>
          <w:tcPr>
            <w:tcW w:w="5529" w:type="dxa"/>
            <w:tcBorders>
              <w:top w:val="nil"/>
              <w:left w:val="single" w:sz="4" w:space="0" w:color="auto"/>
              <w:bottom w:val="single" w:sz="4" w:space="0" w:color="auto"/>
              <w:right w:val="single" w:sz="4" w:space="0" w:color="auto"/>
            </w:tcBorders>
            <w:vAlign w:val="center"/>
            <w:hideMark/>
          </w:tcPr>
          <w:p w14:paraId="0E314DCD"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gyermeknevelési támogatás</w:t>
            </w:r>
          </w:p>
        </w:tc>
        <w:tc>
          <w:tcPr>
            <w:tcW w:w="1134" w:type="dxa"/>
            <w:tcBorders>
              <w:top w:val="nil"/>
              <w:left w:val="nil"/>
              <w:bottom w:val="single" w:sz="4" w:space="0" w:color="auto"/>
              <w:right w:val="single" w:sz="4" w:space="0" w:color="auto"/>
            </w:tcBorders>
            <w:noWrap/>
            <w:hideMark/>
          </w:tcPr>
          <w:p w14:paraId="14826C72" w14:textId="4A0DD76E"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6,9</w:t>
            </w:r>
          </w:p>
        </w:tc>
        <w:tc>
          <w:tcPr>
            <w:tcW w:w="1134" w:type="dxa"/>
            <w:tcBorders>
              <w:top w:val="nil"/>
              <w:left w:val="nil"/>
              <w:bottom w:val="single" w:sz="4" w:space="0" w:color="auto"/>
              <w:right w:val="single" w:sz="4" w:space="0" w:color="auto"/>
            </w:tcBorders>
            <w:noWrap/>
            <w:hideMark/>
          </w:tcPr>
          <w:p w14:paraId="6A870304" w14:textId="08D7314B"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6,6</w:t>
            </w:r>
          </w:p>
        </w:tc>
        <w:tc>
          <w:tcPr>
            <w:tcW w:w="850" w:type="dxa"/>
            <w:tcBorders>
              <w:top w:val="nil"/>
              <w:left w:val="nil"/>
              <w:bottom w:val="single" w:sz="4" w:space="0" w:color="auto"/>
              <w:right w:val="single" w:sz="4" w:space="0" w:color="auto"/>
            </w:tcBorders>
            <w:noWrap/>
            <w:hideMark/>
          </w:tcPr>
          <w:p w14:paraId="588B93BB" w14:textId="5440D059"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-0,3</w:t>
            </w:r>
          </w:p>
        </w:tc>
        <w:tc>
          <w:tcPr>
            <w:tcW w:w="709" w:type="dxa"/>
            <w:tcBorders>
              <w:top w:val="nil"/>
              <w:left w:val="nil"/>
              <w:bottom w:val="single" w:sz="4" w:space="0" w:color="auto"/>
              <w:right w:val="single" w:sz="4" w:space="0" w:color="auto"/>
            </w:tcBorders>
            <w:noWrap/>
            <w:hideMark/>
          </w:tcPr>
          <w:p w14:paraId="7DAF609F" w14:textId="5E09724C"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95,7</w:t>
            </w:r>
          </w:p>
        </w:tc>
      </w:tr>
      <w:tr w:rsidR="00DA488F" w:rsidRPr="006068B4" w14:paraId="49AE6306" w14:textId="77777777" w:rsidTr="00DF0A34">
        <w:trPr>
          <w:trHeight w:hRule="exact" w:val="284"/>
        </w:trPr>
        <w:tc>
          <w:tcPr>
            <w:tcW w:w="5529" w:type="dxa"/>
            <w:tcBorders>
              <w:top w:val="nil"/>
              <w:left w:val="single" w:sz="4" w:space="0" w:color="auto"/>
              <w:bottom w:val="single" w:sz="4" w:space="0" w:color="auto"/>
              <w:right w:val="single" w:sz="4" w:space="0" w:color="auto"/>
            </w:tcBorders>
            <w:vAlign w:val="center"/>
            <w:hideMark/>
          </w:tcPr>
          <w:p w14:paraId="345200B1"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gyermekek születésével kapcsolatos szabadság megtérítése</w:t>
            </w:r>
          </w:p>
        </w:tc>
        <w:tc>
          <w:tcPr>
            <w:tcW w:w="1134" w:type="dxa"/>
            <w:tcBorders>
              <w:top w:val="nil"/>
              <w:left w:val="nil"/>
              <w:bottom w:val="single" w:sz="4" w:space="0" w:color="auto"/>
              <w:right w:val="single" w:sz="4" w:space="0" w:color="auto"/>
            </w:tcBorders>
            <w:noWrap/>
            <w:hideMark/>
          </w:tcPr>
          <w:p w14:paraId="48F1434B" w14:textId="2D900EB2"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3,6</w:t>
            </w:r>
          </w:p>
        </w:tc>
        <w:tc>
          <w:tcPr>
            <w:tcW w:w="1134" w:type="dxa"/>
            <w:tcBorders>
              <w:top w:val="nil"/>
              <w:left w:val="nil"/>
              <w:bottom w:val="single" w:sz="4" w:space="0" w:color="auto"/>
              <w:right w:val="single" w:sz="4" w:space="0" w:color="auto"/>
            </w:tcBorders>
            <w:noWrap/>
            <w:hideMark/>
          </w:tcPr>
          <w:p w14:paraId="6AAF688A" w14:textId="281C34D7"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3,9</w:t>
            </w:r>
          </w:p>
        </w:tc>
        <w:tc>
          <w:tcPr>
            <w:tcW w:w="850" w:type="dxa"/>
            <w:tcBorders>
              <w:top w:val="nil"/>
              <w:left w:val="nil"/>
              <w:bottom w:val="single" w:sz="4" w:space="0" w:color="auto"/>
              <w:right w:val="single" w:sz="4" w:space="0" w:color="auto"/>
            </w:tcBorders>
            <w:noWrap/>
            <w:hideMark/>
          </w:tcPr>
          <w:p w14:paraId="664A5D3B" w14:textId="15066C9F"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0,3</w:t>
            </w:r>
          </w:p>
        </w:tc>
        <w:tc>
          <w:tcPr>
            <w:tcW w:w="709" w:type="dxa"/>
            <w:tcBorders>
              <w:top w:val="nil"/>
              <w:left w:val="nil"/>
              <w:bottom w:val="single" w:sz="4" w:space="0" w:color="auto"/>
              <w:right w:val="single" w:sz="4" w:space="0" w:color="auto"/>
            </w:tcBorders>
            <w:noWrap/>
            <w:hideMark/>
          </w:tcPr>
          <w:p w14:paraId="4DE79E3D" w14:textId="379BFE57"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108,3</w:t>
            </w:r>
          </w:p>
        </w:tc>
      </w:tr>
      <w:tr w:rsidR="00DA488F" w:rsidRPr="006068B4" w14:paraId="31537421" w14:textId="77777777" w:rsidTr="00DF0A34">
        <w:trPr>
          <w:trHeight w:hRule="exact" w:val="284"/>
        </w:trPr>
        <w:tc>
          <w:tcPr>
            <w:tcW w:w="5529" w:type="dxa"/>
            <w:tcBorders>
              <w:top w:val="nil"/>
              <w:left w:val="single" w:sz="4" w:space="0" w:color="auto"/>
              <w:bottom w:val="single" w:sz="4" w:space="0" w:color="auto"/>
              <w:right w:val="single" w:sz="4" w:space="0" w:color="auto"/>
            </w:tcBorders>
            <w:vAlign w:val="center"/>
            <w:hideMark/>
          </w:tcPr>
          <w:p w14:paraId="4219C75A"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életkezdési támogatás</w:t>
            </w:r>
          </w:p>
        </w:tc>
        <w:tc>
          <w:tcPr>
            <w:tcW w:w="1134" w:type="dxa"/>
            <w:tcBorders>
              <w:top w:val="nil"/>
              <w:left w:val="nil"/>
              <w:bottom w:val="single" w:sz="4" w:space="0" w:color="auto"/>
              <w:right w:val="single" w:sz="4" w:space="0" w:color="auto"/>
            </w:tcBorders>
            <w:noWrap/>
            <w:hideMark/>
          </w:tcPr>
          <w:p w14:paraId="7201B04B" w14:textId="5A3E16A1"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23,1</w:t>
            </w:r>
          </w:p>
        </w:tc>
        <w:tc>
          <w:tcPr>
            <w:tcW w:w="1134" w:type="dxa"/>
            <w:tcBorders>
              <w:top w:val="nil"/>
              <w:left w:val="nil"/>
              <w:bottom w:val="single" w:sz="4" w:space="0" w:color="auto"/>
              <w:right w:val="single" w:sz="4" w:space="0" w:color="auto"/>
            </w:tcBorders>
            <w:noWrap/>
            <w:hideMark/>
          </w:tcPr>
          <w:p w14:paraId="45D51CF7" w14:textId="12687AF6"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10,4</w:t>
            </w:r>
          </w:p>
        </w:tc>
        <w:tc>
          <w:tcPr>
            <w:tcW w:w="850" w:type="dxa"/>
            <w:tcBorders>
              <w:top w:val="nil"/>
              <w:left w:val="nil"/>
              <w:bottom w:val="single" w:sz="4" w:space="0" w:color="auto"/>
              <w:right w:val="single" w:sz="4" w:space="0" w:color="auto"/>
            </w:tcBorders>
            <w:noWrap/>
            <w:hideMark/>
          </w:tcPr>
          <w:p w14:paraId="1BC502FA" w14:textId="35660E47"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-12,7</w:t>
            </w:r>
          </w:p>
        </w:tc>
        <w:tc>
          <w:tcPr>
            <w:tcW w:w="709" w:type="dxa"/>
            <w:tcBorders>
              <w:top w:val="nil"/>
              <w:left w:val="nil"/>
              <w:bottom w:val="single" w:sz="4" w:space="0" w:color="auto"/>
              <w:right w:val="single" w:sz="4" w:space="0" w:color="auto"/>
            </w:tcBorders>
            <w:noWrap/>
            <w:hideMark/>
          </w:tcPr>
          <w:p w14:paraId="70100317" w14:textId="5C3B219D"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45,0</w:t>
            </w:r>
          </w:p>
        </w:tc>
      </w:tr>
      <w:tr w:rsidR="00DA488F" w:rsidRPr="006068B4" w14:paraId="7D88A7FB"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699AE9AE" w14:textId="77777777" w:rsidR="00DA488F" w:rsidRPr="006068B4" w:rsidRDefault="7C285CBA" w:rsidP="7C285CBA">
            <w:pPr>
              <w:spacing w:line="240" w:lineRule="auto"/>
              <w:rPr>
                <w:rFonts w:ascii="Times New Roman" w:hAnsi="Times New Roman" w:cs="Times New Roman"/>
                <w:b/>
                <w:bCs/>
                <w:color w:val="000000" w:themeColor="text1"/>
                <w:sz w:val="20"/>
                <w:szCs w:val="20"/>
              </w:rPr>
            </w:pPr>
            <w:r w:rsidRPr="7C285CBA">
              <w:rPr>
                <w:rFonts w:ascii="Times New Roman" w:hAnsi="Times New Roman" w:cs="Times New Roman"/>
                <w:b/>
                <w:bCs/>
                <w:color w:val="000000" w:themeColor="text1"/>
                <w:sz w:val="20"/>
                <w:szCs w:val="20"/>
              </w:rPr>
              <w:t>Korhatár alatti ellátások</w:t>
            </w:r>
          </w:p>
        </w:tc>
        <w:tc>
          <w:tcPr>
            <w:tcW w:w="1134" w:type="dxa"/>
            <w:tcBorders>
              <w:top w:val="nil"/>
              <w:left w:val="nil"/>
              <w:bottom w:val="single" w:sz="4" w:space="0" w:color="auto"/>
              <w:right w:val="single" w:sz="4" w:space="0" w:color="auto"/>
            </w:tcBorders>
            <w:noWrap/>
            <w:hideMark/>
          </w:tcPr>
          <w:p w14:paraId="7703B44A" w14:textId="365750F1"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87,3</w:t>
            </w:r>
          </w:p>
        </w:tc>
        <w:tc>
          <w:tcPr>
            <w:tcW w:w="1134" w:type="dxa"/>
            <w:tcBorders>
              <w:top w:val="nil"/>
              <w:left w:val="nil"/>
              <w:bottom w:val="single" w:sz="4" w:space="0" w:color="auto"/>
              <w:right w:val="single" w:sz="4" w:space="0" w:color="auto"/>
            </w:tcBorders>
            <w:noWrap/>
            <w:hideMark/>
          </w:tcPr>
          <w:p w14:paraId="6428734A" w14:textId="78E602C4"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83,7</w:t>
            </w:r>
          </w:p>
        </w:tc>
        <w:tc>
          <w:tcPr>
            <w:tcW w:w="850" w:type="dxa"/>
            <w:tcBorders>
              <w:top w:val="nil"/>
              <w:left w:val="nil"/>
              <w:bottom w:val="single" w:sz="4" w:space="0" w:color="auto"/>
              <w:right w:val="single" w:sz="4" w:space="0" w:color="auto"/>
            </w:tcBorders>
            <w:noWrap/>
            <w:hideMark/>
          </w:tcPr>
          <w:p w14:paraId="7EDBDA2F" w14:textId="2295E39F"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-3,6</w:t>
            </w:r>
          </w:p>
        </w:tc>
        <w:tc>
          <w:tcPr>
            <w:tcW w:w="709" w:type="dxa"/>
            <w:tcBorders>
              <w:top w:val="nil"/>
              <w:left w:val="nil"/>
              <w:bottom w:val="single" w:sz="4" w:space="0" w:color="auto"/>
              <w:right w:val="single" w:sz="4" w:space="0" w:color="auto"/>
            </w:tcBorders>
            <w:noWrap/>
            <w:hideMark/>
          </w:tcPr>
          <w:p w14:paraId="534E4A63" w14:textId="6E53717E"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95,9</w:t>
            </w:r>
          </w:p>
        </w:tc>
      </w:tr>
      <w:tr w:rsidR="00DA488F" w:rsidRPr="006068B4" w14:paraId="2D32D206"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7EA13739" w14:textId="77777777" w:rsidR="00DA488F" w:rsidRPr="006068B4" w:rsidRDefault="7C285CBA" w:rsidP="7C285CBA">
            <w:pPr>
              <w:spacing w:line="240" w:lineRule="auto"/>
              <w:rPr>
                <w:rFonts w:ascii="Times New Roman" w:hAnsi="Times New Roman" w:cs="Times New Roman"/>
                <w:b/>
                <w:bCs/>
                <w:color w:val="000000" w:themeColor="text1"/>
                <w:sz w:val="20"/>
                <w:szCs w:val="20"/>
              </w:rPr>
            </w:pPr>
            <w:r w:rsidRPr="7C285CBA">
              <w:rPr>
                <w:rFonts w:ascii="Times New Roman" w:hAnsi="Times New Roman" w:cs="Times New Roman"/>
                <w:b/>
                <w:bCs/>
                <w:color w:val="000000" w:themeColor="text1"/>
                <w:sz w:val="20"/>
                <w:szCs w:val="20"/>
              </w:rPr>
              <w:t>Jövedelempótló és jövedelemkiegészítő szociális támogatások</w:t>
            </w:r>
          </w:p>
        </w:tc>
        <w:tc>
          <w:tcPr>
            <w:tcW w:w="1134" w:type="dxa"/>
            <w:tcBorders>
              <w:top w:val="nil"/>
              <w:left w:val="nil"/>
              <w:bottom w:val="single" w:sz="4" w:space="0" w:color="auto"/>
              <w:right w:val="single" w:sz="4" w:space="0" w:color="auto"/>
            </w:tcBorders>
            <w:noWrap/>
            <w:hideMark/>
          </w:tcPr>
          <w:p w14:paraId="09D08D68" w14:textId="173D032C"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148,8</w:t>
            </w:r>
          </w:p>
        </w:tc>
        <w:tc>
          <w:tcPr>
            <w:tcW w:w="1134" w:type="dxa"/>
            <w:tcBorders>
              <w:top w:val="nil"/>
              <w:left w:val="nil"/>
              <w:bottom w:val="single" w:sz="4" w:space="0" w:color="auto"/>
              <w:right w:val="single" w:sz="4" w:space="0" w:color="auto"/>
            </w:tcBorders>
            <w:noWrap/>
            <w:hideMark/>
          </w:tcPr>
          <w:p w14:paraId="20CD8076" w14:textId="4752380E"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161,7</w:t>
            </w:r>
          </w:p>
        </w:tc>
        <w:tc>
          <w:tcPr>
            <w:tcW w:w="850" w:type="dxa"/>
            <w:tcBorders>
              <w:top w:val="nil"/>
              <w:left w:val="nil"/>
              <w:bottom w:val="single" w:sz="4" w:space="0" w:color="auto"/>
              <w:right w:val="single" w:sz="4" w:space="0" w:color="auto"/>
            </w:tcBorders>
            <w:noWrap/>
            <w:hideMark/>
          </w:tcPr>
          <w:p w14:paraId="06C5F2C2" w14:textId="1ACEDE44"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12,9</w:t>
            </w:r>
          </w:p>
        </w:tc>
        <w:tc>
          <w:tcPr>
            <w:tcW w:w="709" w:type="dxa"/>
            <w:tcBorders>
              <w:top w:val="nil"/>
              <w:left w:val="nil"/>
              <w:bottom w:val="single" w:sz="4" w:space="0" w:color="auto"/>
              <w:right w:val="single" w:sz="4" w:space="0" w:color="auto"/>
            </w:tcBorders>
            <w:noWrap/>
            <w:hideMark/>
          </w:tcPr>
          <w:p w14:paraId="72FE9F51" w14:textId="09A04ED7"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108,7</w:t>
            </w:r>
          </w:p>
        </w:tc>
      </w:tr>
      <w:tr w:rsidR="00DA488F" w:rsidRPr="006068B4" w14:paraId="5788F37E"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11B003BA" w14:textId="77777777" w:rsidR="00DA488F" w:rsidRPr="006068B4" w:rsidRDefault="7C285CBA" w:rsidP="7C285CBA">
            <w:pPr>
              <w:spacing w:line="240" w:lineRule="auto"/>
              <w:ind w:firstLineChars="100" w:firstLine="20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Ebből:</w:t>
            </w:r>
          </w:p>
        </w:tc>
        <w:tc>
          <w:tcPr>
            <w:tcW w:w="1134" w:type="dxa"/>
            <w:tcBorders>
              <w:top w:val="nil"/>
              <w:left w:val="nil"/>
              <w:bottom w:val="single" w:sz="4" w:space="0" w:color="auto"/>
              <w:right w:val="single" w:sz="4" w:space="0" w:color="auto"/>
            </w:tcBorders>
            <w:noWrap/>
            <w:hideMark/>
          </w:tcPr>
          <w:p w14:paraId="288BBE5A" w14:textId="2B3F6537" w:rsidR="00DA488F" w:rsidRPr="00DA488F" w:rsidRDefault="00DA488F" w:rsidP="00DA488F">
            <w:pPr>
              <w:spacing w:line="240" w:lineRule="auto"/>
              <w:jc w:val="right"/>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noWrap/>
            <w:hideMark/>
          </w:tcPr>
          <w:p w14:paraId="14125CFD" w14:textId="3A1AADC5" w:rsidR="00DA488F" w:rsidRPr="00DA488F" w:rsidRDefault="00DA488F" w:rsidP="00DA488F">
            <w:pPr>
              <w:spacing w:line="240" w:lineRule="auto"/>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hideMark/>
          </w:tcPr>
          <w:p w14:paraId="1F8604AB" w14:textId="2C8940A6" w:rsidR="00DA488F" w:rsidRPr="00DA488F" w:rsidRDefault="00DA488F" w:rsidP="00DA488F">
            <w:pPr>
              <w:spacing w:line="240" w:lineRule="auto"/>
              <w:jc w:val="right"/>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noWrap/>
            <w:hideMark/>
          </w:tcPr>
          <w:p w14:paraId="736DD4C8" w14:textId="2881F13B" w:rsidR="00DA488F" w:rsidRPr="00DA488F" w:rsidRDefault="00DA488F" w:rsidP="00DA488F">
            <w:pPr>
              <w:spacing w:line="240" w:lineRule="auto"/>
              <w:jc w:val="right"/>
              <w:rPr>
                <w:rFonts w:ascii="Times New Roman" w:hAnsi="Times New Roman" w:cs="Times New Roman"/>
                <w:b/>
                <w:bCs/>
                <w:sz w:val="20"/>
                <w:szCs w:val="20"/>
              </w:rPr>
            </w:pPr>
          </w:p>
        </w:tc>
      </w:tr>
      <w:tr w:rsidR="00DA488F" w:rsidRPr="006068B4" w14:paraId="2B9D2C3D"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center"/>
            <w:hideMark/>
          </w:tcPr>
          <w:p w14:paraId="3BF205E9"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Jövedelempótló és jövedelemkiegészítő ellátások</w:t>
            </w:r>
          </w:p>
        </w:tc>
        <w:tc>
          <w:tcPr>
            <w:tcW w:w="1134" w:type="dxa"/>
            <w:tcBorders>
              <w:top w:val="nil"/>
              <w:left w:val="nil"/>
              <w:bottom w:val="single" w:sz="4" w:space="0" w:color="auto"/>
              <w:right w:val="single" w:sz="4" w:space="0" w:color="auto"/>
            </w:tcBorders>
            <w:noWrap/>
            <w:hideMark/>
          </w:tcPr>
          <w:p w14:paraId="4ED98D04" w14:textId="3B1E674C"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58,5</w:t>
            </w:r>
          </w:p>
        </w:tc>
        <w:tc>
          <w:tcPr>
            <w:tcW w:w="1134" w:type="dxa"/>
            <w:tcBorders>
              <w:top w:val="nil"/>
              <w:left w:val="nil"/>
              <w:bottom w:val="single" w:sz="4" w:space="0" w:color="auto"/>
              <w:right w:val="single" w:sz="4" w:space="0" w:color="auto"/>
            </w:tcBorders>
            <w:noWrap/>
            <w:hideMark/>
          </w:tcPr>
          <w:p w14:paraId="0B03B656" w14:textId="6A82B76D"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59,0</w:t>
            </w:r>
          </w:p>
        </w:tc>
        <w:tc>
          <w:tcPr>
            <w:tcW w:w="850" w:type="dxa"/>
            <w:tcBorders>
              <w:top w:val="nil"/>
              <w:left w:val="nil"/>
              <w:bottom w:val="single" w:sz="4" w:space="0" w:color="auto"/>
              <w:right w:val="single" w:sz="4" w:space="0" w:color="auto"/>
            </w:tcBorders>
            <w:noWrap/>
            <w:hideMark/>
          </w:tcPr>
          <w:p w14:paraId="2876B997" w14:textId="256A57BE"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0,5</w:t>
            </w:r>
          </w:p>
        </w:tc>
        <w:tc>
          <w:tcPr>
            <w:tcW w:w="709" w:type="dxa"/>
            <w:tcBorders>
              <w:top w:val="nil"/>
              <w:left w:val="nil"/>
              <w:bottom w:val="single" w:sz="4" w:space="0" w:color="auto"/>
              <w:right w:val="single" w:sz="4" w:space="0" w:color="auto"/>
            </w:tcBorders>
            <w:noWrap/>
            <w:hideMark/>
          </w:tcPr>
          <w:p w14:paraId="6DBAA01B" w14:textId="51E66AB4"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100,9</w:t>
            </w:r>
          </w:p>
        </w:tc>
      </w:tr>
      <w:tr w:rsidR="00DA488F" w:rsidRPr="006068B4" w14:paraId="65888AD0"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center"/>
            <w:hideMark/>
          </w:tcPr>
          <w:p w14:paraId="47B6E086"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Járási szociális feladatok ellátása</w:t>
            </w:r>
          </w:p>
        </w:tc>
        <w:tc>
          <w:tcPr>
            <w:tcW w:w="1134" w:type="dxa"/>
            <w:tcBorders>
              <w:top w:val="nil"/>
              <w:left w:val="nil"/>
              <w:bottom w:val="single" w:sz="4" w:space="0" w:color="auto"/>
              <w:right w:val="single" w:sz="4" w:space="0" w:color="auto"/>
            </w:tcBorders>
            <w:noWrap/>
            <w:hideMark/>
          </w:tcPr>
          <w:p w14:paraId="4DD04FA4" w14:textId="77EDDAC1"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90,3</w:t>
            </w:r>
          </w:p>
        </w:tc>
        <w:tc>
          <w:tcPr>
            <w:tcW w:w="1134" w:type="dxa"/>
            <w:tcBorders>
              <w:top w:val="nil"/>
              <w:left w:val="nil"/>
              <w:bottom w:val="single" w:sz="4" w:space="0" w:color="auto"/>
              <w:right w:val="single" w:sz="4" w:space="0" w:color="auto"/>
            </w:tcBorders>
            <w:noWrap/>
            <w:hideMark/>
          </w:tcPr>
          <w:p w14:paraId="4B8C340C" w14:textId="1598E52B"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102,7</w:t>
            </w:r>
          </w:p>
        </w:tc>
        <w:tc>
          <w:tcPr>
            <w:tcW w:w="850" w:type="dxa"/>
            <w:tcBorders>
              <w:top w:val="nil"/>
              <w:left w:val="nil"/>
              <w:bottom w:val="single" w:sz="4" w:space="0" w:color="auto"/>
              <w:right w:val="single" w:sz="4" w:space="0" w:color="auto"/>
            </w:tcBorders>
            <w:noWrap/>
            <w:hideMark/>
          </w:tcPr>
          <w:p w14:paraId="5CB598A8" w14:textId="3081DC15"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12,4</w:t>
            </w:r>
          </w:p>
        </w:tc>
        <w:tc>
          <w:tcPr>
            <w:tcW w:w="709" w:type="dxa"/>
            <w:tcBorders>
              <w:top w:val="nil"/>
              <w:left w:val="nil"/>
              <w:bottom w:val="single" w:sz="4" w:space="0" w:color="auto"/>
              <w:right w:val="single" w:sz="4" w:space="0" w:color="auto"/>
            </w:tcBorders>
            <w:noWrap/>
            <w:hideMark/>
          </w:tcPr>
          <w:p w14:paraId="3DAE5F3D" w14:textId="4E0C90EC"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113,7</w:t>
            </w:r>
          </w:p>
        </w:tc>
      </w:tr>
      <w:tr w:rsidR="00DA488F" w:rsidRPr="006068B4" w14:paraId="030B4DBA"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42423DBB" w14:textId="77777777" w:rsidR="00DA488F" w:rsidRPr="006068B4" w:rsidRDefault="7C285CBA" w:rsidP="7C285CBA">
            <w:pPr>
              <w:spacing w:line="240" w:lineRule="auto"/>
              <w:rPr>
                <w:rFonts w:ascii="Times New Roman" w:hAnsi="Times New Roman" w:cs="Times New Roman"/>
                <w:b/>
                <w:bCs/>
                <w:color w:val="000000" w:themeColor="text1"/>
                <w:sz w:val="20"/>
                <w:szCs w:val="20"/>
              </w:rPr>
            </w:pPr>
            <w:r w:rsidRPr="7C285CBA">
              <w:rPr>
                <w:rFonts w:ascii="Times New Roman" w:hAnsi="Times New Roman" w:cs="Times New Roman"/>
                <w:b/>
                <w:bCs/>
                <w:color w:val="000000" w:themeColor="text1"/>
                <w:sz w:val="20"/>
                <w:szCs w:val="20"/>
              </w:rPr>
              <w:t>Különféle jogcímen adott térítések</w:t>
            </w:r>
          </w:p>
        </w:tc>
        <w:tc>
          <w:tcPr>
            <w:tcW w:w="1134" w:type="dxa"/>
            <w:tcBorders>
              <w:top w:val="nil"/>
              <w:left w:val="nil"/>
              <w:bottom w:val="single" w:sz="4" w:space="0" w:color="auto"/>
              <w:right w:val="single" w:sz="4" w:space="0" w:color="auto"/>
            </w:tcBorders>
            <w:noWrap/>
            <w:hideMark/>
          </w:tcPr>
          <w:p w14:paraId="0247058E" w14:textId="2C37BBCB"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15,5</w:t>
            </w:r>
          </w:p>
        </w:tc>
        <w:tc>
          <w:tcPr>
            <w:tcW w:w="1134" w:type="dxa"/>
            <w:tcBorders>
              <w:top w:val="nil"/>
              <w:left w:val="nil"/>
              <w:bottom w:val="single" w:sz="4" w:space="0" w:color="auto"/>
              <w:right w:val="single" w:sz="4" w:space="0" w:color="auto"/>
            </w:tcBorders>
            <w:noWrap/>
            <w:hideMark/>
          </w:tcPr>
          <w:p w14:paraId="79ACCB29" w14:textId="4293F159"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15,0</w:t>
            </w:r>
          </w:p>
        </w:tc>
        <w:tc>
          <w:tcPr>
            <w:tcW w:w="850" w:type="dxa"/>
            <w:tcBorders>
              <w:top w:val="nil"/>
              <w:left w:val="nil"/>
              <w:bottom w:val="single" w:sz="4" w:space="0" w:color="auto"/>
              <w:right w:val="single" w:sz="4" w:space="0" w:color="auto"/>
            </w:tcBorders>
            <w:noWrap/>
            <w:hideMark/>
          </w:tcPr>
          <w:p w14:paraId="74FAD509" w14:textId="02F1EDC3"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-0,5</w:t>
            </w:r>
          </w:p>
        </w:tc>
        <w:tc>
          <w:tcPr>
            <w:tcW w:w="709" w:type="dxa"/>
            <w:tcBorders>
              <w:top w:val="nil"/>
              <w:left w:val="nil"/>
              <w:bottom w:val="single" w:sz="4" w:space="0" w:color="auto"/>
              <w:right w:val="single" w:sz="4" w:space="0" w:color="auto"/>
            </w:tcBorders>
            <w:noWrap/>
            <w:hideMark/>
          </w:tcPr>
          <w:p w14:paraId="55CBB5D3" w14:textId="3B11126F" w:rsidR="00DA488F" w:rsidRPr="00DA488F" w:rsidRDefault="7C285CBA" w:rsidP="7C285CBA">
            <w:pPr>
              <w:spacing w:line="240" w:lineRule="auto"/>
              <w:jc w:val="right"/>
              <w:rPr>
                <w:rFonts w:ascii="Times New Roman" w:hAnsi="Times New Roman" w:cs="Times New Roman"/>
                <w:b/>
                <w:bCs/>
                <w:sz w:val="20"/>
                <w:szCs w:val="20"/>
              </w:rPr>
            </w:pPr>
            <w:r w:rsidRPr="7C285CBA">
              <w:rPr>
                <w:rFonts w:ascii="Times New Roman" w:hAnsi="Times New Roman" w:cs="Times New Roman"/>
                <w:b/>
                <w:bCs/>
                <w:sz w:val="20"/>
                <w:szCs w:val="20"/>
              </w:rPr>
              <w:t>96,8</w:t>
            </w:r>
          </w:p>
        </w:tc>
      </w:tr>
      <w:tr w:rsidR="00DA488F" w:rsidRPr="006068B4" w14:paraId="217EDD81"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63B18587" w14:textId="77777777" w:rsidR="00DA488F" w:rsidRPr="006068B4" w:rsidRDefault="7C285CBA" w:rsidP="7C285CBA">
            <w:pPr>
              <w:spacing w:line="240" w:lineRule="auto"/>
              <w:ind w:firstLineChars="100" w:firstLine="20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Ebből:</w:t>
            </w:r>
          </w:p>
        </w:tc>
        <w:tc>
          <w:tcPr>
            <w:tcW w:w="1134" w:type="dxa"/>
            <w:tcBorders>
              <w:top w:val="nil"/>
              <w:left w:val="nil"/>
              <w:bottom w:val="single" w:sz="4" w:space="0" w:color="auto"/>
              <w:right w:val="single" w:sz="4" w:space="0" w:color="auto"/>
            </w:tcBorders>
            <w:noWrap/>
            <w:hideMark/>
          </w:tcPr>
          <w:p w14:paraId="2C5C6549" w14:textId="55BA2136" w:rsidR="00DA488F" w:rsidRPr="00DA488F" w:rsidRDefault="00DA488F" w:rsidP="00DA488F">
            <w:pPr>
              <w:spacing w:line="240" w:lineRule="auto"/>
              <w:jc w:val="right"/>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noWrap/>
            <w:hideMark/>
          </w:tcPr>
          <w:p w14:paraId="6FA678CF" w14:textId="6098F400" w:rsidR="00DA488F" w:rsidRPr="00DA488F" w:rsidRDefault="00DA488F" w:rsidP="00DA488F">
            <w:pPr>
              <w:spacing w:line="240" w:lineRule="auto"/>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hideMark/>
          </w:tcPr>
          <w:p w14:paraId="60758E7D" w14:textId="66D5869B" w:rsidR="00DA488F" w:rsidRPr="00DA488F" w:rsidRDefault="00DA488F" w:rsidP="00DA488F">
            <w:pPr>
              <w:spacing w:line="240" w:lineRule="auto"/>
              <w:jc w:val="right"/>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noWrap/>
            <w:hideMark/>
          </w:tcPr>
          <w:p w14:paraId="18E843D4" w14:textId="2899C3A6" w:rsidR="00DA488F" w:rsidRPr="00DA488F" w:rsidRDefault="00DA488F" w:rsidP="00DA488F">
            <w:pPr>
              <w:spacing w:line="240" w:lineRule="auto"/>
              <w:jc w:val="right"/>
              <w:rPr>
                <w:rFonts w:ascii="Times New Roman" w:hAnsi="Times New Roman" w:cs="Times New Roman"/>
                <w:sz w:val="20"/>
                <w:szCs w:val="20"/>
              </w:rPr>
            </w:pPr>
          </w:p>
        </w:tc>
      </w:tr>
      <w:tr w:rsidR="00DA488F" w:rsidRPr="006068B4" w14:paraId="166A0870" w14:textId="77777777" w:rsidTr="00DF0A34">
        <w:trPr>
          <w:trHeight w:hRule="exact" w:val="284"/>
        </w:trPr>
        <w:tc>
          <w:tcPr>
            <w:tcW w:w="5529" w:type="dxa"/>
            <w:tcBorders>
              <w:top w:val="nil"/>
              <w:left w:val="single" w:sz="4" w:space="0" w:color="auto"/>
              <w:bottom w:val="single" w:sz="4" w:space="0" w:color="auto"/>
              <w:right w:val="single" w:sz="4" w:space="0" w:color="auto"/>
            </w:tcBorders>
            <w:noWrap/>
            <w:vAlign w:val="bottom"/>
            <w:hideMark/>
          </w:tcPr>
          <w:p w14:paraId="1B046E44" w14:textId="77777777" w:rsidR="00DA488F" w:rsidRPr="006068B4" w:rsidRDefault="7C285CBA" w:rsidP="00DF0A34">
            <w:pPr>
              <w:spacing w:line="240" w:lineRule="auto"/>
              <w:ind w:firstLineChars="320" w:firstLine="640"/>
              <w:rPr>
                <w:rFonts w:ascii="Times New Roman" w:hAnsi="Times New Roman" w:cs="Times New Roman"/>
                <w:i/>
                <w:iCs/>
                <w:color w:val="000000" w:themeColor="text1"/>
                <w:sz w:val="20"/>
                <w:szCs w:val="20"/>
              </w:rPr>
            </w:pPr>
            <w:r w:rsidRPr="7C285CBA">
              <w:rPr>
                <w:rFonts w:ascii="Times New Roman" w:hAnsi="Times New Roman" w:cs="Times New Roman"/>
                <w:i/>
                <w:iCs/>
                <w:color w:val="000000" w:themeColor="text1"/>
                <w:sz w:val="20"/>
                <w:szCs w:val="20"/>
              </w:rPr>
              <w:t>közgyógyellátás</w:t>
            </w:r>
          </w:p>
        </w:tc>
        <w:tc>
          <w:tcPr>
            <w:tcW w:w="1134" w:type="dxa"/>
            <w:tcBorders>
              <w:top w:val="nil"/>
              <w:left w:val="nil"/>
              <w:bottom w:val="single" w:sz="4" w:space="0" w:color="auto"/>
              <w:right w:val="single" w:sz="4" w:space="0" w:color="auto"/>
            </w:tcBorders>
            <w:noWrap/>
            <w:hideMark/>
          </w:tcPr>
          <w:p w14:paraId="1406D65C" w14:textId="5E0CA38C"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10,3</w:t>
            </w:r>
          </w:p>
        </w:tc>
        <w:tc>
          <w:tcPr>
            <w:tcW w:w="1134" w:type="dxa"/>
            <w:tcBorders>
              <w:top w:val="nil"/>
              <w:left w:val="nil"/>
              <w:bottom w:val="single" w:sz="4" w:space="0" w:color="auto"/>
              <w:right w:val="single" w:sz="4" w:space="0" w:color="auto"/>
            </w:tcBorders>
            <w:noWrap/>
            <w:hideMark/>
          </w:tcPr>
          <w:p w14:paraId="655A4EFA" w14:textId="0271C515"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9,7</w:t>
            </w:r>
          </w:p>
        </w:tc>
        <w:tc>
          <w:tcPr>
            <w:tcW w:w="850" w:type="dxa"/>
            <w:tcBorders>
              <w:top w:val="nil"/>
              <w:left w:val="nil"/>
              <w:bottom w:val="single" w:sz="4" w:space="0" w:color="auto"/>
              <w:right w:val="single" w:sz="4" w:space="0" w:color="auto"/>
            </w:tcBorders>
            <w:noWrap/>
            <w:hideMark/>
          </w:tcPr>
          <w:p w14:paraId="5494B891" w14:textId="5F1794C1"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-0,6</w:t>
            </w:r>
          </w:p>
        </w:tc>
        <w:tc>
          <w:tcPr>
            <w:tcW w:w="709" w:type="dxa"/>
            <w:tcBorders>
              <w:top w:val="nil"/>
              <w:left w:val="nil"/>
              <w:bottom w:val="single" w:sz="4" w:space="0" w:color="auto"/>
              <w:right w:val="single" w:sz="4" w:space="0" w:color="auto"/>
            </w:tcBorders>
            <w:noWrap/>
            <w:hideMark/>
          </w:tcPr>
          <w:p w14:paraId="68797428" w14:textId="23400361" w:rsidR="00DA488F" w:rsidRPr="00DA488F" w:rsidRDefault="7C285CBA" w:rsidP="7C285CBA">
            <w:pPr>
              <w:spacing w:line="240" w:lineRule="auto"/>
              <w:jc w:val="right"/>
              <w:rPr>
                <w:rFonts w:ascii="Times New Roman" w:hAnsi="Times New Roman" w:cs="Times New Roman"/>
                <w:sz w:val="20"/>
                <w:szCs w:val="20"/>
              </w:rPr>
            </w:pPr>
            <w:r w:rsidRPr="7C285CBA">
              <w:rPr>
                <w:rFonts w:ascii="Times New Roman" w:hAnsi="Times New Roman" w:cs="Times New Roman"/>
                <w:sz w:val="20"/>
                <w:szCs w:val="20"/>
              </w:rPr>
              <w:t>94,2</w:t>
            </w:r>
          </w:p>
        </w:tc>
      </w:tr>
      <w:tr w:rsidR="00DA488F" w:rsidRPr="006068B4" w14:paraId="393A56CC" w14:textId="77777777" w:rsidTr="00DF0A34">
        <w:trPr>
          <w:trHeight w:hRule="exact" w:val="284"/>
        </w:trPr>
        <w:tc>
          <w:tcPr>
            <w:tcW w:w="5529" w:type="dxa"/>
            <w:tcBorders>
              <w:top w:val="single" w:sz="4" w:space="0" w:color="auto"/>
              <w:left w:val="single" w:sz="4" w:space="0" w:color="auto"/>
              <w:bottom w:val="single" w:sz="4" w:space="0" w:color="auto"/>
              <w:right w:val="single" w:sz="4" w:space="0" w:color="auto"/>
            </w:tcBorders>
            <w:noWrap/>
            <w:vAlign w:val="bottom"/>
            <w:hideMark/>
          </w:tcPr>
          <w:p w14:paraId="7CD2655C" w14:textId="70EB1855" w:rsidR="00DA488F" w:rsidRPr="005710F5" w:rsidRDefault="7C285CBA" w:rsidP="7C285CBA">
            <w:pPr>
              <w:spacing w:line="240" w:lineRule="auto"/>
              <w:rPr>
                <w:rFonts w:ascii="Times New Roman" w:hAnsi="Times New Roman" w:cs="Times New Roman"/>
                <w:b/>
                <w:bCs/>
                <w:color w:val="000000" w:themeColor="text1"/>
                <w:sz w:val="20"/>
                <w:szCs w:val="20"/>
              </w:rPr>
            </w:pPr>
            <w:r w:rsidRPr="005710F5">
              <w:rPr>
                <w:rFonts w:ascii="Times New Roman" w:hAnsi="Times New Roman" w:cs="Times New Roman"/>
                <w:b/>
                <w:bCs/>
                <w:color w:val="000000" w:themeColor="text1"/>
                <w:sz w:val="20"/>
                <w:szCs w:val="20"/>
              </w:rPr>
              <w:t>Összesen</w:t>
            </w:r>
          </w:p>
        </w:tc>
        <w:tc>
          <w:tcPr>
            <w:tcW w:w="1134" w:type="dxa"/>
            <w:tcBorders>
              <w:top w:val="single" w:sz="4" w:space="0" w:color="auto"/>
              <w:left w:val="nil"/>
              <w:bottom w:val="single" w:sz="4" w:space="0" w:color="auto"/>
              <w:right w:val="single" w:sz="4" w:space="0" w:color="auto"/>
            </w:tcBorders>
            <w:noWrap/>
            <w:hideMark/>
          </w:tcPr>
          <w:p w14:paraId="2E876EDD" w14:textId="5954C1C4" w:rsidR="00DA488F" w:rsidRPr="005710F5" w:rsidRDefault="7C285CBA" w:rsidP="7C285CBA">
            <w:pPr>
              <w:spacing w:line="240" w:lineRule="auto"/>
              <w:jc w:val="right"/>
              <w:rPr>
                <w:rFonts w:ascii="Times New Roman" w:hAnsi="Times New Roman" w:cs="Times New Roman"/>
                <w:b/>
                <w:bCs/>
                <w:sz w:val="20"/>
                <w:szCs w:val="20"/>
              </w:rPr>
            </w:pPr>
            <w:r w:rsidRPr="005710F5">
              <w:rPr>
                <w:rFonts w:ascii="Times New Roman" w:hAnsi="Times New Roman" w:cs="Times New Roman"/>
                <w:b/>
                <w:bCs/>
                <w:sz w:val="20"/>
                <w:szCs w:val="20"/>
              </w:rPr>
              <w:t>559,4</w:t>
            </w:r>
          </w:p>
        </w:tc>
        <w:tc>
          <w:tcPr>
            <w:tcW w:w="1134" w:type="dxa"/>
            <w:tcBorders>
              <w:top w:val="single" w:sz="4" w:space="0" w:color="auto"/>
              <w:left w:val="nil"/>
              <w:bottom w:val="single" w:sz="4" w:space="0" w:color="auto"/>
              <w:right w:val="single" w:sz="4" w:space="0" w:color="auto"/>
            </w:tcBorders>
            <w:noWrap/>
            <w:hideMark/>
          </w:tcPr>
          <w:p w14:paraId="1CB4D241" w14:textId="2E3F0ADA" w:rsidR="00DA488F" w:rsidRPr="005710F5" w:rsidRDefault="7C285CBA" w:rsidP="7C285CBA">
            <w:pPr>
              <w:spacing w:line="240" w:lineRule="auto"/>
              <w:jc w:val="right"/>
              <w:rPr>
                <w:rFonts w:ascii="Times New Roman" w:hAnsi="Times New Roman" w:cs="Times New Roman"/>
                <w:b/>
                <w:bCs/>
                <w:sz w:val="20"/>
                <w:szCs w:val="20"/>
              </w:rPr>
            </w:pPr>
            <w:r w:rsidRPr="005710F5">
              <w:rPr>
                <w:rFonts w:ascii="Times New Roman" w:hAnsi="Times New Roman" w:cs="Times New Roman"/>
                <w:b/>
                <w:bCs/>
                <w:sz w:val="20"/>
                <w:szCs w:val="20"/>
              </w:rPr>
              <w:t>553,2</w:t>
            </w:r>
          </w:p>
        </w:tc>
        <w:tc>
          <w:tcPr>
            <w:tcW w:w="850" w:type="dxa"/>
            <w:tcBorders>
              <w:top w:val="single" w:sz="4" w:space="0" w:color="auto"/>
              <w:left w:val="nil"/>
              <w:bottom w:val="single" w:sz="4" w:space="0" w:color="auto"/>
              <w:right w:val="single" w:sz="4" w:space="0" w:color="auto"/>
            </w:tcBorders>
            <w:noWrap/>
            <w:hideMark/>
          </w:tcPr>
          <w:p w14:paraId="5FF2C368" w14:textId="0541EFC9" w:rsidR="00DA488F" w:rsidRPr="005710F5" w:rsidRDefault="7C285CBA" w:rsidP="7C285CBA">
            <w:pPr>
              <w:spacing w:line="240" w:lineRule="auto"/>
              <w:jc w:val="right"/>
              <w:rPr>
                <w:rFonts w:ascii="Times New Roman" w:hAnsi="Times New Roman" w:cs="Times New Roman"/>
                <w:b/>
                <w:bCs/>
                <w:sz w:val="20"/>
                <w:szCs w:val="20"/>
              </w:rPr>
            </w:pPr>
            <w:r w:rsidRPr="005710F5">
              <w:rPr>
                <w:rFonts w:ascii="Times New Roman" w:hAnsi="Times New Roman" w:cs="Times New Roman"/>
                <w:b/>
                <w:bCs/>
                <w:sz w:val="20"/>
                <w:szCs w:val="20"/>
              </w:rPr>
              <w:t>-6,2</w:t>
            </w:r>
          </w:p>
        </w:tc>
        <w:tc>
          <w:tcPr>
            <w:tcW w:w="709" w:type="dxa"/>
            <w:tcBorders>
              <w:top w:val="single" w:sz="4" w:space="0" w:color="auto"/>
              <w:left w:val="nil"/>
              <w:bottom w:val="single" w:sz="4" w:space="0" w:color="auto"/>
              <w:right w:val="single" w:sz="4" w:space="0" w:color="auto"/>
            </w:tcBorders>
            <w:noWrap/>
            <w:hideMark/>
          </w:tcPr>
          <w:p w14:paraId="7F3F44AB" w14:textId="65A34D8F" w:rsidR="00DA488F" w:rsidRPr="005710F5" w:rsidRDefault="7C285CBA" w:rsidP="7C285CBA">
            <w:pPr>
              <w:spacing w:line="240" w:lineRule="auto"/>
              <w:jc w:val="right"/>
              <w:rPr>
                <w:rFonts w:ascii="Times New Roman" w:hAnsi="Times New Roman" w:cs="Times New Roman"/>
                <w:b/>
                <w:bCs/>
                <w:sz w:val="20"/>
                <w:szCs w:val="20"/>
              </w:rPr>
            </w:pPr>
            <w:r w:rsidRPr="005710F5">
              <w:rPr>
                <w:rFonts w:ascii="Times New Roman" w:hAnsi="Times New Roman" w:cs="Times New Roman"/>
                <w:b/>
                <w:bCs/>
                <w:sz w:val="20"/>
                <w:szCs w:val="20"/>
              </w:rPr>
              <w:t>98,9</w:t>
            </w:r>
          </w:p>
        </w:tc>
      </w:tr>
    </w:tbl>
    <w:p w14:paraId="4C037148" w14:textId="57CB8860" w:rsidR="7C285CBA" w:rsidRDefault="7C285CBA" w:rsidP="00B3244C">
      <w:pPr>
        <w:spacing w:before="240"/>
        <w:jc w:val="both"/>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családi támogatásokra</w:t>
      </w:r>
      <w:r w:rsidRPr="7C285CBA">
        <w:rPr>
          <w:rFonts w:ascii="Times New Roman" w:eastAsia="Times New Roman" w:hAnsi="Times New Roman" w:cs="Times New Roman"/>
          <w:sz w:val="26"/>
          <w:szCs w:val="26"/>
        </w:rPr>
        <w:t xml:space="preserve"> 2025 első nyolc hónapjában összesen 292,7</w:t>
      </w:r>
      <w:r w:rsidR="00F5521A">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forintot fizettek ki, amely 15,2</w:t>
      </w:r>
      <w:r w:rsidR="007224D4">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forinttal volt alacsonyabb az előző évi teljesítésnél. Az</w:t>
      </w:r>
      <w:r w:rsidR="00F5521A">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 xml:space="preserve">eltérés elsősorban a Családi támogatások </w:t>
      </w:r>
      <w:r w:rsidR="00F5521A">
        <w:rPr>
          <w:rFonts w:ascii="Times New Roman" w:eastAsia="Times New Roman" w:hAnsi="Times New Roman" w:cs="Times New Roman"/>
          <w:sz w:val="26"/>
          <w:szCs w:val="26"/>
        </w:rPr>
        <w:t>alcímhez</w:t>
      </w:r>
      <w:r w:rsidRPr="7C285CBA">
        <w:rPr>
          <w:rFonts w:ascii="Times New Roman" w:eastAsia="Times New Roman" w:hAnsi="Times New Roman" w:cs="Times New Roman"/>
          <w:sz w:val="26"/>
          <w:szCs w:val="26"/>
        </w:rPr>
        <w:t xml:space="preserve"> tartozó Életkezdési támogatás előirányzat kiadásai csökkenésének következménye, ami 12,7</w:t>
      </w:r>
      <w:r w:rsidR="00F5521A">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 xml:space="preserve">milliárd forinttal volt alacsonyabb </w:t>
      </w:r>
      <w:r w:rsidR="007224D4">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sz w:val="26"/>
          <w:szCs w:val="26"/>
        </w:rPr>
        <w:t>előző év azonos időszakához képest. Ennek oka, hogy 2025-ben az életkezdési letéti számlákon nyilvántartott követelés összegére tekintettel fizetett kamat mértéke 3,7% volt (a 2024. évi infláció mértékének megfelelően), ami jelentősen alacsonyabb a 2024-ben fizetett kamat mértékénél (17,6%).</w:t>
      </w:r>
    </w:p>
    <w:p w14:paraId="16187255" w14:textId="2C292AE3" w:rsidR="7C285CBA" w:rsidRDefault="7C285CBA" w:rsidP="7C285CBA">
      <w:pPr>
        <w:jc w:val="both"/>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korhatár alatti ellátások</w:t>
      </w:r>
      <w:r w:rsidRPr="7C285CBA">
        <w:rPr>
          <w:rFonts w:ascii="Times New Roman" w:eastAsia="Times New Roman" w:hAnsi="Times New Roman" w:cs="Times New Roman"/>
          <w:sz w:val="26"/>
          <w:szCs w:val="26"/>
        </w:rPr>
        <w:t xml:space="preserve"> esetében a kiadás 3,6 milliárd forinttal alacsonyabb volt az előző év azonos időszakához képest. A csökkenést az okozza, hogy a jogosultak elérik az öregségi nyugdíjkorhatárt, és nyugellátásra válnak jogosulttá, létszámuk folyamatosan csökken. Januárban sor került az ellátások 3,2%-os emelésére is, valamint a 13. havi </w:t>
      </w:r>
      <w:r w:rsidRPr="7C285CBA">
        <w:rPr>
          <w:rFonts w:ascii="Times New Roman" w:eastAsia="Times New Roman" w:hAnsi="Times New Roman" w:cs="Times New Roman"/>
          <w:sz w:val="26"/>
          <w:szCs w:val="26"/>
        </w:rPr>
        <w:lastRenderedPageBreak/>
        <w:t>nyugdíjhoz hasonlóan februárban a korhatár előtti ellátásban részesülő személyek is részesültek 13. havi ellátásban.</w:t>
      </w:r>
    </w:p>
    <w:p w14:paraId="5CCE9349" w14:textId="0487316E" w:rsidR="7C285CBA" w:rsidRDefault="7C285CBA" w:rsidP="7C285CBA">
      <w:pPr>
        <w:jc w:val="both"/>
      </w:pPr>
      <w:r w:rsidRPr="7C285CBA">
        <w:rPr>
          <w:rFonts w:ascii="Times New Roman" w:eastAsia="Times New Roman" w:hAnsi="Times New Roman" w:cs="Times New Roman"/>
          <w:sz w:val="26"/>
          <w:szCs w:val="26"/>
        </w:rPr>
        <w:t xml:space="preserve">2025 augusztusáig a </w:t>
      </w:r>
      <w:r w:rsidRPr="00F5521A">
        <w:rPr>
          <w:rFonts w:ascii="Times New Roman" w:eastAsia="Times New Roman" w:hAnsi="Times New Roman" w:cs="Times New Roman"/>
          <w:b/>
          <w:bCs/>
          <w:sz w:val="26"/>
          <w:szCs w:val="26"/>
        </w:rPr>
        <w:t>jövedelempótló és jövedelemkiegészítő szociális támogatásokra biztosított kiadásokon</w:t>
      </w:r>
      <w:r w:rsidRPr="7C285CBA">
        <w:rPr>
          <w:rFonts w:ascii="Times New Roman" w:eastAsia="Times New Roman" w:hAnsi="Times New Roman" w:cs="Times New Roman"/>
          <w:sz w:val="26"/>
          <w:szCs w:val="26"/>
        </w:rPr>
        <w:t xml:space="preserve"> belül a </w:t>
      </w:r>
      <w:r w:rsidRPr="00F5521A">
        <w:rPr>
          <w:rFonts w:ascii="Times New Roman" w:eastAsia="Times New Roman" w:hAnsi="Times New Roman" w:cs="Times New Roman"/>
          <w:sz w:val="26"/>
          <w:szCs w:val="26"/>
        </w:rPr>
        <w:t>járási szociális feladatok</w:t>
      </w:r>
      <w:r w:rsidRPr="7C285CBA">
        <w:rPr>
          <w:rFonts w:ascii="Times New Roman" w:eastAsia="Times New Roman" w:hAnsi="Times New Roman" w:cs="Times New Roman"/>
          <w:sz w:val="26"/>
          <w:szCs w:val="26"/>
        </w:rPr>
        <w:t xml:space="preserve"> ellátására (gyermekek otthongondozási díja, ápolási díj, időskorúak járadéka, foglalkoztatást helyettesítő támogatás, egészségkárosodási és gyermekfelügyeleti támogatás) 102,7 milliárd forintot fordítottak, mely 12,4 milliárd forinttal magasabb az előző évi adatnál. A növekedést elsődlegesen az okozza, hogy 2025. januártól a gyermekek otthongondozási díjának összege a minimálbér emelkedése miatt (266 800 forintról 290 800 forintra) emelkedett, az ápolási díj összege pedig 3,2%-kal nőtt, és folyamatosan emelkedik a gyermekek otthongondozási díjára jogosultak létszáma is.</w:t>
      </w:r>
    </w:p>
    <w:p w14:paraId="16237F42" w14:textId="17BDA593" w:rsidR="7C285CBA" w:rsidRDefault="7C285CBA" w:rsidP="7C285CBA">
      <w:pPr>
        <w:jc w:val="both"/>
      </w:pPr>
      <w:r w:rsidRPr="7C285CBA">
        <w:rPr>
          <w:rFonts w:ascii="Times New Roman" w:eastAsia="Times New Roman" w:hAnsi="Times New Roman" w:cs="Times New Roman"/>
          <w:sz w:val="26"/>
          <w:szCs w:val="26"/>
        </w:rPr>
        <w:t xml:space="preserve">A </w:t>
      </w:r>
      <w:r w:rsidRPr="007224D4">
        <w:rPr>
          <w:rFonts w:ascii="Times New Roman" w:eastAsia="Times New Roman" w:hAnsi="Times New Roman" w:cs="Times New Roman"/>
          <w:sz w:val="26"/>
          <w:szCs w:val="26"/>
        </w:rPr>
        <w:t>Jövedelempótló és jövedelemkiegészítő ellátások</w:t>
      </w:r>
      <w:r w:rsidRPr="7C285CBA">
        <w:rPr>
          <w:rFonts w:ascii="Times New Roman" w:eastAsia="Times New Roman" w:hAnsi="Times New Roman" w:cs="Times New Roman"/>
          <w:sz w:val="26"/>
          <w:szCs w:val="26"/>
        </w:rPr>
        <w:t xml:space="preserve"> előirányzat tartalmazza a fogyatékossági támogatás, a vakok személyi járadéka, az átmeneti bányászjáradék és számos további, jellemzően kifutó jellegű ellátás (pl. mezőgazdasági járadék, politikai rehabilitációs és más nyugdíj-kiegészítések, házastársi pótlék) forrását. A jövedelempótló és jövedelemkiegészítő ellátásokra 59,0</w:t>
      </w:r>
      <w:r w:rsidR="007224D4">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forintot fizettek ki, mely az előző évi kifizetésnél 0,5</w:t>
      </w:r>
      <w:r w:rsidR="007224D4">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forinttal magasabb. A kiadások növekedését egyes ellátások januárban végrehajtott 3,2%-os emelésének, valamint a 2025. februárjában kifizetett 13.</w:t>
      </w:r>
      <w:r w:rsidR="007224D4">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havi ellátásnak a hatása okozza, amit a jogosultak létszámának csökkenése részben ellensúlyoz.</w:t>
      </w:r>
    </w:p>
    <w:p w14:paraId="6E7F1E5A" w14:textId="09D64D30" w:rsidR="7C285CBA" w:rsidRDefault="7C285CBA" w:rsidP="7C285CBA">
      <w:pPr>
        <w:jc w:val="both"/>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különféle jogcímen adott térítések</w:t>
      </w:r>
      <w:r w:rsidRPr="7C285CBA">
        <w:rPr>
          <w:rFonts w:ascii="Times New Roman" w:eastAsia="Times New Roman" w:hAnsi="Times New Roman" w:cs="Times New Roman"/>
          <w:sz w:val="26"/>
          <w:szCs w:val="26"/>
        </w:rPr>
        <w:t xml:space="preserve"> 2025</w:t>
      </w:r>
      <w:r w:rsidR="007224D4">
        <w:rPr>
          <w:rFonts w:ascii="Times New Roman" w:eastAsia="Times New Roman" w:hAnsi="Times New Roman" w:cs="Times New Roman"/>
          <w:sz w:val="26"/>
          <w:szCs w:val="26"/>
        </w:rPr>
        <w:t>.</w:t>
      </w:r>
      <w:r w:rsidRPr="7C285CBA">
        <w:rPr>
          <w:rFonts w:ascii="Times New Roman" w:eastAsia="Times New Roman" w:hAnsi="Times New Roman" w:cs="Times New Roman"/>
          <w:sz w:val="26"/>
          <w:szCs w:val="26"/>
        </w:rPr>
        <w:t xml:space="preserve"> augusztusi összege 0,5</w:t>
      </w:r>
      <w:r w:rsidR="007224D4">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forinttal alacsonyabb volt, mint az előző év azonos időszakában. A térítéseken belül a legnagyobb összeget, 9,7 milliárd forintot a közgyógyellátásra fizették ki.</w:t>
      </w:r>
    </w:p>
    <w:p w14:paraId="2BBDBEB3" w14:textId="3298E09A" w:rsidR="0032261D" w:rsidRPr="005C3ECD" w:rsidRDefault="7C285CBA" w:rsidP="7C285CBA">
      <w:pPr>
        <w:pStyle w:val="NormlWeb"/>
        <w:spacing w:before="0" w:beforeAutospacing="0" w:after="160" w:afterAutospacing="0" w:line="259" w:lineRule="auto"/>
        <w:jc w:val="both"/>
        <w:rPr>
          <w:sz w:val="26"/>
          <w:szCs w:val="26"/>
        </w:rPr>
      </w:pPr>
      <w:r w:rsidRPr="7C285CBA">
        <w:rPr>
          <w:sz w:val="26"/>
          <w:szCs w:val="26"/>
        </w:rPr>
        <w:t xml:space="preserve">A </w:t>
      </w:r>
      <w:r w:rsidRPr="7C285CBA">
        <w:rPr>
          <w:b/>
          <w:bCs/>
          <w:sz w:val="26"/>
          <w:szCs w:val="26"/>
        </w:rPr>
        <w:t>babaváró támogatásokra</w:t>
      </w:r>
      <w:r w:rsidRPr="7C285CBA">
        <w:rPr>
          <w:sz w:val="26"/>
          <w:szCs w:val="26"/>
        </w:rPr>
        <w:t xml:space="preserve"> fordított kiadások összege augusztus végéig 156,1 milliárd forintot tett ki, amely a törvényi előirányzat 62,1%-ának felel meg, és a 2024. év azonos időszakához viszonyítva 19,9 milliárd forinttal teljesült magasabban.</w:t>
      </w:r>
    </w:p>
    <w:p w14:paraId="31F9568C" w14:textId="342D6A52" w:rsidR="00A31F84" w:rsidRDefault="7C285CBA" w:rsidP="7C285CBA">
      <w:pPr>
        <w:pStyle w:val="NormlWeb"/>
        <w:spacing w:before="0" w:beforeAutospacing="0" w:after="160" w:afterAutospacing="0" w:line="259" w:lineRule="auto"/>
        <w:jc w:val="both"/>
        <w:rPr>
          <w:sz w:val="26"/>
          <w:szCs w:val="26"/>
        </w:rPr>
      </w:pPr>
      <w:bookmarkStart w:id="1" w:name="_Hlk202786542"/>
      <w:r w:rsidRPr="7C285CBA">
        <w:rPr>
          <w:sz w:val="26"/>
          <w:szCs w:val="26"/>
        </w:rPr>
        <w:t xml:space="preserve">A </w:t>
      </w:r>
      <w:r w:rsidRPr="7C285CBA">
        <w:rPr>
          <w:b/>
          <w:bCs/>
          <w:sz w:val="26"/>
          <w:szCs w:val="26"/>
        </w:rPr>
        <w:t>helyi önkormányzatok</w:t>
      </w:r>
      <w:r w:rsidRPr="7C285CBA">
        <w:rPr>
          <w:sz w:val="26"/>
          <w:szCs w:val="26"/>
        </w:rPr>
        <w:t xml:space="preserve"> 2025. évi feladataihoz a hatályos költségvetési törvény alapján </w:t>
      </w:r>
      <w:r w:rsidR="74CD2655">
        <w:br/>
      </w:r>
      <w:r w:rsidRPr="7C285CBA">
        <w:rPr>
          <w:sz w:val="26"/>
          <w:szCs w:val="26"/>
        </w:rPr>
        <w:t>1305,7 milliárd forint állami támogatás került megállapításra. Az augusztus havi tényadat alapján 919,2 milliárd forint kifizetés történt, ami az eredeti előirányzat 70,4%-át teszi ki. Az előző év azonos időszakához viszonyított 89,1 milliárd forint (10,7%-os) növekedés a tanárok és polgármesterek béremeléséből, valamint a szociális ágazat idei előirányzatának törvényi emeléséből fakad. A jelentősebb tételek alakulását a következő táblázat mutatja:</w:t>
      </w:r>
    </w:p>
    <w:p w14:paraId="5FD13206" w14:textId="77777777" w:rsidR="00A966B1" w:rsidRDefault="00A966B1" w:rsidP="002C6F14">
      <w:pPr>
        <w:pStyle w:val="NormlWeb"/>
        <w:spacing w:before="0" w:beforeAutospacing="0" w:after="160" w:afterAutospacing="0" w:line="259" w:lineRule="auto"/>
        <w:jc w:val="both"/>
        <w:rPr>
          <w:sz w:val="26"/>
          <w:szCs w:val="26"/>
        </w:rPr>
      </w:pPr>
    </w:p>
    <w:p w14:paraId="75EFF307" w14:textId="577D6FC1" w:rsidR="00B3244C" w:rsidRDefault="00B3244C">
      <w:pPr>
        <w:rPr>
          <w:rFonts w:ascii="Times New Roman" w:eastAsia="Times New Roman" w:hAnsi="Times New Roman" w:cs="Times New Roman"/>
          <w:sz w:val="26"/>
          <w:szCs w:val="26"/>
          <w:lang w:eastAsia="hu-HU"/>
        </w:rPr>
      </w:pPr>
      <w:r>
        <w:rPr>
          <w:sz w:val="26"/>
          <w:szCs w:val="26"/>
        </w:rPr>
        <w:br w:type="page"/>
      </w:r>
    </w:p>
    <w:p w14:paraId="2723D8B3" w14:textId="34B7D713" w:rsidR="00C24948" w:rsidRPr="00B32682" w:rsidRDefault="7C285CBA" w:rsidP="7C285CBA">
      <w:pPr>
        <w:pStyle w:val="NormlWeb"/>
        <w:spacing w:before="0" w:beforeAutospacing="0" w:after="160" w:afterAutospacing="0" w:line="259" w:lineRule="auto"/>
        <w:jc w:val="center"/>
      </w:pPr>
      <w:r w:rsidRPr="7C285CBA">
        <w:rPr>
          <w:b/>
          <w:bCs/>
        </w:rPr>
        <w:lastRenderedPageBreak/>
        <w:t>A helyi önkormányzatok támogatásának alakulása (milliárd forint)</w:t>
      </w:r>
    </w:p>
    <w:tbl>
      <w:tblPr>
        <w:tblpPr w:leftFromText="141" w:rightFromText="141" w:vertAnchor="text" w:horzAnchor="margin" w:tblpY="20"/>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1134"/>
        <w:gridCol w:w="1134"/>
        <w:gridCol w:w="850"/>
        <w:gridCol w:w="771"/>
      </w:tblGrid>
      <w:tr w:rsidR="00081A16" w:rsidRPr="00377D59" w14:paraId="6741B982" w14:textId="77777777" w:rsidTr="00F43D33">
        <w:trPr>
          <w:trHeight w:val="340"/>
        </w:trPr>
        <w:tc>
          <w:tcPr>
            <w:tcW w:w="5382" w:type="dxa"/>
            <w:vMerge w:val="restart"/>
            <w:shd w:val="clear" w:color="auto" w:fill="BDD6EE" w:themeFill="accent1" w:themeFillTint="66"/>
            <w:noWrap/>
            <w:vAlign w:val="center"/>
            <w:hideMark/>
          </w:tcPr>
          <w:p w14:paraId="07514BAA" w14:textId="77777777" w:rsidR="00081A16" w:rsidRPr="00DD7FD1" w:rsidRDefault="7C285CBA" w:rsidP="7C285CBA">
            <w:pPr>
              <w:keepNext/>
              <w:keepLines/>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Megnevezés</w:t>
            </w:r>
          </w:p>
        </w:tc>
        <w:tc>
          <w:tcPr>
            <w:tcW w:w="1134" w:type="dxa"/>
            <w:vMerge w:val="restart"/>
            <w:shd w:val="clear" w:color="auto" w:fill="BDD6EE" w:themeFill="accent1" w:themeFillTint="66"/>
            <w:vAlign w:val="center"/>
            <w:hideMark/>
          </w:tcPr>
          <w:p w14:paraId="5DC080D6" w14:textId="54337C34" w:rsidR="00081A16" w:rsidRPr="00DD7FD1" w:rsidRDefault="7C285CBA" w:rsidP="7C285CBA">
            <w:pPr>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 xml:space="preserve">2024. </w:t>
            </w:r>
            <w:r w:rsidR="74CD2655">
              <w:br/>
            </w:r>
            <w:r w:rsidRPr="7C285CBA">
              <w:rPr>
                <w:rFonts w:ascii="Times New Roman" w:hAnsi="Times New Roman" w:cs="Times New Roman"/>
                <w:b/>
                <w:bCs/>
              </w:rPr>
              <w:t>I-VIII. hó</w:t>
            </w:r>
          </w:p>
        </w:tc>
        <w:tc>
          <w:tcPr>
            <w:tcW w:w="1134" w:type="dxa"/>
            <w:vMerge w:val="restart"/>
            <w:shd w:val="clear" w:color="auto" w:fill="BDD6EE" w:themeFill="accent1" w:themeFillTint="66"/>
            <w:vAlign w:val="center"/>
            <w:hideMark/>
          </w:tcPr>
          <w:p w14:paraId="626AC8BC" w14:textId="5630C88E" w:rsidR="00081A16" w:rsidRPr="00DD7FD1" w:rsidRDefault="7C285CBA" w:rsidP="7C285CBA">
            <w:pPr>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 xml:space="preserve">2025. </w:t>
            </w:r>
            <w:r w:rsidR="74CD2655">
              <w:br/>
            </w:r>
            <w:r w:rsidRPr="7C285CBA">
              <w:rPr>
                <w:rFonts w:ascii="Times New Roman" w:hAnsi="Times New Roman" w:cs="Times New Roman"/>
                <w:b/>
                <w:bCs/>
              </w:rPr>
              <w:t>I-VIII. hó</w:t>
            </w:r>
          </w:p>
        </w:tc>
        <w:tc>
          <w:tcPr>
            <w:tcW w:w="1621" w:type="dxa"/>
            <w:gridSpan w:val="2"/>
            <w:shd w:val="clear" w:color="auto" w:fill="BDD6EE" w:themeFill="accent1" w:themeFillTint="66"/>
            <w:noWrap/>
            <w:vAlign w:val="center"/>
            <w:hideMark/>
          </w:tcPr>
          <w:p w14:paraId="35A3C823" w14:textId="77777777" w:rsidR="00081A16" w:rsidRPr="00DD7FD1" w:rsidRDefault="7C285CBA" w:rsidP="7C285CBA">
            <w:pPr>
              <w:keepNext/>
              <w:keepLines/>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Eltérés</w:t>
            </w:r>
          </w:p>
        </w:tc>
      </w:tr>
      <w:tr w:rsidR="00C24948" w:rsidRPr="00377D59" w14:paraId="2DD9A798" w14:textId="77777777" w:rsidTr="00E86C99">
        <w:trPr>
          <w:trHeight w:val="340"/>
        </w:trPr>
        <w:tc>
          <w:tcPr>
            <w:tcW w:w="5382" w:type="dxa"/>
            <w:vMerge/>
            <w:shd w:val="clear" w:color="auto" w:fill="BDD6EE" w:themeFill="accent1" w:themeFillTint="66"/>
            <w:vAlign w:val="center"/>
            <w:hideMark/>
          </w:tcPr>
          <w:p w14:paraId="5F76A56A" w14:textId="77777777" w:rsidR="00C24948" w:rsidRPr="00DD7FD1" w:rsidRDefault="00C24948" w:rsidP="00C24948">
            <w:pPr>
              <w:keepNext/>
              <w:keepLines/>
              <w:spacing w:after="0" w:line="240" w:lineRule="auto"/>
              <w:rPr>
                <w:rFonts w:ascii="Times New Roman" w:eastAsia="Times New Roman" w:hAnsi="Times New Roman" w:cs="Times New Roman"/>
                <w:b/>
                <w:bCs/>
                <w:lang w:eastAsia="hu-HU"/>
              </w:rPr>
            </w:pPr>
          </w:p>
        </w:tc>
        <w:tc>
          <w:tcPr>
            <w:tcW w:w="1134" w:type="dxa"/>
            <w:vMerge/>
            <w:shd w:val="clear" w:color="auto" w:fill="BDD6EE" w:themeFill="accent1" w:themeFillTint="66"/>
            <w:vAlign w:val="center"/>
            <w:hideMark/>
          </w:tcPr>
          <w:p w14:paraId="65B4B0A4" w14:textId="77777777" w:rsidR="00C24948" w:rsidRPr="00DD7FD1"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1134" w:type="dxa"/>
            <w:vMerge/>
            <w:shd w:val="clear" w:color="auto" w:fill="BDD6EE" w:themeFill="accent1" w:themeFillTint="66"/>
            <w:vAlign w:val="center"/>
            <w:hideMark/>
          </w:tcPr>
          <w:p w14:paraId="5FE97B50" w14:textId="77777777" w:rsidR="00C24948" w:rsidRPr="00DD7FD1"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850" w:type="dxa"/>
            <w:shd w:val="clear" w:color="auto" w:fill="BDD6EE" w:themeFill="accent1" w:themeFillTint="66"/>
            <w:noWrap/>
            <w:vAlign w:val="center"/>
            <w:hideMark/>
          </w:tcPr>
          <w:p w14:paraId="1B2C8FF2" w14:textId="77777777" w:rsidR="00C24948" w:rsidRPr="00DD7FD1" w:rsidRDefault="7C285CBA" w:rsidP="7C285CBA">
            <w:pPr>
              <w:keepNext/>
              <w:keepLines/>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Mrd Ft</w:t>
            </w:r>
          </w:p>
        </w:tc>
        <w:tc>
          <w:tcPr>
            <w:tcW w:w="771" w:type="dxa"/>
            <w:shd w:val="clear" w:color="auto" w:fill="BDD6EE" w:themeFill="accent1" w:themeFillTint="66"/>
            <w:noWrap/>
            <w:vAlign w:val="center"/>
            <w:hideMark/>
          </w:tcPr>
          <w:p w14:paraId="179AEF43" w14:textId="77777777" w:rsidR="00C24948" w:rsidRPr="00DD7FD1" w:rsidRDefault="7C285CBA" w:rsidP="7C285CBA">
            <w:pPr>
              <w:keepNext/>
              <w:keepLines/>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w:t>
            </w:r>
          </w:p>
        </w:tc>
      </w:tr>
      <w:tr w:rsidR="00644395" w:rsidRPr="00377D59" w14:paraId="5CF52B9C" w14:textId="77777777" w:rsidTr="00E86C99">
        <w:trPr>
          <w:trHeight w:val="510"/>
        </w:trPr>
        <w:tc>
          <w:tcPr>
            <w:tcW w:w="5382" w:type="dxa"/>
            <w:vAlign w:val="center"/>
            <w:hideMark/>
          </w:tcPr>
          <w:p w14:paraId="11FF4C49" w14:textId="77777777" w:rsidR="00644395" w:rsidRPr="00976E1E" w:rsidRDefault="7C285CBA" w:rsidP="7C285CBA">
            <w:pPr>
              <w:keepNext/>
              <w:keepLines/>
              <w:spacing w:after="0" w:line="240" w:lineRule="auto"/>
              <w:rPr>
                <w:rFonts w:ascii="Times New Roman" w:eastAsia="Times New Roman" w:hAnsi="Times New Roman" w:cs="Times New Roman"/>
                <w:b/>
                <w:bCs/>
                <w:sz w:val="20"/>
                <w:szCs w:val="20"/>
                <w:lang w:eastAsia="hu-HU"/>
              </w:rPr>
            </w:pPr>
            <w:r w:rsidRPr="7C285CBA">
              <w:rPr>
                <w:rFonts w:ascii="Times New Roman" w:eastAsia="Times New Roman" w:hAnsi="Times New Roman" w:cs="Times New Roman"/>
                <w:b/>
                <w:bCs/>
                <w:sz w:val="20"/>
                <w:szCs w:val="20"/>
                <w:lang w:eastAsia="hu-HU"/>
              </w:rPr>
              <w:t>A helyi önkormányzatok általános működésének és ágazati feladatainak támogatása</w:t>
            </w:r>
          </w:p>
        </w:tc>
        <w:tc>
          <w:tcPr>
            <w:tcW w:w="1134" w:type="dxa"/>
            <w:noWrap/>
            <w:vAlign w:val="center"/>
          </w:tcPr>
          <w:p w14:paraId="0A1E4CBD" w14:textId="3EC52725"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757,3</w:t>
            </w:r>
          </w:p>
        </w:tc>
        <w:tc>
          <w:tcPr>
            <w:tcW w:w="1134" w:type="dxa"/>
            <w:noWrap/>
            <w:vAlign w:val="center"/>
          </w:tcPr>
          <w:p w14:paraId="47729553" w14:textId="1C46A13A"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816,4</w:t>
            </w:r>
          </w:p>
        </w:tc>
        <w:tc>
          <w:tcPr>
            <w:tcW w:w="850" w:type="dxa"/>
            <w:noWrap/>
            <w:vAlign w:val="center"/>
          </w:tcPr>
          <w:p w14:paraId="11D76081" w14:textId="1718FDA3"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59,1</w:t>
            </w:r>
          </w:p>
        </w:tc>
        <w:tc>
          <w:tcPr>
            <w:tcW w:w="771" w:type="dxa"/>
            <w:noWrap/>
            <w:vAlign w:val="center"/>
          </w:tcPr>
          <w:p w14:paraId="0E9DF60E" w14:textId="5366D5FD"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107,8</w:t>
            </w:r>
          </w:p>
        </w:tc>
      </w:tr>
      <w:tr w:rsidR="00644395" w:rsidRPr="00377D59" w14:paraId="66D88640" w14:textId="77777777" w:rsidTr="00E86C99">
        <w:trPr>
          <w:trHeight w:val="340"/>
        </w:trPr>
        <w:tc>
          <w:tcPr>
            <w:tcW w:w="5382" w:type="dxa"/>
            <w:vAlign w:val="center"/>
            <w:hideMark/>
          </w:tcPr>
          <w:p w14:paraId="4496E62C" w14:textId="77777777" w:rsidR="00644395" w:rsidRPr="00976E1E" w:rsidRDefault="7C285CBA" w:rsidP="7C285CBA">
            <w:pPr>
              <w:keepNext/>
              <w:keepLines/>
              <w:spacing w:after="0" w:line="240" w:lineRule="auto"/>
              <w:rPr>
                <w:rFonts w:ascii="Times New Roman" w:eastAsia="Times New Roman" w:hAnsi="Times New Roman" w:cs="Times New Roman"/>
                <w:i/>
                <w:iCs/>
                <w:sz w:val="20"/>
                <w:szCs w:val="20"/>
                <w:lang w:eastAsia="hu-HU"/>
              </w:rPr>
            </w:pPr>
            <w:r w:rsidRPr="7C285CBA">
              <w:rPr>
                <w:rFonts w:ascii="Times New Roman" w:eastAsia="Times New Roman" w:hAnsi="Times New Roman" w:cs="Times New Roman"/>
                <w:i/>
                <w:iCs/>
                <w:sz w:val="20"/>
                <w:szCs w:val="20"/>
                <w:lang w:eastAsia="hu-HU"/>
              </w:rPr>
              <w:t>A helyi önkormányzatok működésének általános támogatása</w:t>
            </w:r>
          </w:p>
        </w:tc>
        <w:tc>
          <w:tcPr>
            <w:tcW w:w="1134" w:type="dxa"/>
            <w:noWrap/>
            <w:vAlign w:val="center"/>
          </w:tcPr>
          <w:p w14:paraId="6C091267" w14:textId="589E9F01"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212,6</w:t>
            </w:r>
          </w:p>
        </w:tc>
        <w:tc>
          <w:tcPr>
            <w:tcW w:w="1134" w:type="dxa"/>
            <w:noWrap/>
            <w:vAlign w:val="center"/>
          </w:tcPr>
          <w:p w14:paraId="3313F341" w14:textId="319E06D1"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214,6</w:t>
            </w:r>
          </w:p>
        </w:tc>
        <w:tc>
          <w:tcPr>
            <w:tcW w:w="850" w:type="dxa"/>
            <w:noWrap/>
            <w:vAlign w:val="center"/>
          </w:tcPr>
          <w:p w14:paraId="1F67C594" w14:textId="7CC219F1"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w:t>
            </w:r>
            <w:r w:rsidR="00F43D33" w:rsidRPr="00F43D33">
              <w:rPr>
                <w:rFonts w:ascii="Times New Roman" w:hAnsi="Times New Roman" w:cs="Times New Roman"/>
                <w:i/>
                <w:iCs/>
                <w:color w:val="000000" w:themeColor="text1"/>
              </w:rPr>
              <w:t>,0</w:t>
            </w:r>
          </w:p>
        </w:tc>
        <w:tc>
          <w:tcPr>
            <w:tcW w:w="771" w:type="dxa"/>
            <w:noWrap/>
            <w:vAlign w:val="center"/>
          </w:tcPr>
          <w:p w14:paraId="6B1384BF" w14:textId="49C749C6"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100,9</w:t>
            </w:r>
          </w:p>
        </w:tc>
      </w:tr>
      <w:tr w:rsidR="00644395" w:rsidRPr="00377D59" w14:paraId="644FC967" w14:textId="77777777" w:rsidTr="00E86C99">
        <w:trPr>
          <w:trHeight w:val="510"/>
        </w:trPr>
        <w:tc>
          <w:tcPr>
            <w:tcW w:w="5382" w:type="dxa"/>
            <w:vAlign w:val="center"/>
            <w:hideMark/>
          </w:tcPr>
          <w:p w14:paraId="1BA330A0" w14:textId="77777777" w:rsidR="00644395" w:rsidRPr="00976E1E" w:rsidRDefault="7C285CBA" w:rsidP="7C285CBA">
            <w:pPr>
              <w:keepNext/>
              <w:keepLines/>
              <w:spacing w:after="0" w:line="240" w:lineRule="auto"/>
              <w:rPr>
                <w:rFonts w:ascii="Times New Roman" w:eastAsia="Times New Roman" w:hAnsi="Times New Roman" w:cs="Times New Roman"/>
                <w:i/>
                <w:iCs/>
                <w:sz w:val="20"/>
                <w:szCs w:val="20"/>
                <w:lang w:eastAsia="hu-HU"/>
              </w:rPr>
            </w:pPr>
            <w:r w:rsidRPr="7C285CBA">
              <w:rPr>
                <w:rFonts w:ascii="Times New Roman" w:eastAsia="Times New Roman" w:hAnsi="Times New Roman" w:cs="Times New Roman"/>
                <w:i/>
                <w:iCs/>
                <w:sz w:val="20"/>
                <w:szCs w:val="20"/>
                <w:lang w:eastAsia="hu-HU"/>
              </w:rPr>
              <w:t>A települési önkormányzatok egyes köznevelési feladatainak támogatása</w:t>
            </w:r>
          </w:p>
        </w:tc>
        <w:tc>
          <w:tcPr>
            <w:tcW w:w="1134" w:type="dxa"/>
            <w:noWrap/>
            <w:vAlign w:val="center"/>
          </w:tcPr>
          <w:p w14:paraId="5E8D28C3" w14:textId="4F2AFF87"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240,6</w:t>
            </w:r>
          </w:p>
        </w:tc>
        <w:tc>
          <w:tcPr>
            <w:tcW w:w="1134" w:type="dxa"/>
            <w:noWrap/>
            <w:vAlign w:val="center"/>
          </w:tcPr>
          <w:p w14:paraId="6861BB58" w14:textId="09F90AB4"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273,1</w:t>
            </w:r>
          </w:p>
        </w:tc>
        <w:tc>
          <w:tcPr>
            <w:tcW w:w="850" w:type="dxa"/>
            <w:noWrap/>
            <w:vAlign w:val="center"/>
          </w:tcPr>
          <w:p w14:paraId="085D1E80" w14:textId="050A154E"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32,5</w:t>
            </w:r>
          </w:p>
        </w:tc>
        <w:tc>
          <w:tcPr>
            <w:tcW w:w="771" w:type="dxa"/>
            <w:noWrap/>
            <w:vAlign w:val="center"/>
          </w:tcPr>
          <w:p w14:paraId="7767CDD1" w14:textId="2261FA08"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113,5</w:t>
            </w:r>
          </w:p>
        </w:tc>
      </w:tr>
      <w:tr w:rsidR="00644395" w:rsidRPr="00377D59" w14:paraId="11F06AEB" w14:textId="77777777" w:rsidTr="00E86C99">
        <w:trPr>
          <w:trHeight w:val="510"/>
        </w:trPr>
        <w:tc>
          <w:tcPr>
            <w:tcW w:w="5382" w:type="dxa"/>
            <w:vAlign w:val="center"/>
            <w:hideMark/>
          </w:tcPr>
          <w:p w14:paraId="63EE65A2" w14:textId="77777777" w:rsidR="00644395" w:rsidRPr="00976E1E" w:rsidRDefault="7C285CBA" w:rsidP="7C285CBA">
            <w:pPr>
              <w:keepNext/>
              <w:keepLines/>
              <w:spacing w:after="0" w:line="240" w:lineRule="auto"/>
              <w:rPr>
                <w:rFonts w:ascii="Times New Roman" w:eastAsia="Times New Roman" w:hAnsi="Times New Roman" w:cs="Times New Roman"/>
                <w:i/>
                <w:iCs/>
                <w:sz w:val="20"/>
                <w:szCs w:val="20"/>
                <w:lang w:eastAsia="hu-HU"/>
              </w:rPr>
            </w:pPr>
            <w:r w:rsidRPr="7C285CBA">
              <w:rPr>
                <w:rFonts w:ascii="Times New Roman" w:eastAsia="Times New Roman" w:hAnsi="Times New Roman" w:cs="Times New Roman"/>
                <w:i/>
                <w:iCs/>
                <w:sz w:val="20"/>
                <w:szCs w:val="20"/>
                <w:lang w:eastAsia="hu-HU"/>
              </w:rPr>
              <w:t>A települési önkormányzatok egyes szociális, gyermekjóléti és gyermekétkeztetési feladatainak támogatása</w:t>
            </w:r>
          </w:p>
        </w:tc>
        <w:tc>
          <w:tcPr>
            <w:tcW w:w="1134" w:type="dxa"/>
            <w:noWrap/>
            <w:vAlign w:val="center"/>
          </w:tcPr>
          <w:p w14:paraId="4BBDE34C" w14:textId="5B80459D"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288,8</w:t>
            </w:r>
          </w:p>
        </w:tc>
        <w:tc>
          <w:tcPr>
            <w:tcW w:w="1134" w:type="dxa"/>
            <w:noWrap/>
            <w:vAlign w:val="center"/>
          </w:tcPr>
          <w:p w14:paraId="4EC5C695" w14:textId="67180455"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313,4</w:t>
            </w:r>
          </w:p>
        </w:tc>
        <w:tc>
          <w:tcPr>
            <w:tcW w:w="850" w:type="dxa"/>
            <w:noWrap/>
            <w:vAlign w:val="center"/>
          </w:tcPr>
          <w:p w14:paraId="14601228" w14:textId="6C6F5982"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24,6</w:t>
            </w:r>
          </w:p>
        </w:tc>
        <w:tc>
          <w:tcPr>
            <w:tcW w:w="771" w:type="dxa"/>
            <w:noWrap/>
            <w:vAlign w:val="center"/>
          </w:tcPr>
          <w:p w14:paraId="44A53BB5" w14:textId="050937D6"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108,5</w:t>
            </w:r>
          </w:p>
        </w:tc>
      </w:tr>
      <w:tr w:rsidR="00644395" w:rsidRPr="00377D59" w14:paraId="1FC403F4" w14:textId="77777777" w:rsidTr="00E86C99">
        <w:trPr>
          <w:trHeight w:val="340"/>
        </w:trPr>
        <w:tc>
          <w:tcPr>
            <w:tcW w:w="5382" w:type="dxa"/>
            <w:vAlign w:val="center"/>
            <w:hideMark/>
          </w:tcPr>
          <w:p w14:paraId="4F427CE2" w14:textId="77777777" w:rsidR="00644395" w:rsidRPr="00976E1E" w:rsidRDefault="7C285CBA" w:rsidP="7C285CBA">
            <w:pPr>
              <w:keepNext/>
              <w:keepLines/>
              <w:spacing w:after="0" w:line="240" w:lineRule="auto"/>
              <w:rPr>
                <w:rFonts w:ascii="Times New Roman" w:eastAsia="Times New Roman" w:hAnsi="Times New Roman" w:cs="Times New Roman"/>
                <w:i/>
                <w:iCs/>
                <w:sz w:val="20"/>
                <w:szCs w:val="20"/>
                <w:lang w:eastAsia="hu-HU"/>
              </w:rPr>
            </w:pPr>
            <w:r w:rsidRPr="7C285CBA">
              <w:rPr>
                <w:rFonts w:ascii="Times New Roman" w:eastAsia="Times New Roman" w:hAnsi="Times New Roman" w:cs="Times New Roman"/>
                <w:i/>
                <w:iCs/>
                <w:sz w:val="20"/>
                <w:szCs w:val="20"/>
                <w:lang w:eastAsia="hu-HU"/>
              </w:rPr>
              <w:t>A települési önkormányzatok kulturális feladatainak támogatása</w:t>
            </w:r>
          </w:p>
        </w:tc>
        <w:tc>
          <w:tcPr>
            <w:tcW w:w="1134" w:type="dxa"/>
            <w:noWrap/>
            <w:vAlign w:val="center"/>
          </w:tcPr>
          <w:p w14:paraId="44BDB6D4" w14:textId="69AD5EAE"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15,3</w:t>
            </w:r>
          </w:p>
        </w:tc>
        <w:tc>
          <w:tcPr>
            <w:tcW w:w="1134" w:type="dxa"/>
            <w:noWrap/>
            <w:vAlign w:val="center"/>
          </w:tcPr>
          <w:p w14:paraId="3D1BBCDB" w14:textId="59F6BF1B"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15,3</w:t>
            </w:r>
          </w:p>
        </w:tc>
        <w:tc>
          <w:tcPr>
            <w:tcW w:w="850" w:type="dxa"/>
            <w:noWrap/>
            <w:vAlign w:val="center"/>
          </w:tcPr>
          <w:p w14:paraId="6C28EF3A" w14:textId="4586861E"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0,0</w:t>
            </w:r>
          </w:p>
        </w:tc>
        <w:tc>
          <w:tcPr>
            <w:tcW w:w="771" w:type="dxa"/>
            <w:noWrap/>
            <w:vAlign w:val="center"/>
          </w:tcPr>
          <w:p w14:paraId="796E83D2" w14:textId="6491F826" w:rsidR="00644395" w:rsidRPr="00F43D33" w:rsidRDefault="7C285CBA" w:rsidP="7C285CBA">
            <w:pPr>
              <w:keepNext/>
              <w:keepLines/>
              <w:spacing w:after="0" w:line="240" w:lineRule="auto"/>
              <w:jc w:val="right"/>
              <w:rPr>
                <w:rFonts w:ascii="Times New Roman" w:eastAsia="Times New Roman" w:hAnsi="Times New Roman" w:cs="Times New Roman"/>
                <w:i/>
                <w:iCs/>
                <w:lang w:eastAsia="hu-HU"/>
              </w:rPr>
            </w:pPr>
            <w:r w:rsidRPr="00F43D33">
              <w:rPr>
                <w:rFonts w:ascii="Times New Roman" w:hAnsi="Times New Roman" w:cs="Times New Roman"/>
                <w:i/>
                <w:iCs/>
                <w:color w:val="000000" w:themeColor="text1"/>
              </w:rPr>
              <w:t>100,0</w:t>
            </w:r>
          </w:p>
        </w:tc>
      </w:tr>
      <w:tr w:rsidR="00644395" w:rsidRPr="00377D59" w14:paraId="44EF96BF" w14:textId="77777777" w:rsidTr="00E86C99">
        <w:trPr>
          <w:trHeight w:val="340"/>
        </w:trPr>
        <w:tc>
          <w:tcPr>
            <w:tcW w:w="5382" w:type="dxa"/>
            <w:vAlign w:val="center"/>
            <w:hideMark/>
          </w:tcPr>
          <w:p w14:paraId="3DD87A70" w14:textId="766307B5" w:rsidR="00644395" w:rsidRPr="00976E1E" w:rsidRDefault="7C285CBA" w:rsidP="7C285CBA">
            <w:pPr>
              <w:keepNext/>
              <w:keepLines/>
              <w:spacing w:after="0" w:line="240" w:lineRule="auto"/>
              <w:rPr>
                <w:rFonts w:ascii="Times New Roman" w:eastAsia="Times New Roman" w:hAnsi="Times New Roman" w:cs="Times New Roman"/>
                <w:b/>
                <w:bCs/>
                <w:sz w:val="20"/>
                <w:szCs w:val="20"/>
                <w:lang w:eastAsia="hu-HU"/>
              </w:rPr>
            </w:pPr>
            <w:r w:rsidRPr="7C285CBA">
              <w:rPr>
                <w:rFonts w:ascii="Times New Roman" w:eastAsia="Times New Roman" w:hAnsi="Times New Roman" w:cs="Times New Roman"/>
                <w:b/>
                <w:bCs/>
                <w:sz w:val="20"/>
                <w:szCs w:val="20"/>
                <w:lang w:eastAsia="hu-HU"/>
              </w:rPr>
              <w:t>Helyi önkormányzatok kiegészítő támogatása</w:t>
            </w:r>
          </w:p>
        </w:tc>
        <w:tc>
          <w:tcPr>
            <w:tcW w:w="1134" w:type="dxa"/>
            <w:noWrap/>
            <w:vAlign w:val="center"/>
          </w:tcPr>
          <w:p w14:paraId="34DDE983" w14:textId="78F1EC2A"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63,0</w:t>
            </w:r>
          </w:p>
        </w:tc>
        <w:tc>
          <w:tcPr>
            <w:tcW w:w="1134" w:type="dxa"/>
            <w:noWrap/>
            <w:vAlign w:val="center"/>
          </w:tcPr>
          <w:p w14:paraId="405423BA" w14:textId="72153B56"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97,5</w:t>
            </w:r>
          </w:p>
        </w:tc>
        <w:tc>
          <w:tcPr>
            <w:tcW w:w="850" w:type="dxa"/>
            <w:noWrap/>
            <w:vAlign w:val="center"/>
          </w:tcPr>
          <w:p w14:paraId="76EB67F0" w14:textId="0BB75C1A"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34,5</w:t>
            </w:r>
          </w:p>
        </w:tc>
        <w:tc>
          <w:tcPr>
            <w:tcW w:w="771" w:type="dxa"/>
            <w:noWrap/>
            <w:vAlign w:val="center"/>
          </w:tcPr>
          <w:p w14:paraId="3FFF6C6E" w14:textId="1BB64E67"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154,8</w:t>
            </w:r>
          </w:p>
        </w:tc>
      </w:tr>
      <w:tr w:rsidR="00644395" w:rsidRPr="00377D59" w14:paraId="648C3F54" w14:textId="77777777" w:rsidTr="00E86C99">
        <w:trPr>
          <w:trHeight w:val="340"/>
        </w:trPr>
        <w:tc>
          <w:tcPr>
            <w:tcW w:w="5382" w:type="dxa"/>
            <w:vAlign w:val="center"/>
            <w:hideMark/>
          </w:tcPr>
          <w:p w14:paraId="3676EE9C" w14:textId="4925EF27" w:rsidR="00644395" w:rsidRPr="00976E1E" w:rsidRDefault="7C285CBA" w:rsidP="7C285CBA">
            <w:pPr>
              <w:keepNext/>
              <w:keepLines/>
              <w:spacing w:after="0" w:line="240" w:lineRule="auto"/>
              <w:rPr>
                <w:rFonts w:ascii="Times New Roman" w:eastAsia="Times New Roman" w:hAnsi="Times New Roman" w:cs="Times New Roman"/>
                <w:b/>
                <w:bCs/>
                <w:sz w:val="20"/>
                <w:szCs w:val="20"/>
                <w:lang w:eastAsia="hu-HU"/>
              </w:rPr>
            </w:pPr>
            <w:r w:rsidRPr="7C285CBA">
              <w:rPr>
                <w:rFonts w:ascii="Times New Roman" w:eastAsia="Times New Roman" w:hAnsi="Times New Roman" w:cs="Times New Roman"/>
                <w:b/>
                <w:bCs/>
                <w:sz w:val="20"/>
                <w:szCs w:val="20"/>
                <w:lang w:eastAsia="hu-HU"/>
              </w:rPr>
              <w:t>Év közben létrejött új jogcímek kiadásai</w:t>
            </w:r>
          </w:p>
        </w:tc>
        <w:tc>
          <w:tcPr>
            <w:tcW w:w="1134" w:type="dxa"/>
            <w:noWrap/>
            <w:vAlign w:val="center"/>
          </w:tcPr>
          <w:p w14:paraId="0BACAC9E" w14:textId="2DDC12FA"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9,8</w:t>
            </w:r>
          </w:p>
        </w:tc>
        <w:tc>
          <w:tcPr>
            <w:tcW w:w="1134" w:type="dxa"/>
            <w:noWrap/>
            <w:vAlign w:val="center"/>
          </w:tcPr>
          <w:p w14:paraId="7A66E9FC" w14:textId="5A229C71"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5,3</w:t>
            </w:r>
          </w:p>
        </w:tc>
        <w:tc>
          <w:tcPr>
            <w:tcW w:w="850" w:type="dxa"/>
            <w:noWrap/>
            <w:vAlign w:val="center"/>
          </w:tcPr>
          <w:p w14:paraId="592B586A" w14:textId="173CDE2D"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-4,5</w:t>
            </w:r>
          </w:p>
        </w:tc>
        <w:tc>
          <w:tcPr>
            <w:tcW w:w="771" w:type="dxa"/>
            <w:noWrap/>
            <w:vAlign w:val="center"/>
          </w:tcPr>
          <w:p w14:paraId="6EEBBBB0" w14:textId="250347B4"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54,1</w:t>
            </w:r>
          </w:p>
        </w:tc>
      </w:tr>
      <w:tr w:rsidR="00644395" w:rsidRPr="00377D59" w14:paraId="60064293" w14:textId="77777777" w:rsidTr="00E86C99">
        <w:trPr>
          <w:trHeight w:val="340"/>
        </w:trPr>
        <w:tc>
          <w:tcPr>
            <w:tcW w:w="5382" w:type="dxa"/>
            <w:noWrap/>
            <w:vAlign w:val="center"/>
            <w:hideMark/>
          </w:tcPr>
          <w:p w14:paraId="73666509" w14:textId="770E1DDA" w:rsidR="00644395" w:rsidRPr="00976E1E" w:rsidRDefault="7C285CBA" w:rsidP="7C285CBA">
            <w:pPr>
              <w:widowControl w:val="0"/>
              <w:spacing w:after="0" w:line="240" w:lineRule="auto"/>
              <w:rPr>
                <w:rFonts w:ascii="Times New Roman" w:eastAsia="Times New Roman" w:hAnsi="Times New Roman" w:cs="Times New Roman"/>
                <w:b/>
                <w:bCs/>
                <w:sz w:val="20"/>
                <w:szCs w:val="20"/>
                <w:lang w:eastAsia="hu-HU"/>
              </w:rPr>
            </w:pPr>
            <w:r w:rsidRPr="7C285CBA">
              <w:rPr>
                <w:rFonts w:ascii="Times New Roman" w:eastAsia="Times New Roman" w:hAnsi="Times New Roman" w:cs="Times New Roman"/>
                <w:b/>
                <w:bCs/>
                <w:sz w:val="20"/>
                <w:szCs w:val="20"/>
                <w:lang w:eastAsia="hu-HU"/>
              </w:rPr>
              <w:t>Összesen</w:t>
            </w:r>
          </w:p>
        </w:tc>
        <w:tc>
          <w:tcPr>
            <w:tcW w:w="1134" w:type="dxa"/>
            <w:noWrap/>
            <w:vAlign w:val="center"/>
          </w:tcPr>
          <w:p w14:paraId="3A3EFD36" w14:textId="55C05066"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830,1</w:t>
            </w:r>
          </w:p>
        </w:tc>
        <w:tc>
          <w:tcPr>
            <w:tcW w:w="1134" w:type="dxa"/>
            <w:noWrap/>
            <w:vAlign w:val="center"/>
          </w:tcPr>
          <w:p w14:paraId="1D84CCAC" w14:textId="20DE48BA"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919,2</w:t>
            </w:r>
          </w:p>
        </w:tc>
        <w:tc>
          <w:tcPr>
            <w:tcW w:w="850" w:type="dxa"/>
            <w:noWrap/>
            <w:vAlign w:val="center"/>
          </w:tcPr>
          <w:p w14:paraId="0AACA3FA" w14:textId="23772890"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89,1</w:t>
            </w:r>
          </w:p>
        </w:tc>
        <w:tc>
          <w:tcPr>
            <w:tcW w:w="771" w:type="dxa"/>
            <w:noWrap/>
            <w:vAlign w:val="center"/>
          </w:tcPr>
          <w:p w14:paraId="1C1B57DC" w14:textId="3A3E9C04" w:rsidR="00644395" w:rsidRPr="00F43D33" w:rsidRDefault="7C285CBA" w:rsidP="7C285CBA">
            <w:pPr>
              <w:keepNext/>
              <w:keepLines/>
              <w:spacing w:after="0" w:line="240" w:lineRule="auto"/>
              <w:jc w:val="right"/>
              <w:rPr>
                <w:rFonts w:ascii="Times New Roman" w:eastAsia="Times New Roman" w:hAnsi="Times New Roman" w:cs="Times New Roman"/>
                <w:b/>
                <w:bCs/>
                <w:lang w:eastAsia="hu-HU"/>
              </w:rPr>
            </w:pPr>
            <w:r w:rsidRPr="00F43D33">
              <w:rPr>
                <w:rFonts w:ascii="Times New Roman" w:hAnsi="Times New Roman" w:cs="Times New Roman"/>
                <w:b/>
                <w:bCs/>
                <w:color w:val="000000" w:themeColor="text1"/>
              </w:rPr>
              <w:t>110,7</w:t>
            </w:r>
          </w:p>
        </w:tc>
      </w:tr>
    </w:tbl>
    <w:bookmarkEnd w:id="1"/>
    <w:p w14:paraId="294CBB33" w14:textId="4B518872" w:rsidR="74B9DF17" w:rsidRPr="00CD1AC2" w:rsidRDefault="7C285CBA" w:rsidP="7C285CBA">
      <w:pPr>
        <w:spacing w:before="24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Uniós programok kiadásai</w:t>
      </w:r>
      <w:r w:rsidRPr="7C285CBA">
        <w:rPr>
          <w:rFonts w:ascii="Times New Roman" w:eastAsia="Times New Roman" w:hAnsi="Times New Roman" w:cs="Times New Roman"/>
          <w:i/>
          <w:iCs/>
          <w:sz w:val="26"/>
          <w:szCs w:val="26"/>
        </w:rPr>
        <w:t xml:space="preserve"> </w:t>
      </w:r>
      <w:r w:rsidRPr="7C285CBA">
        <w:rPr>
          <w:rFonts w:ascii="Times New Roman" w:eastAsia="Times New Roman" w:hAnsi="Times New Roman" w:cs="Times New Roman"/>
          <w:sz w:val="26"/>
          <w:szCs w:val="26"/>
        </w:rPr>
        <w:t>mérlegsoron 2025. augusztus végéig 1442,3 milliárd forint összegű kifizetés történt, amely a törvényi előirányzat (3023,8 milliárd forint) 47,7%-os teljesítését jelenti. A felmerült kiadások jelentős részét a 2021-2027-es Széchenyi Terv Plusz programjai adták.</w:t>
      </w:r>
    </w:p>
    <w:p w14:paraId="6ABC464B" w14:textId="4D5CB4B2" w:rsidR="74B9DF17" w:rsidRPr="00CD1AC2" w:rsidRDefault="7C285CBA" w:rsidP="7C285CBA">
      <w:pPr>
        <w:spacing w:before="16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A legnagyobb összegű kifizetéseket ezen időszakban a Széchenyi Terv Plusz operatív programok közül az Emberi Erőforrás Fejlesztési OP Plusz (EFOP Plusz) és a Terület- és Településfejlesztési OP (TOP Plusz) teljesítette. Kiemelkedők továbbá a Vidékfejlesztési Program és a KAP Stratégiai Terv Vidékfejlesztési Intézkedéseinek kifizetése.</w:t>
      </w:r>
    </w:p>
    <w:p w14:paraId="0EE0B389" w14:textId="36038CE1" w:rsidR="029C2633" w:rsidRPr="00CD1AC2" w:rsidRDefault="7C285CBA" w:rsidP="7C285CBA">
      <w:pPr>
        <w:keepLines/>
        <w:spacing w:before="16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állami vagyonnal kapcsolatos kiadások</w:t>
      </w:r>
      <w:r w:rsidRPr="7C285CBA">
        <w:rPr>
          <w:rFonts w:ascii="Times New Roman" w:eastAsia="Times New Roman" w:hAnsi="Times New Roman" w:cs="Times New Roman"/>
          <w:sz w:val="26"/>
          <w:szCs w:val="26"/>
        </w:rPr>
        <w:t xml:space="preserve"> 2025 első nyolchavi összege 534,9 milliárd forint volt, amelynek meghatározó része ingatlanokhoz kapcsolódóan került kifizetésre.</w:t>
      </w:r>
    </w:p>
    <w:p w14:paraId="4D36018A" w14:textId="772FC2A1" w:rsidR="000B49AE" w:rsidRPr="00377D59" w:rsidRDefault="00B3244C" w:rsidP="000B49AE">
      <w:pPr>
        <w:spacing w:before="240" w:after="120" w:line="240" w:lineRule="auto"/>
        <w:jc w:val="center"/>
        <w:rPr>
          <w:rFonts w:ascii="Times New Roman" w:eastAsia="Times New Roman" w:hAnsi="Times New Roman" w:cs="Times New Roman"/>
          <w:b/>
          <w:bCs/>
          <w:sz w:val="26"/>
          <w:szCs w:val="26"/>
        </w:rPr>
      </w:pPr>
      <w:r>
        <w:rPr>
          <w:noProof/>
        </w:rPr>
        <w:drawing>
          <wp:inline distT="0" distB="0" distL="0" distR="0" wp14:anchorId="7E4A808A" wp14:editId="00C4FD02">
            <wp:extent cx="5708931" cy="3513512"/>
            <wp:effectExtent l="0" t="0" r="6350" b="0"/>
            <wp:docPr id="67658851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88517" name=""/>
                    <pic:cNvPicPr/>
                  </pic:nvPicPr>
                  <pic:blipFill rotWithShape="1">
                    <a:blip r:embed="rId19"/>
                    <a:srcRect l="-466" t="2943" r="466"/>
                    <a:stretch/>
                  </pic:blipFill>
                  <pic:spPr bwMode="auto">
                    <a:xfrm>
                      <a:off x="0" y="0"/>
                      <a:ext cx="5728701" cy="3525679"/>
                    </a:xfrm>
                    <a:prstGeom prst="rect">
                      <a:avLst/>
                    </a:prstGeom>
                    <a:ln>
                      <a:noFill/>
                    </a:ln>
                    <a:extLst>
                      <a:ext uri="{53640926-AAD7-44D8-BBD7-CCE9431645EC}">
                        <a14:shadowObscured xmlns:a14="http://schemas.microsoft.com/office/drawing/2010/main"/>
                      </a:ext>
                    </a:extLst>
                  </pic:spPr>
                </pic:pic>
              </a:graphicData>
            </a:graphic>
          </wp:inline>
        </w:drawing>
      </w:r>
    </w:p>
    <w:p w14:paraId="030326D3" w14:textId="7B196E05" w:rsidR="5B67C7D7" w:rsidRPr="00CB07DE"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lastRenderedPageBreak/>
        <w:t xml:space="preserve">Az </w:t>
      </w:r>
      <w:r w:rsidRPr="7C285CBA">
        <w:rPr>
          <w:rFonts w:ascii="Times New Roman" w:eastAsia="Times New Roman" w:hAnsi="Times New Roman" w:cs="Times New Roman"/>
          <w:b/>
          <w:bCs/>
          <w:sz w:val="26"/>
          <w:szCs w:val="26"/>
        </w:rPr>
        <w:t xml:space="preserve">állami beruházási fejezet kiadásait </w:t>
      </w:r>
      <w:r w:rsidRPr="7C285CBA">
        <w:rPr>
          <w:rFonts w:ascii="Times New Roman" w:eastAsia="Times New Roman" w:hAnsi="Times New Roman" w:cs="Times New Roman"/>
          <w:sz w:val="26"/>
          <w:szCs w:val="26"/>
        </w:rPr>
        <w:t>alapvetően az egyes projektek előrehaladása határozza meg. 2025 első nyolc hónapjában 293,0 milliárd forint kiadás teljesült, amely kismértékben alacsonyabb a 2024 azonos időszakában teljesültekhez képest. A kifizetések nagy része az állami közútfejlesztési beruházásokhoz (186,0 milliárd forint), az európai uniós forrásokból megvalósuló beruházásokhoz (80,8 milliárd forint) és az egyedi magasépítési beruházásokhoz (15,5 milliárd forint) kapcsolódtak</w:t>
      </w:r>
      <w:r w:rsidRPr="7C285CBA">
        <w:rPr>
          <w:rFonts w:ascii="Times New Roman" w:eastAsia="Times New Roman" w:hAnsi="Times New Roman" w:cs="Times New Roman"/>
          <w:sz w:val="24"/>
          <w:szCs w:val="24"/>
        </w:rPr>
        <w:t>.</w:t>
      </w:r>
    </w:p>
    <w:p w14:paraId="598CEA5E" w14:textId="24C881D7" w:rsidR="00C224F5"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egyéb kiadások</w:t>
      </w:r>
      <w:r w:rsidRPr="7C285CBA">
        <w:rPr>
          <w:rFonts w:ascii="Times New Roman" w:eastAsia="Times New Roman" w:hAnsi="Times New Roman" w:cs="Times New Roman"/>
          <w:sz w:val="26"/>
          <w:szCs w:val="26"/>
        </w:rPr>
        <w:t xml:space="preserve"> </w:t>
      </w:r>
      <w:r w:rsidR="00D33920" w:rsidRPr="00D33920">
        <w:rPr>
          <w:rFonts w:ascii="Times New Roman" w:eastAsia="Times New Roman" w:hAnsi="Times New Roman" w:cs="Times New Roman"/>
          <w:sz w:val="26"/>
          <w:szCs w:val="26"/>
        </w:rPr>
        <w:t>2025. évi első nyolchavi teljesítése 387,8 milliárd forint lett, ami 44,8</w:t>
      </w:r>
      <w:r w:rsidR="00D33920">
        <w:rPr>
          <w:rFonts w:ascii="Times New Roman" w:eastAsia="Times New Roman" w:hAnsi="Times New Roman" w:cs="Times New Roman"/>
          <w:sz w:val="26"/>
          <w:szCs w:val="26"/>
        </w:rPr>
        <w:t> </w:t>
      </w:r>
      <w:r w:rsidR="00D33920" w:rsidRPr="00D33920">
        <w:rPr>
          <w:rFonts w:ascii="Times New Roman" w:eastAsia="Times New Roman" w:hAnsi="Times New Roman" w:cs="Times New Roman"/>
          <w:sz w:val="26"/>
          <w:szCs w:val="26"/>
        </w:rPr>
        <w:t>milliárd forinttal magasabban alakult az előző év azonos időszakához képest</w:t>
      </w:r>
      <w:r w:rsidRPr="7C285CBA">
        <w:rPr>
          <w:rFonts w:ascii="Times New Roman" w:eastAsia="Times New Roman" w:hAnsi="Times New Roman" w:cs="Times New Roman"/>
          <w:sz w:val="26"/>
          <w:szCs w:val="26"/>
        </w:rPr>
        <w:t xml:space="preserve">. </w:t>
      </w:r>
    </w:p>
    <w:p w14:paraId="15F013A7" w14:textId="50EC00AA" w:rsidR="74B9DF17"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Hozzájárulás az EU költségvetéséhez</w:t>
      </w:r>
      <w:r w:rsidRPr="7C285CBA">
        <w:rPr>
          <w:rFonts w:ascii="Times New Roman" w:eastAsia="Times New Roman" w:hAnsi="Times New Roman" w:cs="Times New Roman"/>
          <w:sz w:val="26"/>
          <w:szCs w:val="26"/>
        </w:rPr>
        <w:t xml:space="preserve"> mérlegsoron 2025. augusztus végéig 491,8</w:t>
      </w:r>
      <w:r w:rsidR="00D33920">
        <w:rPr>
          <w:rFonts w:ascii="Times New Roman" w:eastAsia="Times New Roman" w:hAnsi="Times New Roman" w:cs="Times New Roman"/>
          <w:sz w:val="26"/>
          <w:szCs w:val="26"/>
        </w:rPr>
        <w:t> </w:t>
      </w:r>
      <w:r w:rsidRPr="7C285CBA">
        <w:rPr>
          <w:rFonts w:ascii="Times New Roman" w:eastAsia="Times New Roman" w:hAnsi="Times New Roman" w:cs="Times New Roman"/>
          <w:sz w:val="26"/>
          <w:szCs w:val="26"/>
        </w:rPr>
        <w:t>milliárd forint kiadás teljesült, ami a törvényi előirányzat 70,5%-a. E hozzájárulás 57,4 milliárd forinttal haladja meg a 2024. év azonos időszakában teljesített kiadásokat.</w:t>
      </w:r>
    </w:p>
    <w:p w14:paraId="0F5A0F03" w14:textId="45BA9504" w:rsidR="6462B5A6" w:rsidRPr="00920F4D"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Nemzeti Kutatási, Fejlesztési és Innovációs Alapból</w:t>
      </w:r>
      <w:r w:rsidRPr="7C285CBA">
        <w:rPr>
          <w:rFonts w:ascii="Times New Roman" w:eastAsia="Times New Roman" w:hAnsi="Times New Roman" w:cs="Times New Roman"/>
          <w:sz w:val="26"/>
          <w:szCs w:val="26"/>
        </w:rPr>
        <w:t xml:space="preserve"> (NKFI Alap) 2025. augusztus végéig 75,5 milliárd forint kiadás teljesült, ami 14,9 milliárd forinttal kevesebb kifizetést jelent a 2024. évi azonos időszak teljesítéséhez képest. </w:t>
      </w:r>
    </w:p>
    <w:p w14:paraId="17605E21" w14:textId="06C35C30" w:rsidR="6462B5A6" w:rsidRPr="00CB07DE"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 </w:t>
      </w:r>
      <w:r w:rsidRPr="7C285CBA">
        <w:rPr>
          <w:rFonts w:ascii="Times New Roman" w:eastAsia="Times New Roman" w:hAnsi="Times New Roman" w:cs="Times New Roman"/>
          <w:b/>
          <w:bCs/>
          <w:sz w:val="26"/>
          <w:szCs w:val="26"/>
        </w:rPr>
        <w:t>Nemzeti Foglalkoztatási Alap</w:t>
      </w:r>
      <w:r w:rsidRPr="7C285CBA">
        <w:rPr>
          <w:rFonts w:ascii="Times New Roman" w:eastAsia="Times New Roman" w:hAnsi="Times New Roman" w:cs="Times New Roman"/>
          <w:sz w:val="26"/>
          <w:szCs w:val="26"/>
        </w:rPr>
        <w:t xml:space="preserve"> (NFA) kiadásai esetében a Start-munkaprogramra összesen 92,4 milliárd forint teljesült. Az uniós elő- és társfinanszírozásra 35,8 milliárd forintot fordítottak.</w:t>
      </w:r>
    </w:p>
    <w:p w14:paraId="76B18BB1" w14:textId="46225180" w:rsidR="123EFD2F" w:rsidRPr="00CB07DE" w:rsidRDefault="7C285CBA" w:rsidP="7C285CBA">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A</w:t>
      </w:r>
      <w:r w:rsidRPr="7C285CBA">
        <w:rPr>
          <w:rFonts w:ascii="Times New Roman" w:eastAsia="Times New Roman" w:hAnsi="Times New Roman" w:cs="Times New Roman"/>
          <w:b/>
          <w:bCs/>
          <w:sz w:val="26"/>
          <w:szCs w:val="26"/>
        </w:rPr>
        <w:t xml:space="preserve"> Bethlen Gábor Alapból</w:t>
      </w:r>
      <w:r w:rsidRPr="7C285CBA">
        <w:rPr>
          <w:rFonts w:ascii="Times New Roman" w:eastAsia="Times New Roman" w:hAnsi="Times New Roman" w:cs="Times New Roman"/>
          <w:sz w:val="26"/>
          <w:szCs w:val="26"/>
        </w:rPr>
        <w:t xml:space="preserve"> (BGA) az év első nyolc hónapjában összesen 58,8 milliárd forint kiadás teljesült. Az alapból nyújtott támogatások a BGA irányítását ellátó Bizottság döntései alapján, ütemezetten kerültek kifizetésre.</w:t>
      </w:r>
    </w:p>
    <w:p w14:paraId="51683CC2" w14:textId="14C22182" w:rsidR="00043E49" w:rsidRPr="00CB07DE" w:rsidRDefault="57821025" w:rsidP="57821025">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 xml:space="preserve">A </w:t>
      </w:r>
      <w:r w:rsidRPr="57821025">
        <w:rPr>
          <w:rFonts w:ascii="Times New Roman" w:eastAsia="Times New Roman" w:hAnsi="Times New Roman" w:cs="Times New Roman"/>
          <w:b/>
          <w:bCs/>
          <w:sz w:val="26"/>
          <w:szCs w:val="26"/>
        </w:rPr>
        <w:t>Nyugdíjbiztosítási Alap</w:t>
      </w:r>
      <w:r w:rsidRPr="57821025">
        <w:rPr>
          <w:rFonts w:ascii="Times New Roman" w:eastAsia="Times New Roman" w:hAnsi="Times New Roman" w:cs="Times New Roman"/>
          <w:sz w:val="26"/>
          <w:szCs w:val="26"/>
        </w:rPr>
        <w:t xml:space="preserve"> nyugellátási kiadásai augusztus végéig 4497,6 milliárd forintban teljesültek, ami 215,8 milliárd forinttal haladta meg az előző év azonos időszakának teljesítési adatait. Az 5%-os kiadásnövekedést a tárgyév január hónapban végrehajtott inflációkövető nyugdíjemelés hatása, valamint az eltelt időszakban bekövetkezett létszámváltozás és cserélődés együttes hatása eredményezte.</w:t>
      </w:r>
    </w:p>
    <w:p w14:paraId="26EFB518" w14:textId="3EEE6DCF" w:rsidR="00043E49" w:rsidRPr="00CB07DE" w:rsidRDefault="57821025" w:rsidP="57821025">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Február hónapban több mint 2 millió öregségi nyugdíjban és hozzátartozói nyugellátásban részesülő személy részére folyósítottak 13. havi nyugdíjat. A 13. havi nyugdíj Nyugdíjbiztosítási Alapot terhelő kiadása augusztus végéig 493,6 milliárd forint volt, ami 22,0 milliárd forinttal haladta meg az előző év azonos időszakában ezen a jogcímen teljesített kiadások összegét.</w:t>
      </w:r>
    </w:p>
    <w:p w14:paraId="168226B1" w14:textId="0DF1C646" w:rsidR="00D72777" w:rsidRPr="00CB07DE" w:rsidRDefault="57821025" w:rsidP="57821025">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Az első nyolc hónap adatai alapján a nyugellátási kiadásokon belül a korbetöltött öregségi nyugellátások 5,6%-kal, a nők 40 év jogosultsági idővel igénybe vehető öregségi nyugdíja („nők 40”) pedig 3,1%-kal haladta meg az előző év azonos időszakának kiadásait.</w:t>
      </w:r>
    </w:p>
    <w:p w14:paraId="0F073B32" w14:textId="3F982143" w:rsidR="00C35E13" w:rsidRDefault="00B3244C" w:rsidP="00C35E13">
      <w:pPr>
        <w:pStyle w:val="NormlWeb"/>
        <w:jc w:val="center"/>
      </w:pPr>
      <w:r>
        <w:rPr>
          <w:noProof/>
        </w:rPr>
        <w:lastRenderedPageBreak/>
        <w:drawing>
          <wp:inline distT="0" distB="0" distL="0" distR="0" wp14:anchorId="4A40DEDB" wp14:editId="7849CD1D">
            <wp:extent cx="5939000" cy="2554779"/>
            <wp:effectExtent l="0" t="0" r="5080" b="0"/>
            <wp:docPr id="10225327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32743" name=""/>
                    <pic:cNvPicPr/>
                  </pic:nvPicPr>
                  <pic:blipFill rotWithShape="1">
                    <a:blip r:embed="rId20"/>
                    <a:srcRect b="4520"/>
                    <a:stretch/>
                  </pic:blipFill>
                  <pic:spPr bwMode="auto">
                    <a:xfrm>
                      <a:off x="0" y="0"/>
                      <a:ext cx="5954466" cy="2561432"/>
                    </a:xfrm>
                    <a:prstGeom prst="rect">
                      <a:avLst/>
                    </a:prstGeom>
                    <a:ln>
                      <a:noFill/>
                    </a:ln>
                    <a:extLst>
                      <a:ext uri="{53640926-AAD7-44D8-BBD7-CCE9431645EC}">
                        <a14:shadowObscured xmlns:a14="http://schemas.microsoft.com/office/drawing/2010/main"/>
                      </a:ext>
                    </a:extLst>
                  </pic:spPr>
                </pic:pic>
              </a:graphicData>
            </a:graphic>
          </wp:inline>
        </w:drawing>
      </w:r>
    </w:p>
    <w:p w14:paraId="1E774D45" w14:textId="2EC3E84D" w:rsidR="00884EDC" w:rsidRPr="00CB07DE" w:rsidRDefault="57821025" w:rsidP="0098157F">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 xml:space="preserve">Az öregségi nyugdíjban részesülők 2025. augusztus havi </w:t>
      </w:r>
      <w:r w:rsidRPr="57821025">
        <w:rPr>
          <w:rFonts w:ascii="Times New Roman" w:eastAsia="Times New Roman" w:hAnsi="Times New Roman" w:cs="Times New Roman"/>
          <w:b/>
          <w:bCs/>
          <w:sz w:val="26"/>
          <w:szCs w:val="26"/>
        </w:rPr>
        <w:t>átlagos statisztikai állományi létszáma</w:t>
      </w:r>
      <w:r w:rsidRPr="57821025">
        <w:rPr>
          <w:rFonts w:ascii="Times New Roman" w:eastAsia="Times New Roman" w:hAnsi="Times New Roman" w:cs="Times New Roman"/>
          <w:sz w:val="26"/>
          <w:szCs w:val="26"/>
        </w:rPr>
        <w:t xml:space="preserve"> kis mértékben növekedett, 1529 fővel haladta meg az előző év azonos időszakának létszámát. Az öregségi nyugdíjban részesülők létszámán belül a nők kedvezményes nyugdíjában részesülők (korhatár alattiak) létszáma a korhatárbetöltés, az újonnan belépők és az elhalálozás együttes hatásaként 4601 fővel csökkent a 2024.</w:t>
      </w:r>
      <w:r w:rsidR="006F0156">
        <w:rPr>
          <w:rFonts w:ascii="Times New Roman" w:eastAsia="Times New Roman" w:hAnsi="Times New Roman" w:cs="Times New Roman"/>
          <w:sz w:val="26"/>
          <w:szCs w:val="26"/>
        </w:rPr>
        <w:t> </w:t>
      </w:r>
      <w:r w:rsidRPr="57821025">
        <w:rPr>
          <w:rFonts w:ascii="Times New Roman" w:eastAsia="Times New Roman" w:hAnsi="Times New Roman" w:cs="Times New Roman"/>
          <w:sz w:val="26"/>
          <w:szCs w:val="26"/>
        </w:rPr>
        <w:t>augusztusi adathoz képest, jelenleg 137</w:t>
      </w:r>
      <w:r w:rsidR="005A34A7">
        <w:rPr>
          <w:rFonts w:ascii="Times New Roman" w:eastAsia="Times New Roman" w:hAnsi="Times New Roman" w:cs="Times New Roman"/>
          <w:sz w:val="26"/>
          <w:szCs w:val="26"/>
        </w:rPr>
        <w:t> </w:t>
      </w:r>
      <w:r w:rsidRPr="57821025">
        <w:rPr>
          <w:rFonts w:ascii="Times New Roman" w:eastAsia="Times New Roman" w:hAnsi="Times New Roman" w:cs="Times New Roman"/>
          <w:sz w:val="26"/>
          <w:szCs w:val="26"/>
        </w:rPr>
        <w:t>551 fő veszi igénybe a „nők 40” kedvezményes nyugdíját.</w:t>
      </w:r>
    </w:p>
    <w:p w14:paraId="61DC0A5C" w14:textId="38647C26" w:rsidR="00884EDC" w:rsidRPr="00CB07DE" w:rsidRDefault="57821025" w:rsidP="0098157F">
      <w:pPr>
        <w:jc w:val="both"/>
        <w:rPr>
          <w:rFonts w:ascii="Times New Roman" w:eastAsia="Times New Roman" w:hAnsi="Times New Roman" w:cs="Times New Roman"/>
          <w:sz w:val="26"/>
          <w:szCs w:val="26"/>
        </w:rPr>
      </w:pPr>
      <w:r w:rsidRPr="57821025">
        <w:rPr>
          <w:rFonts w:ascii="Times New Roman" w:eastAsia="Times New Roman" w:hAnsi="Times New Roman" w:cs="Times New Roman"/>
          <w:sz w:val="26"/>
          <w:szCs w:val="26"/>
        </w:rPr>
        <w:t>Az öregségi nyugdíjak átlagos havi összege egy év alatt 12 180 forinttal emelkedett, idén 2025. augusztusban 245 366 forint volt.</w:t>
      </w:r>
    </w:p>
    <w:p w14:paraId="725BF303" w14:textId="60C58C4B" w:rsidR="7BF38582" w:rsidRDefault="7C285CBA" w:rsidP="0098157F">
      <w:pPr>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Az ellátások egy főre jutó havi átlagos összege az egyes ellátotti jogcímeken belül az előző év azonos időszakával összehasonlítva az alábbiak szerint növekedett.</w:t>
      </w:r>
    </w:p>
    <w:p w14:paraId="503DFEB7" w14:textId="32C691D2" w:rsidR="00EF1F5B" w:rsidRDefault="009371F3" w:rsidP="002D6802">
      <w:pPr>
        <w:pStyle w:val="NormlWeb"/>
        <w:spacing w:before="0" w:beforeAutospacing="0" w:after="0" w:afterAutospacing="0"/>
        <w:jc w:val="center"/>
      </w:pPr>
      <w:r>
        <w:rPr>
          <w:noProof/>
        </w:rPr>
        <w:drawing>
          <wp:inline distT="0" distB="0" distL="0" distR="0" wp14:anchorId="06D4FF22" wp14:editId="0E22EF72">
            <wp:extent cx="4558976" cy="3124763"/>
            <wp:effectExtent l="0" t="0" r="0" b="0"/>
            <wp:docPr id="39933191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31916" name=""/>
                    <pic:cNvPicPr/>
                  </pic:nvPicPr>
                  <pic:blipFill>
                    <a:blip r:embed="rId21"/>
                    <a:stretch>
                      <a:fillRect/>
                    </a:stretch>
                  </pic:blipFill>
                  <pic:spPr>
                    <a:xfrm>
                      <a:off x="0" y="0"/>
                      <a:ext cx="4581845" cy="3140438"/>
                    </a:xfrm>
                    <a:prstGeom prst="rect">
                      <a:avLst/>
                    </a:prstGeom>
                  </pic:spPr>
                </pic:pic>
              </a:graphicData>
            </a:graphic>
          </wp:inline>
        </w:drawing>
      </w:r>
    </w:p>
    <w:p w14:paraId="3779DB9C" w14:textId="246CB37A" w:rsidR="0022104D" w:rsidRDefault="00D33920" w:rsidP="00A31F84">
      <w:pPr>
        <w:widowControl w:val="0"/>
        <w:spacing w:before="240"/>
        <w:jc w:val="both"/>
      </w:pPr>
      <w:r>
        <w:rPr>
          <w:rFonts w:ascii="Times New Roman" w:eastAsia="Times New Roman" w:hAnsi="Times New Roman" w:cs="Times New Roman"/>
          <w:sz w:val="26"/>
          <w:szCs w:val="26"/>
        </w:rPr>
        <w:br w:type="column"/>
      </w:r>
      <w:r w:rsidR="7C285CBA" w:rsidRPr="7C285CBA">
        <w:rPr>
          <w:rFonts w:ascii="Times New Roman" w:eastAsia="Times New Roman" w:hAnsi="Times New Roman" w:cs="Times New Roman"/>
          <w:sz w:val="26"/>
          <w:szCs w:val="26"/>
        </w:rPr>
        <w:lastRenderedPageBreak/>
        <w:t xml:space="preserve">Az öregségi nyugdíjban, hozzátartozói nyugellátásban részesülők jogcím szerinti megoszlásának összehasonlítását a korábbi adatokkal az alábbi ábrák mutatják. </w:t>
      </w:r>
    </w:p>
    <w:p w14:paraId="6E229341" w14:textId="0AF78724" w:rsidR="00EF1F5B" w:rsidRDefault="00B3244C" w:rsidP="00A31F84">
      <w:pPr>
        <w:pStyle w:val="NormlWeb"/>
        <w:widowControl w:val="0"/>
        <w:jc w:val="center"/>
      </w:pPr>
      <w:r>
        <w:rPr>
          <w:noProof/>
        </w:rPr>
        <w:drawing>
          <wp:inline distT="0" distB="0" distL="0" distR="0" wp14:anchorId="550813F8" wp14:editId="0157FDD0">
            <wp:extent cx="5880580" cy="2172435"/>
            <wp:effectExtent l="0" t="0" r="6350" b="0"/>
            <wp:docPr id="173152714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27147" name=""/>
                    <pic:cNvPicPr/>
                  </pic:nvPicPr>
                  <pic:blipFill rotWithShape="1">
                    <a:blip r:embed="rId22"/>
                    <a:srcRect t="3625" b="6680"/>
                    <a:stretch/>
                  </pic:blipFill>
                  <pic:spPr bwMode="auto">
                    <a:xfrm>
                      <a:off x="0" y="0"/>
                      <a:ext cx="5902637" cy="2180583"/>
                    </a:xfrm>
                    <a:prstGeom prst="rect">
                      <a:avLst/>
                    </a:prstGeom>
                    <a:ln>
                      <a:noFill/>
                    </a:ln>
                    <a:extLst>
                      <a:ext uri="{53640926-AAD7-44D8-BBD7-CCE9431645EC}">
                        <a14:shadowObscured xmlns:a14="http://schemas.microsoft.com/office/drawing/2010/main"/>
                      </a:ext>
                    </a:extLst>
                  </pic:spPr>
                </pic:pic>
              </a:graphicData>
            </a:graphic>
          </wp:inline>
        </w:drawing>
      </w:r>
    </w:p>
    <w:p w14:paraId="2A4F88FB" w14:textId="558B9764" w:rsidR="00D4148C" w:rsidRPr="002B492B" w:rsidRDefault="7C285CBA" w:rsidP="7C285CBA">
      <w:pPr>
        <w:widowControl w:val="0"/>
        <w:rPr>
          <w:rFonts w:ascii="Times New Roman" w:eastAsia="Times New Roman" w:hAnsi="Times New Roman" w:cs="Times New Roman"/>
          <w:b/>
          <w:bCs/>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Egészségbiztosítási Alap kiadásainak</w:t>
      </w:r>
      <w:r w:rsidRPr="7C285CBA">
        <w:rPr>
          <w:rFonts w:ascii="Times New Roman" w:eastAsia="Times New Roman" w:hAnsi="Times New Roman" w:cs="Times New Roman"/>
          <w:sz w:val="26"/>
          <w:szCs w:val="26"/>
        </w:rPr>
        <w:t xml:space="preserve"> összetételét a következő ábra mutatja be:</w:t>
      </w:r>
      <w:r w:rsidRPr="7C285CBA">
        <w:rPr>
          <w:rFonts w:ascii="Times New Roman" w:eastAsia="Times New Roman" w:hAnsi="Times New Roman" w:cs="Times New Roman"/>
          <w:b/>
          <w:bCs/>
          <w:sz w:val="26"/>
          <w:szCs w:val="26"/>
        </w:rPr>
        <w:t xml:space="preserve"> </w:t>
      </w:r>
    </w:p>
    <w:p w14:paraId="57C38B59" w14:textId="37C49D36" w:rsidR="00D4148C" w:rsidRDefault="00B3244C" w:rsidP="00A31F84">
      <w:pPr>
        <w:widowControl w:val="0"/>
        <w:spacing w:after="240"/>
        <w:jc w:val="center"/>
        <w:rPr>
          <w:rFonts w:ascii="Times New Roman" w:eastAsia="Times New Roman" w:hAnsi="Times New Roman" w:cs="Times New Roman"/>
          <w:sz w:val="26"/>
          <w:szCs w:val="26"/>
        </w:rPr>
      </w:pPr>
      <w:r>
        <w:rPr>
          <w:noProof/>
        </w:rPr>
        <w:drawing>
          <wp:inline distT="0" distB="0" distL="0" distR="0" wp14:anchorId="0CCFF810" wp14:editId="1AD7AB80">
            <wp:extent cx="5934462" cy="2377440"/>
            <wp:effectExtent l="0" t="0" r="9525" b="3810"/>
            <wp:docPr id="29704874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48744" name=""/>
                    <pic:cNvPicPr/>
                  </pic:nvPicPr>
                  <pic:blipFill rotWithShape="1">
                    <a:blip r:embed="rId23"/>
                    <a:srcRect b="5930"/>
                    <a:stretch/>
                  </pic:blipFill>
                  <pic:spPr bwMode="auto">
                    <a:xfrm>
                      <a:off x="0" y="0"/>
                      <a:ext cx="5947844" cy="2382801"/>
                    </a:xfrm>
                    <a:prstGeom prst="rect">
                      <a:avLst/>
                    </a:prstGeom>
                    <a:ln>
                      <a:noFill/>
                    </a:ln>
                    <a:extLst>
                      <a:ext uri="{53640926-AAD7-44D8-BBD7-CCE9431645EC}">
                        <a14:shadowObscured xmlns:a14="http://schemas.microsoft.com/office/drawing/2010/main"/>
                      </a:ext>
                    </a:extLst>
                  </pic:spPr>
                </pic:pic>
              </a:graphicData>
            </a:graphic>
          </wp:inline>
        </w:drawing>
      </w:r>
    </w:p>
    <w:p w14:paraId="19FDF989" w14:textId="6E358A0D" w:rsidR="00CA3468" w:rsidRDefault="7C285CBA" w:rsidP="7C285CBA">
      <w:pPr>
        <w:widowControl w:val="0"/>
        <w:spacing w:after="240"/>
        <w:jc w:val="both"/>
        <w:rPr>
          <w:rFonts w:ascii="Times New Roman" w:eastAsia="Times New Roman" w:hAnsi="Times New Roman" w:cs="Times New Roman"/>
          <w:sz w:val="26"/>
          <w:szCs w:val="26"/>
        </w:rPr>
      </w:pPr>
      <w:r w:rsidRPr="7C285CBA">
        <w:rPr>
          <w:rFonts w:ascii="Times New Roman" w:eastAsia="Times New Roman" w:hAnsi="Times New Roman" w:cs="Times New Roman"/>
          <w:sz w:val="26"/>
          <w:szCs w:val="26"/>
        </w:rPr>
        <w:t xml:space="preserve">Az </w:t>
      </w:r>
      <w:r w:rsidRPr="7C285CBA">
        <w:rPr>
          <w:rFonts w:ascii="Times New Roman" w:eastAsia="Times New Roman" w:hAnsi="Times New Roman" w:cs="Times New Roman"/>
          <w:b/>
          <w:bCs/>
          <w:sz w:val="26"/>
          <w:szCs w:val="26"/>
        </w:rPr>
        <w:t>Egészségbiztosítási Alap</w:t>
      </w:r>
      <w:r w:rsidRPr="7C285CBA">
        <w:rPr>
          <w:rFonts w:ascii="Times New Roman" w:eastAsia="Times New Roman" w:hAnsi="Times New Roman" w:cs="Times New Roman"/>
          <w:sz w:val="26"/>
          <w:szCs w:val="26"/>
        </w:rPr>
        <w:t xml:space="preserve"> összes kiadásának 25,3%-át a </w:t>
      </w:r>
      <w:r w:rsidRPr="7C285CBA">
        <w:rPr>
          <w:rFonts w:ascii="Times New Roman" w:eastAsia="Times New Roman" w:hAnsi="Times New Roman" w:cs="Times New Roman"/>
          <w:b/>
          <w:bCs/>
          <w:sz w:val="26"/>
          <w:szCs w:val="26"/>
        </w:rPr>
        <w:t>pénzbeli ellátásokra</w:t>
      </w:r>
      <w:r w:rsidRPr="7C285CBA">
        <w:rPr>
          <w:rFonts w:ascii="Times New Roman" w:eastAsia="Times New Roman" w:hAnsi="Times New Roman" w:cs="Times New Roman"/>
          <w:sz w:val="26"/>
          <w:szCs w:val="26"/>
        </w:rPr>
        <w:t xml:space="preserve"> fordított összeg adta. Az ellátások részletes bemutatását a következő táblázat tartalmazza:</w:t>
      </w:r>
    </w:p>
    <w:p w14:paraId="1D31F2C8" w14:textId="3F5AAC59" w:rsidR="00DA4FBC" w:rsidRPr="001074A1" w:rsidRDefault="7C285CBA" w:rsidP="7C285CBA">
      <w:pPr>
        <w:widowControl w:val="0"/>
        <w:spacing w:after="240"/>
        <w:jc w:val="center"/>
        <w:rPr>
          <w:rFonts w:ascii="Times New Roman" w:eastAsia="Times New Roman" w:hAnsi="Times New Roman" w:cs="Times New Roman"/>
          <w:b/>
          <w:bCs/>
        </w:rPr>
      </w:pPr>
      <w:r w:rsidRPr="7C285CBA">
        <w:rPr>
          <w:rFonts w:ascii="Times New Roman" w:eastAsia="Times New Roman" w:hAnsi="Times New Roman" w:cs="Times New Roman"/>
          <w:b/>
          <w:bCs/>
        </w:rPr>
        <w:t>Az Egészségbiztosítási Alap pénzbeli ellátásokra fordított kiadásainak alakulása (milliárd forint)</w:t>
      </w:r>
    </w:p>
    <w:tbl>
      <w:tblPr>
        <w:tblpPr w:leftFromText="141" w:rightFromText="141" w:vertAnchor="text" w:tblpXSpec="center" w:tblpY="1"/>
        <w:tblOverlap w:val="never"/>
        <w:tblW w:w="8718" w:type="dxa"/>
        <w:tblLayout w:type="fixed"/>
        <w:tblCellMar>
          <w:left w:w="70" w:type="dxa"/>
          <w:right w:w="70" w:type="dxa"/>
        </w:tblCellMar>
        <w:tblLook w:val="04A0" w:firstRow="1" w:lastRow="0" w:firstColumn="1" w:lastColumn="0" w:noHBand="0" w:noVBand="1"/>
      </w:tblPr>
      <w:tblGrid>
        <w:gridCol w:w="4248"/>
        <w:gridCol w:w="1276"/>
        <w:gridCol w:w="1209"/>
        <w:gridCol w:w="992"/>
        <w:gridCol w:w="993"/>
      </w:tblGrid>
      <w:tr w:rsidR="00E601EF" w:rsidRPr="00377D59" w14:paraId="06E6BC15" w14:textId="77777777" w:rsidTr="12F4B78A">
        <w:trPr>
          <w:trHeight w:val="340"/>
        </w:trPr>
        <w:tc>
          <w:tcPr>
            <w:tcW w:w="4248" w:type="dxa"/>
            <w:vMerge w:val="restart"/>
            <w:tcBorders>
              <w:top w:val="single" w:sz="4" w:space="0" w:color="auto"/>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510863DA" w14:textId="77777777" w:rsidR="00E601EF" w:rsidRPr="00377D59" w:rsidRDefault="7C285CBA" w:rsidP="7C285CBA">
            <w:pPr>
              <w:widowControl w:val="0"/>
              <w:spacing w:after="0" w:line="240" w:lineRule="auto"/>
              <w:jc w:val="center"/>
              <w:rPr>
                <w:rFonts w:ascii="Times New Roman" w:eastAsia="Times New Roman" w:hAnsi="Times New Roman" w:cs="Times New Roman"/>
                <w:b/>
                <w:bCs/>
              </w:rPr>
            </w:pPr>
            <w:r w:rsidRPr="7C285CBA">
              <w:rPr>
                <w:rFonts w:ascii="Times New Roman" w:eastAsia="Times New Roman" w:hAnsi="Times New Roman" w:cs="Times New Roman"/>
                <w:b/>
                <w:bCs/>
              </w:rPr>
              <w:t>Megnevezés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B44369" w14:textId="1DF736BA" w:rsidR="00E601EF" w:rsidRPr="00377D59" w:rsidRDefault="12F4B78A" w:rsidP="12F4B78A">
            <w:pPr>
              <w:widowControl w:val="0"/>
              <w:spacing w:after="0" w:line="240" w:lineRule="auto"/>
              <w:jc w:val="center"/>
              <w:rPr>
                <w:rFonts w:ascii="Times New Roman" w:eastAsia="Times New Roman" w:hAnsi="Times New Roman" w:cs="Times New Roman"/>
                <w:b/>
                <w:bCs/>
              </w:rPr>
            </w:pPr>
            <w:r w:rsidRPr="12F4B78A">
              <w:rPr>
                <w:rFonts w:ascii="Times New Roman" w:eastAsia="Times New Roman" w:hAnsi="Times New Roman" w:cs="Times New Roman"/>
                <w:b/>
                <w:bCs/>
              </w:rPr>
              <w:t xml:space="preserve">2024. </w:t>
            </w:r>
            <w:r w:rsidR="7C285CBA">
              <w:br/>
            </w:r>
            <w:r w:rsidRPr="12F4B78A">
              <w:rPr>
                <w:rFonts w:ascii="Times New Roman" w:eastAsia="Times New Roman" w:hAnsi="Times New Roman" w:cs="Times New Roman"/>
                <w:b/>
                <w:bCs/>
              </w:rPr>
              <w:t>I-VIII. hó</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A1BFE64" w14:textId="66E7302D" w:rsidR="00E601EF" w:rsidRPr="00377D59" w:rsidRDefault="12F4B78A" w:rsidP="12F4B78A">
            <w:pPr>
              <w:widowControl w:val="0"/>
              <w:spacing w:after="0" w:line="240" w:lineRule="auto"/>
              <w:jc w:val="center"/>
              <w:rPr>
                <w:rFonts w:ascii="Times New Roman" w:eastAsia="Times New Roman" w:hAnsi="Times New Roman" w:cs="Times New Roman"/>
                <w:b/>
                <w:bCs/>
              </w:rPr>
            </w:pPr>
            <w:r w:rsidRPr="12F4B78A">
              <w:rPr>
                <w:rFonts w:ascii="Times New Roman" w:eastAsia="Times New Roman" w:hAnsi="Times New Roman" w:cs="Times New Roman"/>
                <w:b/>
                <w:bCs/>
              </w:rPr>
              <w:t xml:space="preserve">2025. </w:t>
            </w:r>
            <w:r w:rsidR="7C285CBA">
              <w:br/>
            </w:r>
            <w:r w:rsidRPr="12F4B78A">
              <w:rPr>
                <w:rFonts w:ascii="Times New Roman" w:eastAsia="Times New Roman" w:hAnsi="Times New Roman" w:cs="Times New Roman"/>
                <w:b/>
                <w:bCs/>
              </w:rPr>
              <w:t>I-VIII. hó</w:t>
            </w:r>
          </w:p>
        </w:tc>
        <w:tc>
          <w:tcPr>
            <w:tcW w:w="198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FB39D6" w14:textId="77777777" w:rsidR="00E601EF" w:rsidRPr="00377D59" w:rsidRDefault="7C285CBA" w:rsidP="7C285CBA">
            <w:pPr>
              <w:widowControl w:val="0"/>
              <w:spacing w:after="0" w:line="240" w:lineRule="auto"/>
              <w:jc w:val="center"/>
              <w:rPr>
                <w:rFonts w:ascii="Times New Roman" w:eastAsia="Times New Roman" w:hAnsi="Times New Roman" w:cs="Times New Roman"/>
                <w:b/>
                <w:bCs/>
              </w:rPr>
            </w:pPr>
            <w:r w:rsidRPr="7C285CBA">
              <w:rPr>
                <w:rFonts w:ascii="Times New Roman" w:eastAsia="Times New Roman" w:hAnsi="Times New Roman" w:cs="Times New Roman"/>
                <w:b/>
                <w:bCs/>
              </w:rPr>
              <w:t>Eltérés</w:t>
            </w:r>
          </w:p>
        </w:tc>
      </w:tr>
      <w:tr w:rsidR="00E601EF" w:rsidRPr="00377D59" w14:paraId="67C6C54B" w14:textId="77777777" w:rsidTr="12F4B78A">
        <w:trPr>
          <w:trHeight w:val="340"/>
        </w:trPr>
        <w:tc>
          <w:tcPr>
            <w:tcW w:w="4248"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CCA367D" w14:textId="77777777" w:rsidR="00E601EF" w:rsidRPr="00377D59" w:rsidRDefault="00E601EF" w:rsidP="00A31F84">
            <w:pPr>
              <w:widowControl w:val="0"/>
              <w:spacing w:after="0" w:line="240" w:lineRule="auto"/>
              <w:rPr>
                <w:rFonts w:ascii="Times New Roman" w:eastAsia="Times New Roman" w:hAnsi="Times New Roman" w:cs="Times New Roman"/>
                <w:b/>
                <w:bCs/>
                <w:lang w:eastAsia="hu-HU"/>
              </w:rPr>
            </w:pPr>
          </w:p>
        </w:tc>
        <w:tc>
          <w:tcPr>
            <w:tcW w:w="127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99307A"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12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594B6"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9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986BC2B" w14:textId="77777777" w:rsidR="00E601EF" w:rsidRPr="00377D59" w:rsidRDefault="7C285CBA" w:rsidP="7C285CBA">
            <w:pPr>
              <w:widowControl w:val="0"/>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Mrd Ft</w:t>
            </w:r>
          </w:p>
        </w:tc>
        <w:tc>
          <w:tcPr>
            <w:tcW w:w="99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EDA458" w14:textId="77777777" w:rsidR="00E601EF" w:rsidRPr="00377D59" w:rsidRDefault="7C285CBA" w:rsidP="7C285CBA">
            <w:pPr>
              <w:widowControl w:val="0"/>
              <w:spacing w:after="0" w:line="240" w:lineRule="auto"/>
              <w:jc w:val="center"/>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w:t>
            </w:r>
          </w:p>
        </w:tc>
      </w:tr>
      <w:tr w:rsidR="00494D4B" w:rsidRPr="00377D59" w14:paraId="0F7FB8C0" w14:textId="77777777" w:rsidTr="12F4B78A">
        <w:trPr>
          <w:trHeight w:val="340"/>
        </w:trPr>
        <w:tc>
          <w:tcPr>
            <w:tcW w:w="4248" w:type="dxa"/>
            <w:tcBorders>
              <w:top w:val="nil"/>
              <w:left w:val="single" w:sz="4" w:space="0" w:color="auto"/>
              <w:bottom w:val="single" w:sz="4" w:space="0" w:color="auto"/>
              <w:right w:val="single" w:sz="4" w:space="0" w:color="auto"/>
            </w:tcBorders>
            <w:noWrap/>
            <w:vAlign w:val="center"/>
            <w:hideMark/>
          </w:tcPr>
          <w:p w14:paraId="4F8BBBDE" w14:textId="77777777" w:rsidR="00494D4B" w:rsidRPr="00377D59" w:rsidRDefault="7C285CBA" w:rsidP="7C285CBA">
            <w:pPr>
              <w:widowControl w:val="0"/>
              <w:spacing w:after="0" w:line="240" w:lineRule="auto"/>
              <w:ind w:firstLine="67"/>
              <w:rPr>
                <w:rFonts w:ascii="Times New Roman" w:eastAsia="Times New Roman" w:hAnsi="Times New Roman" w:cs="Times New Roman"/>
                <w:b/>
                <w:bCs/>
                <w:lang w:eastAsia="hu-HU"/>
              </w:rPr>
            </w:pPr>
            <w:r w:rsidRPr="7C285CBA">
              <w:rPr>
                <w:rFonts w:ascii="Times New Roman" w:eastAsia="Times New Roman" w:hAnsi="Times New Roman" w:cs="Times New Roman"/>
                <w:b/>
                <w:bCs/>
                <w:lang w:eastAsia="hu-HU"/>
              </w:rPr>
              <w:t>Pénzbeli ellátások</w:t>
            </w:r>
          </w:p>
        </w:tc>
        <w:tc>
          <w:tcPr>
            <w:tcW w:w="1276" w:type="dxa"/>
            <w:tcBorders>
              <w:top w:val="single" w:sz="4" w:space="0" w:color="auto"/>
              <w:left w:val="nil"/>
              <w:bottom w:val="single" w:sz="4" w:space="0" w:color="auto"/>
              <w:right w:val="single" w:sz="4" w:space="0" w:color="auto"/>
            </w:tcBorders>
            <w:vAlign w:val="center"/>
          </w:tcPr>
          <w:p w14:paraId="3EB30386" w14:textId="0C65AFB4" w:rsidR="00494D4B" w:rsidRPr="001074A1" w:rsidRDefault="12F4B78A" w:rsidP="12F4B78A">
            <w:pPr>
              <w:widowControl w:val="0"/>
              <w:spacing w:after="0"/>
              <w:jc w:val="right"/>
              <w:rPr>
                <w:rFonts w:ascii="Times New Roman" w:eastAsia="Times New Roman" w:hAnsi="Times New Roman" w:cs="Times New Roman"/>
                <w:b/>
                <w:bCs/>
                <w:lang w:eastAsia="hu-HU"/>
              </w:rPr>
            </w:pPr>
            <w:r w:rsidRPr="12F4B78A">
              <w:rPr>
                <w:rFonts w:ascii="Times New Roman" w:eastAsia="Times New Roman" w:hAnsi="Times New Roman" w:cs="Times New Roman"/>
                <w:b/>
                <w:bCs/>
                <w:lang w:eastAsia="hu-HU"/>
              </w:rPr>
              <w:t>774,3</w:t>
            </w:r>
          </w:p>
        </w:tc>
        <w:tc>
          <w:tcPr>
            <w:tcW w:w="1209" w:type="dxa"/>
            <w:tcBorders>
              <w:top w:val="single" w:sz="4" w:space="0" w:color="auto"/>
              <w:left w:val="nil"/>
              <w:bottom w:val="single" w:sz="4" w:space="0" w:color="auto"/>
              <w:right w:val="single" w:sz="4" w:space="0" w:color="auto"/>
            </w:tcBorders>
            <w:vAlign w:val="center"/>
          </w:tcPr>
          <w:p w14:paraId="749AF748" w14:textId="4959F923" w:rsidR="00494D4B" w:rsidRPr="001074A1" w:rsidRDefault="12F4B78A" w:rsidP="12F4B78A">
            <w:pPr>
              <w:widowControl w:val="0"/>
              <w:spacing w:after="0"/>
              <w:jc w:val="right"/>
              <w:rPr>
                <w:rFonts w:ascii="Times New Roman" w:eastAsia="Times New Roman" w:hAnsi="Times New Roman" w:cs="Times New Roman"/>
                <w:b/>
                <w:bCs/>
                <w:lang w:eastAsia="hu-HU"/>
              </w:rPr>
            </w:pPr>
            <w:r w:rsidRPr="12F4B78A">
              <w:rPr>
                <w:rFonts w:ascii="Times New Roman" w:eastAsia="Times New Roman" w:hAnsi="Times New Roman" w:cs="Times New Roman"/>
                <w:b/>
                <w:bCs/>
                <w:lang w:eastAsia="hu-HU"/>
              </w:rPr>
              <w:t>831,5</w:t>
            </w:r>
          </w:p>
        </w:tc>
        <w:tc>
          <w:tcPr>
            <w:tcW w:w="992" w:type="dxa"/>
            <w:tcBorders>
              <w:top w:val="single" w:sz="4" w:space="0" w:color="auto"/>
              <w:left w:val="nil"/>
              <w:bottom w:val="single" w:sz="4" w:space="0" w:color="auto"/>
              <w:right w:val="single" w:sz="4" w:space="0" w:color="auto"/>
            </w:tcBorders>
            <w:noWrap/>
            <w:vAlign w:val="center"/>
          </w:tcPr>
          <w:p w14:paraId="780D698F" w14:textId="52D826EB" w:rsidR="00494D4B" w:rsidRPr="001074A1" w:rsidRDefault="12F4B78A" w:rsidP="12F4B78A">
            <w:pPr>
              <w:widowControl w:val="0"/>
              <w:spacing w:after="0"/>
              <w:jc w:val="right"/>
              <w:rPr>
                <w:rFonts w:ascii="Times New Roman" w:eastAsia="Times New Roman" w:hAnsi="Times New Roman" w:cs="Times New Roman"/>
                <w:b/>
                <w:bCs/>
                <w:lang w:eastAsia="hu-HU"/>
              </w:rPr>
            </w:pPr>
            <w:r w:rsidRPr="12F4B78A">
              <w:rPr>
                <w:rFonts w:ascii="Times New Roman" w:eastAsia="Times New Roman" w:hAnsi="Times New Roman" w:cs="Times New Roman"/>
                <w:b/>
                <w:bCs/>
                <w:lang w:eastAsia="hu-HU"/>
              </w:rPr>
              <w:t>57,2</w:t>
            </w:r>
          </w:p>
        </w:tc>
        <w:tc>
          <w:tcPr>
            <w:tcW w:w="993" w:type="dxa"/>
            <w:tcBorders>
              <w:top w:val="single" w:sz="4" w:space="0" w:color="auto"/>
              <w:left w:val="nil"/>
              <w:bottom w:val="single" w:sz="4" w:space="0" w:color="auto"/>
              <w:right w:val="single" w:sz="4" w:space="0" w:color="auto"/>
            </w:tcBorders>
            <w:noWrap/>
            <w:vAlign w:val="center"/>
          </w:tcPr>
          <w:p w14:paraId="35977C13" w14:textId="213A40E4" w:rsidR="00494D4B" w:rsidRPr="001074A1" w:rsidRDefault="12F4B78A" w:rsidP="12F4B78A">
            <w:pPr>
              <w:widowControl w:val="0"/>
              <w:spacing w:after="0"/>
              <w:jc w:val="right"/>
              <w:rPr>
                <w:rFonts w:ascii="Times New Roman" w:eastAsia="Times New Roman" w:hAnsi="Times New Roman" w:cs="Times New Roman"/>
                <w:b/>
                <w:bCs/>
                <w:lang w:eastAsia="hu-HU"/>
              </w:rPr>
            </w:pPr>
            <w:r w:rsidRPr="12F4B78A">
              <w:rPr>
                <w:rFonts w:ascii="Times New Roman" w:eastAsia="Times New Roman" w:hAnsi="Times New Roman" w:cs="Times New Roman"/>
                <w:b/>
                <w:bCs/>
                <w:lang w:eastAsia="hu-HU"/>
              </w:rPr>
              <w:t>107,4</w:t>
            </w:r>
          </w:p>
        </w:tc>
      </w:tr>
      <w:tr w:rsidR="00494D4B" w:rsidRPr="00377D59" w14:paraId="07715518" w14:textId="77777777" w:rsidTr="12F4B78A">
        <w:trPr>
          <w:trHeight w:val="284"/>
        </w:trPr>
        <w:tc>
          <w:tcPr>
            <w:tcW w:w="4248" w:type="dxa"/>
            <w:tcBorders>
              <w:top w:val="nil"/>
              <w:left w:val="single" w:sz="4" w:space="0" w:color="auto"/>
              <w:bottom w:val="single" w:sz="4" w:space="0" w:color="auto"/>
              <w:right w:val="single" w:sz="4" w:space="0" w:color="auto"/>
            </w:tcBorders>
            <w:noWrap/>
            <w:vAlign w:val="center"/>
            <w:hideMark/>
          </w:tcPr>
          <w:p w14:paraId="31DF5B0B" w14:textId="77777777" w:rsidR="00494D4B" w:rsidRPr="003D21B5" w:rsidRDefault="7C285CBA" w:rsidP="7C285CBA">
            <w:pPr>
              <w:widowControl w:val="0"/>
              <w:spacing w:after="0" w:line="240" w:lineRule="auto"/>
              <w:ind w:firstLine="285"/>
              <w:rPr>
                <w:rFonts w:ascii="Times New Roman" w:eastAsia="Times New Roman" w:hAnsi="Times New Roman" w:cs="Times New Roman"/>
                <w:i/>
                <w:iCs/>
                <w:lang w:eastAsia="hu-HU"/>
              </w:rPr>
            </w:pPr>
            <w:r w:rsidRPr="7C285CBA">
              <w:rPr>
                <w:rFonts w:ascii="Times New Roman" w:eastAsia="Times New Roman" w:hAnsi="Times New Roman" w:cs="Times New Roman"/>
                <w:i/>
                <w:iCs/>
                <w:lang w:eastAsia="hu-HU"/>
              </w:rPr>
              <w:t>Ebből:</w:t>
            </w:r>
          </w:p>
        </w:tc>
        <w:tc>
          <w:tcPr>
            <w:tcW w:w="4470" w:type="dxa"/>
            <w:gridSpan w:val="4"/>
            <w:tcBorders>
              <w:top w:val="single" w:sz="4" w:space="0" w:color="auto"/>
              <w:left w:val="nil"/>
              <w:bottom w:val="single" w:sz="4" w:space="0" w:color="auto"/>
              <w:right w:val="single" w:sz="4" w:space="0" w:color="auto"/>
            </w:tcBorders>
            <w:vAlign w:val="center"/>
          </w:tcPr>
          <w:p w14:paraId="60B47ECC" w14:textId="007D4839" w:rsidR="00494D4B" w:rsidRPr="003D21B5" w:rsidRDefault="7C285CBA" w:rsidP="7C285CBA">
            <w:pPr>
              <w:widowControl w:val="0"/>
              <w:spacing w:after="0" w:line="240" w:lineRule="auto"/>
              <w:jc w:val="right"/>
              <w:rPr>
                <w:rFonts w:ascii="Times New Roman" w:eastAsia="Times New Roman" w:hAnsi="Times New Roman" w:cs="Times New Roman"/>
                <w:lang w:eastAsia="hu-HU"/>
              </w:rPr>
            </w:pPr>
            <w:r w:rsidRPr="7C285CBA">
              <w:rPr>
                <w:rFonts w:ascii="Times New Roman" w:eastAsia="Times New Roman" w:hAnsi="Times New Roman" w:cs="Times New Roman"/>
                <w:lang w:eastAsia="hu-HU"/>
              </w:rPr>
              <w:t> </w:t>
            </w:r>
          </w:p>
        </w:tc>
      </w:tr>
      <w:tr w:rsidR="00494D4B" w:rsidRPr="00377D59" w14:paraId="72B9616A" w14:textId="77777777" w:rsidTr="12F4B78A">
        <w:trPr>
          <w:trHeight w:val="340"/>
        </w:trPr>
        <w:tc>
          <w:tcPr>
            <w:tcW w:w="4248" w:type="dxa"/>
            <w:tcBorders>
              <w:top w:val="nil"/>
              <w:left w:val="single" w:sz="4" w:space="0" w:color="auto"/>
              <w:bottom w:val="single" w:sz="4" w:space="0" w:color="auto"/>
              <w:right w:val="single" w:sz="4" w:space="0" w:color="auto"/>
            </w:tcBorders>
            <w:noWrap/>
            <w:vAlign w:val="center"/>
            <w:hideMark/>
          </w:tcPr>
          <w:p w14:paraId="21DA2C4C" w14:textId="77777777" w:rsidR="00494D4B" w:rsidRPr="003D21B5" w:rsidRDefault="7C285CBA" w:rsidP="7C285CBA">
            <w:pPr>
              <w:widowControl w:val="0"/>
              <w:spacing w:after="0" w:line="240" w:lineRule="auto"/>
              <w:ind w:firstLine="67"/>
              <w:rPr>
                <w:rFonts w:ascii="Times New Roman" w:eastAsia="Times New Roman" w:hAnsi="Times New Roman" w:cs="Times New Roman"/>
                <w:lang w:eastAsia="hu-HU"/>
              </w:rPr>
            </w:pPr>
            <w:r w:rsidRPr="7C285CBA">
              <w:rPr>
                <w:rFonts w:ascii="Times New Roman" w:eastAsia="Times New Roman" w:hAnsi="Times New Roman" w:cs="Times New Roman"/>
                <w:lang w:eastAsia="hu-HU"/>
              </w:rPr>
              <w:t>Rokkantsági, rehabilitációs ellátások</w:t>
            </w:r>
          </w:p>
        </w:tc>
        <w:tc>
          <w:tcPr>
            <w:tcW w:w="1276" w:type="dxa"/>
            <w:tcBorders>
              <w:top w:val="single" w:sz="4" w:space="0" w:color="auto"/>
              <w:left w:val="nil"/>
              <w:bottom w:val="single" w:sz="4" w:space="0" w:color="auto"/>
              <w:right w:val="single" w:sz="4" w:space="0" w:color="auto"/>
            </w:tcBorders>
            <w:noWrap/>
            <w:vAlign w:val="center"/>
          </w:tcPr>
          <w:p w14:paraId="49E22A63" w14:textId="32A55975"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276,0</w:t>
            </w:r>
          </w:p>
        </w:tc>
        <w:tc>
          <w:tcPr>
            <w:tcW w:w="1209" w:type="dxa"/>
            <w:tcBorders>
              <w:top w:val="single" w:sz="4" w:space="0" w:color="auto"/>
              <w:left w:val="nil"/>
              <w:bottom w:val="single" w:sz="4" w:space="0" w:color="auto"/>
              <w:right w:val="single" w:sz="4" w:space="0" w:color="auto"/>
            </w:tcBorders>
            <w:noWrap/>
            <w:vAlign w:val="center"/>
          </w:tcPr>
          <w:p w14:paraId="0480FC73" w14:textId="71F72DCF"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289,8</w:t>
            </w:r>
          </w:p>
        </w:tc>
        <w:tc>
          <w:tcPr>
            <w:tcW w:w="992" w:type="dxa"/>
            <w:tcBorders>
              <w:top w:val="single" w:sz="4" w:space="0" w:color="auto"/>
              <w:left w:val="nil"/>
              <w:bottom w:val="single" w:sz="4" w:space="0" w:color="auto"/>
              <w:right w:val="single" w:sz="4" w:space="0" w:color="auto"/>
            </w:tcBorders>
            <w:noWrap/>
            <w:vAlign w:val="center"/>
          </w:tcPr>
          <w:p w14:paraId="63616B24" w14:textId="46716889"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13,8</w:t>
            </w:r>
          </w:p>
        </w:tc>
        <w:tc>
          <w:tcPr>
            <w:tcW w:w="993" w:type="dxa"/>
            <w:tcBorders>
              <w:top w:val="single" w:sz="4" w:space="0" w:color="auto"/>
              <w:left w:val="nil"/>
              <w:bottom w:val="single" w:sz="4" w:space="0" w:color="auto"/>
              <w:right w:val="single" w:sz="4" w:space="0" w:color="auto"/>
            </w:tcBorders>
            <w:noWrap/>
            <w:vAlign w:val="center"/>
          </w:tcPr>
          <w:p w14:paraId="2B583A17" w14:textId="31DB0B6C"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105,0</w:t>
            </w:r>
          </w:p>
        </w:tc>
      </w:tr>
      <w:tr w:rsidR="00494D4B" w:rsidRPr="00377D59" w14:paraId="778FD915" w14:textId="77777777" w:rsidTr="12F4B78A">
        <w:trPr>
          <w:trHeight w:val="340"/>
        </w:trPr>
        <w:tc>
          <w:tcPr>
            <w:tcW w:w="4248" w:type="dxa"/>
            <w:tcBorders>
              <w:top w:val="nil"/>
              <w:left w:val="single" w:sz="4" w:space="0" w:color="auto"/>
              <w:bottom w:val="single" w:sz="4" w:space="0" w:color="auto"/>
              <w:right w:val="single" w:sz="4" w:space="0" w:color="auto"/>
            </w:tcBorders>
            <w:noWrap/>
            <w:vAlign w:val="center"/>
            <w:hideMark/>
          </w:tcPr>
          <w:p w14:paraId="4CDB1046" w14:textId="4891E4FD" w:rsidR="00494D4B" w:rsidRPr="003D21B5" w:rsidRDefault="7C285CBA" w:rsidP="7C285CBA">
            <w:pPr>
              <w:widowControl w:val="0"/>
              <w:spacing w:after="0" w:line="240" w:lineRule="auto"/>
              <w:ind w:firstLine="67"/>
              <w:rPr>
                <w:rFonts w:ascii="Times New Roman" w:eastAsia="Times New Roman" w:hAnsi="Times New Roman" w:cs="Times New Roman"/>
                <w:lang w:eastAsia="hu-HU"/>
              </w:rPr>
            </w:pPr>
            <w:r w:rsidRPr="7C285CBA">
              <w:rPr>
                <w:rFonts w:ascii="Times New Roman" w:eastAsia="Times New Roman" w:hAnsi="Times New Roman" w:cs="Times New Roman"/>
                <w:lang w:eastAsia="hu-HU"/>
              </w:rPr>
              <w:t>Gyermekgondozási díj és örökbefogadói díj</w:t>
            </w:r>
          </w:p>
        </w:tc>
        <w:tc>
          <w:tcPr>
            <w:tcW w:w="1276" w:type="dxa"/>
            <w:tcBorders>
              <w:top w:val="single" w:sz="4" w:space="0" w:color="auto"/>
              <w:left w:val="nil"/>
              <w:bottom w:val="single" w:sz="4" w:space="0" w:color="auto"/>
              <w:right w:val="single" w:sz="4" w:space="0" w:color="auto"/>
            </w:tcBorders>
            <w:noWrap/>
            <w:vAlign w:val="center"/>
          </w:tcPr>
          <w:p w14:paraId="0B0C3582" w14:textId="341249D5"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250,7</w:t>
            </w:r>
          </w:p>
        </w:tc>
        <w:tc>
          <w:tcPr>
            <w:tcW w:w="1209" w:type="dxa"/>
            <w:tcBorders>
              <w:top w:val="single" w:sz="4" w:space="0" w:color="auto"/>
              <w:left w:val="nil"/>
              <w:bottom w:val="single" w:sz="4" w:space="0" w:color="auto"/>
              <w:right w:val="single" w:sz="4" w:space="0" w:color="auto"/>
            </w:tcBorders>
            <w:noWrap/>
            <w:vAlign w:val="center"/>
          </w:tcPr>
          <w:p w14:paraId="6E6D7B2A" w14:textId="1BB77F8B"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265,2</w:t>
            </w:r>
          </w:p>
        </w:tc>
        <w:tc>
          <w:tcPr>
            <w:tcW w:w="992" w:type="dxa"/>
            <w:tcBorders>
              <w:top w:val="single" w:sz="4" w:space="0" w:color="auto"/>
              <w:left w:val="nil"/>
              <w:bottom w:val="single" w:sz="4" w:space="0" w:color="auto"/>
              <w:right w:val="single" w:sz="4" w:space="0" w:color="auto"/>
            </w:tcBorders>
            <w:noWrap/>
            <w:vAlign w:val="center"/>
          </w:tcPr>
          <w:p w14:paraId="791AEA46" w14:textId="29145239"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14,5</w:t>
            </w:r>
          </w:p>
        </w:tc>
        <w:tc>
          <w:tcPr>
            <w:tcW w:w="993" w:type="dxa"/>
            <w:tcBorders>
              <w:top w:val="single" w:sz="4" w:space="0" w:color="auto"/>
              <w:left w:val="nil"/>
              <w:bottom w:val="single" w:sz="4" w:space="0" w:color="auto"/>
              <w:right w:val="single" w:sz="4" w:space="0" w:color="auto"/>
            </w:tcBorders>
            <w:noWrap/>
            <w:vAlign w:val="center"/>
          </w:tcPr>
          <w:p w14:paraId="189A6E8D" w14:textId="3B520C1F"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105,8</w:t>
            </w:r>
          </w:p>
        </w:tc>
      </w:tr>
      <w:tr w:rsidR="00494D4B" w:rsidRPr="00377D59" w14:paraId="7D62EFFD" w14:textId="77777777" w:rsidTr="12F4B78A">
        <w:trPr>
          <w:trHeight w:val="34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87EDDE" w14:textId="77777777" w:rsidR="00494D4B" w:rsidRPr="003D21B5" w:rsidRDefault="7C285CBA" w:rsidP="7C285CBA">
            <w:pPr>
              <w:widowControl w:val="0"/>
              <w:spacing w:after="0" w:line="240" w:lineRule="auto"/>
              <w:ind w:firstLine="67"/>
              <w:rPr>
                <w:rFonts w:ascii="Times New Roman" w:eastAsia="Times New Roman" w:hAnsi="Times New Roman" w:cs="Times New Roman"/>
                <w:lang w:eastAsia="hu-HU"/>
              </w:rPr>
            </w:pPr>
            <w:r w:rsidRPr="7C285CBA">
              <w:rPr>
                <w:rFonts w:ascii="Times New Roman" w:eastAsia="Times New Roman" w:hAnsi="Times New Roman" w:cs="Times New Roman"/>
                <w:lang w:eastAsia="hu-HU"/>
              </w:rPr>
              <w:t>Táppénz</w:t>
            </w:r>
          </w:p>
        </w:tc>
        <w:tc>
          <w:tcPr>
            <w:tcW w:w="1276" w:type="dxa"/>
            <w:tcBorders>
              <w:top w:val="single" w:sz="4" w:space="0" w:color="auto"/>
              <w:left w:val="nil"/>
              <w:bottom w:val="single" w:sz="4" w:space="0" w:color="auto"/>
              <w:right w:val="single" w:sz="4" w:space="0" w:color="auto"/>
            </w:tcBorders>
            <w:noWrap/>
            <w:vAlign w:val="center"/>
          </w:tcPr>
          <w:p w14:paraId="4DBD4593" w14:textId="3CA7481F"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135,8</w:t>
            </w:r>
          </w:p>
        </w:tc>
        <w:tc>
          <w:tcPr>
            <w:tcW w:w="1209" w:type="dxa"/>
            <w:tcBorders>
              <w:top w:val="single" w:sz="4" w:space="0" w:color="auto"/>
              <w:left w:val="nil"/>
              <w:bottom w:val="single" w:sz="4" w:space="0" w:color="auto"/>
              <w:right w:val="single" w:sz="4" w:space="0" w:color="auto"/>
            </w:tcBorders>
            <w:noWrap/>
            <w:vAlign w:val="center"/>
          </w:tcPr>
          <w:p w14:paraId="7122EFC4" w14:textId="69A4CA71"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157,6</w:t>
            </w:r>
          </w:p>
        </w:tc>
        <w:tc>
          <w:tcPr>
            <w:tcW w:w="992" w:type="dxa"/>
            <w:tcBorders>
              <w:top w:val="single" w:sz="4" w:space="0" w:color="auto"/>
              <w:left w:val="nil"/>
              <w:bottom w:val="single" w:sz="4" w:space="0" w:color="auto"/>
              <w:right w:val="single" w:sz="4" w:space="0" w:color="auto"/>
            </w:tcBorders>
            <w:noWrap/>
            <w:vAlign w:val="center"/>
          </w:tcPr>
          <w:p w14:paraId="64552A76" w14:textId="0BA32A6E"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21,8</w:t>
            </w:r>
          </w:p>
        </w:tc>
        <w:tc>
          <w:tcPr>
            <w:tcW w:w="993" w:type="dxa"/>
            <w:tcBorders>
              <w:top w:val="single" w:sz="4" w:space="0" w:color="auto"/>
              <w:left w:val="nil"/>
              <w:bottom w:val="single" w:sz="4" w:space="0" w:color="auto"/>
              <w:right w:val="single" w:sz="4" w:space="0" w:color="auto"/>
            </w:tcBorders>
            <w:noWrap/>
            <w:vAlign w:val="center"/>
          </w:tcPr>
          <w:p w14:paraId="324ADF3D" w14:textId="55A7CB97" w:rsidR="00494D4B" w:rsidRPr="003D21B5" w:rsidRDefault="12F4B78A" w:rsidP="12F4B78A">
            <w:pPr>
              <w:widowControl w:val="0"/>
              <w:spacing w:after="0"/>
              <w:jc w:val="right"/>
              <w:rPr>
                <w:rFonts w:ascii="Times New Roman" w:eastAsia="Times New Roman" w:hAnsi="Times New Roman" w:cs="Times New Roman"/>
                <w:lang w:eastAsia="hu-HU"/>
              </w:rPr>
            </w:pPr>
            <w:r w:rsidRPr="12F4B78A">
              <w:rPr>
                <w:rFonts w:ascii="Times New Roman" w:eastAsia="Times New Roman" w:hAnsi="Times New Roman" w:cs="Times New Roman"/>
                <w:lang w:eastAsia="hu-HU"/>
              </w:rPr>
              <w:t>116,1</w:t>
            </w:r>
          </w:p>
        </w:tc>
      </w:tr>
    </w:tbl>
    <w:p w14:paraId="7F2895FE" w14:textId="13C30009" w:rsidR="001074A1" w:rsidRDefault="12F4B78A" w:rsidP="12F4B78A">
      <w:pPr>
        <w:widowControl w:val="0"/>
        <w:spacing w:before="240"/>
        <w:jc w:val="both"/>
        <w:rPr>
          <w:rFonts w:ascii="Times New Roman" w:eastAsia="Times New Roman" w:hAnsi="Times New Roman" w:cs="Times New Roman"/>
          <w:sz w:val="26"/>
          <w:szCs w:val="26"/>
        </w:rPr>
      </w:pPr>
      <w:r w:rsidRPr="12F4B78A">
        <w:rPr>
          <w:rFonts w:ascii="Times New Roman" w:eastAsia="Times New Roman" w:hAnsi="Times New Roman" w:cs="Times New Roman"/>
          <w:sz w:val="26"/>
          <w:szCs w:val="26"/>
        </w:rPr>
        <w:t xml:space="preserve">A </w:t>
      </w:r>
      <w:r w:rsidRPr="12F4B78A">
        <w:rPr>
          <w:rFonts w:ascii="Times New Roman" w:eastAsia="Times New Roman" w:hAnsi="Times New Roman" w:cs="Times New Roman"/>
          <w:b/>
          <w:bCs/>
          <w:sz w:val="26"/>
          <w:szCs w:val="26"/>
        </w:rPr>
        <w:t>gyógyító-megelőző ellátásokra</w:t>
      </w:r>
      <w:r w:rsidRPr="12F4B78A">
        <w:rPr>
          <w:rFonts w:ascii="Times New Roman" w:eastAsia="Times New Roman" w:hAnsi="Times New Roman" w:cs="Times New Roman"/>
          <w:sz w:val="26"/>
          <w:szCs w:val="26"/>
        </w:rPr>
        <w:t xml:space="preserve"> fordított kiadás 2025 első nyolc hónapjában 1969,5 milliárd forintot tett ki a 2024 azonos időszakában felmerülő 1781,6 milliárd forint összegű kiadással szemben.</w:t>
      </w:r>
    </w:p>
    <w:p w14:paraId="63C09739" w14:textId="78869BA2" w:rsidR="13E847AC" w:rsidRDefault="7C285CBA" w:rsidP="13E847AC">
      <w:pPr>
        <w:jc w:val="both"/>
      </w:pPr>
      <w:r w:rsidRPr="7C285CBA">
        <w:rPr>
          <w:rFonts w:ascii="Times New Roman" w:eastAsia="Times New Roman" w:hAnsi="Times New Roman" w:cs="Times New Roman"/>
          <w:sz w:val="26"/>
          <w:szCs w:val="26"/>
        </w:rPr>
        <w:lastRenderedPageBreak/>
        <w:t>Az előző évhez viszonyított magasabb összegű kiadás – többek között – az egészségügyi ágazati előmeneteli szabályok hatálya alá tartozó egészségügyi szakdolgozókat és egészségügyben dolgozókat 2024. március 1-jétől megillető, átlagosan 20%-os, valamint az alapellátásban dolgozó egészségügyi dolgozók azonos mértékű béremelésével kapcsolatosan jelentkező, 2025. évre áthúzódó hatás</w:t>
      </w:r>
      <w:r w:rsidR="00391ACC">
        <w:rPr>
          <w:rFonts w:ascii="Times New Roman" w:eastAsia="Times New Roman" w:hAnsi="Times New Roman" w:cs="Times New Roman"/>
          <w:sz w:val="26"/>
          <w:szCs w:val="26"/>
        </w:rPr>
        <w:t>á</w:t>
      </w:r>
      <w:r w:rsidRPr="7C285CBA">
        <w:rPr>
          <w:rFonts w:ascii="Times New Roman" w:eastAsia="Times New Roman" w:hAnsi="Times New Roman" w:cs="Times New Roman"/>
          <w:sz w:val="26"/>
          <w:szCs w:val="26"/>
        </w:rPr>
        <w:t>ból ered.</w:t>
      </w:r>
    </w:p>
    <w:p w14:paraId="32E93D9D" w14:textId="3481962E" w:rsidR="13E847AC" w:rsidRDefault="7BF38582" w:rsidP="13E847AC">
      <w:pPr>
        <w:jc w:val="both"/>
      </w:pPr>
      <w:r w:rsidRPr="7BF38582">
        <w:rPr>
          <w:rFonts w:ascii="Times New Roman" w:eastAsia="Times New Roman" w:hAnsi="Times New Roman" w:cs="Times New Roman"/>
          <w:sz w:val="26"/>
          <w:szCs w:val="26"/>
        </w:rPr>
        <w:t>Az előző évhez viszonyított növekedést az is magyarázza, hogy a fekvő- és járóbeteg-szakellátás és laboratóriumi ellátás teljesítményegységeinek forintértékéről szóló új BM</w:t>
      </w:r>
      <w:r w:rsidR="00A23458">
        <w:rPr>
          <w:rFonts w:ascii="Times New Roman" w:eastAsia="Times New Roman" w:hAnsi="Times New Roman" w:cs="Times New Roman"/>
          <w:sz w:val="26"/>
          <w:szCs w:val="26"/>
        </w:rPr>
        <w:noBreakHyphen/>
      </w:r>
      <w:r w:rsidRPr="7BF38582">
        <w:rPr>
          <w:rFonts w:ascii="Times New Roman" w:eastAsia="Times New Roman" w:hAnsi="Times New Roman" w:cs="Times New Roman"/>
          <w:sz w:val="26"/>
          <w:szCs w:val="26"/>
        </w:rPr>
        <w:t>NGM együttes közlemény, illetve a Nemzeti Dialízis Központ létrehozásával kapcsolatos feladatokról és egyéb, az egészségügyi szolgáltatókat segítő finanszírozási intézkedésekről szóló 66/2025. (IV. 4.) Korm. rendelet, valamint az egészségügyi ágazati szakmai képzésekkel és az egészségügyi szolgáltatók finanszírozásával összefüggő miniszteri rendeletek módosításáról szóló 10/2025. (IV. 4.) BM rendelet alapján az Egészségbiztosítási Alap Gyógyító-megelőző ellátás alcímének 150,0</w:t>
      </w:r>
      <w:r w:rsidR="006F326F">
        <w:rPr>
          <w:rFonts w:ascii="Times New Roman" w:eastAsia="Times New Roman" w:hAnsi="Times New Roman" w:cs="Times New Roman"/>
          <w:sz w:val="26"/>
          <w:szCs w:val="26"/>
        </w:rPr>
        <w:t> </w:t>
      </w:r>
      <w:r w:rsidRPr="7BF38582">
        <w:rPr>
          <w:rFonts w:ascii="Times New Roman" w:eastAsia="Times New Roman" w:hAnsi="Times New Roman" w:cs="Times New Roman"/>
          <w:sz w:val="26"/>
          <w:szCs w:val="26"/>
        </w:rPr>
        <w:t>milliárd</w:t>
      </w:r>
      <w:r w:rsidR="006F326F">
        <w:rPr>
          <w:rFonts w:ascii="Times New Roman" w:eastAsia="Times New Roman" w:hAnsi="Times New Roman" w:cs="Times New Roman"/>
          <w:sz w:val="26"/>
          <w:szCs w:val="26"/>
        </w:rPr>
        <w:t> forin</w:t>
      </w:r>
      <w:r w:rsidRPr="7BF38582">
        <w:rPr>
          <w:rFonts w:ascii="Times New Roman" w:eastAsia="Times New Roman" w:hAnsi="Times New Roman" w:cs="Times New Roman"/>
          <w:sz w:val="26"/>
          <w:szCs w:val="26"/>
        </w:rPr>
        <w:t>t összegű, az Egészségügyi szolgáltatók kiegészítő finanszírozása megnevezésű jogcímcsoport felhasználásával 2025. januártól megtörténik a közfinanszírozásban részesülő egészségügyi szolgáltatók kifizetése.</w:t>
      </w:r>
    </w:p>
    <w:p w14:paraId="69E4940B" w14:textId="1215373A" w:rsidR="001074A1" w:rsidRDefault="12F4B78A" w:rsidP="12F4B78A">
      <w:pPr>
        <w:jc w:val="both"/>
        <w:rPr>
          <w:rFonts w:ascii="Times New Roman" w:eastAsia="Times New Roman" w:hAnsi="Times New Roman" w:cs="Times New Roman"/>
          <w:sz w:val="26"/>
          <w:szCs w:val="26"/>
        </w:rPr>
      </w:pPr>
      <w:r w:rsidRPr="12F4B78A">
        <w:rPr>
          <w:rFonts w:ascii="Times New Roman" w:eastAsia="Times New Roman" w:hAnsi="Times New Roman" w:cs="Times New Roman"/>
          <w:b/>
          <w:bCs/>
          <w:sz w:val="26"/>
          <w:szCs w:val="26"/>
        </w:rPr>
        <w:t>Gyógyszertámogatásra</w:t>
      </w:r>
      <w:r w:rsidRPr="12F4B78A">
        <w:rPr>
          <w:rFonts w:ascii="Times New Roman" w:eastAsia="Times New Roman" w:hAnsi="Times New Roman" w:cs="Times New Roman"/>
          <w:sz w:val="26"/>
          <w:szCs w:val="26"/>
        </w:rPr>
        <w:t xml:space="preserve"> 2025 augusztus végéig 388,1 milliárd forint került kifizetésre, amely 27,6 milliárd forinttal magasabb az előző év azonos időszakában kifizetett összegnél.</w:t>
      </w:r>
    </w:p>
    <w:p w14:paraId="7B768C24" w14:textId="4F783F64" w:rsidR="00B155FE" w:rsidRPr="004966FE" w:rsidRDefault="7C285CBA" w:rsidP="7C285CBA">
      <w:pPr>
        <w:keepNext/>
        <w:pageBreakBefore/>
        <w:numPr>
          <w:ilvl w:val="0"/>
          <w:numId w:val="3"/>
        </w:numPr>
        <w:spacing w:after="120" w:line="240" w:lineRule="auto"/>
        <w:ind w:left="714" w:hanging="357"/>
        <w:jc w:val="both"/>
        <w:outlineLvl w:val="2"/>
        <w:rPr>
          <w:rFonts w:ascii="Times New Roman" w:eastAsia="Times New Roman" w:hAnsi="Times New Roman" w:cs="Times New Roman"/>
          <w:b/>
          <w:bCs/>
          <w:smallCaps/>
          <w:sz w:val="28"/>
          <w:szCs w:val="28"/>
          <w:lang w:eastAsia="hu-HU"/>
        </w:rPr>
      </w:pPr>
      <w:r w:rsidRPr="7C285CBA">
        <w:rPr>
          <w:rFonts w:ascii="Times New Roman" w:eastAsia="Times New Roman" w:hAnsi="Times New Roman" w:cs="Times New Roman"/>
          <w:b/>
          <w:bCs/>
          <w:smallCaps/>
          <w:sz w:val="28"/>
          <w:szCs w:val="28"/>
          <w:lang w:eastAsia="hu-HU"/>
        </w:rPr>
        <w:lastRenderedPageBreak/>
        <w:t>A költségvetési szervek és fejezeti kezelésű előirányzatok alakulása</w:t>
      </w:r>
    </w:p>
    <w:p w14:paraId="0CFDE309" w14:textId="1E921929" w:rsidR="00266768" w:rsidRPr="00920B37" w:rsidRDefault="7C285CBA" w:rsidP="7C285CBA">
      <w:pPr>
        <w:spacing w:before="240"/>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w:t>
      </w:r>
      <w:r w:rsidRPr="7C285CBA">
        <w:rPr>
          <w:rFonts w:ascii="Times New Roman" w:eastAsia="Times New Roman" w:hAnsi="Times New Roman" w:cs="Times New Roman"/>
          <w:b/>
          <w:bCs/>
          <w:sz w:val="26"/>
          <w:szCs w:val="26"/>
          <w:lang w:eastAsia="hu-HU"/>
        </w:rPr>
        <w:t>költségvetési szervek bevételei</w:t>
      </w:r>
      <w:r w:rsidRPr="7C285CBA">
        <w:rPr>
          <w:rFonts w:ascii="Times New Roman" w:eastAsia="Times New Roman" w:hAnsi="Times New Roman" w:cs="Times New Roman"/>
          <w:sz w:val="26"/>
          <w:szCs w:val="26"/>
          <w:lang w:eastAsia="hu-HU"/>
        </w:rPr>
        <w:t xml:space="preserve"> </w:t>
      </w:r>
      <w:r w:rsidR="00D33920" w:rsidRPr="00D33920">
        <w:rPr>
          <w:rFonts w:ascii="Times New Roman" w:eastAsia="Times New Roman" w:hAnsi="Times New Roman" w:cs="Times New Roman"/>
          <w:sz w:val="26"/>
          <w:szCs w:val="26"/>
          <w:lang w:eastAsia="hu-HU"/>
        </w:rPr>
        <w:t>2025 első nyolc hónapjában 2124,2 milliárd forintot tettek ki, amely 16,3%-kal magasabb az előző év azonos időszakának bevételeihez képest. Az intézmények bevételei közül 964,4 milliárd forintot tett ki a Nemzeti Egészségbiztosítási Alapkezelő által az egészségügyi intézményeknek utalt támogatás</w:t>
      </w:r>
      <w:r w:rsidRPr="7C285CBA">
        <w:rPr>
          <w:rFonts w:ascii="Times New Roman" w:eastAsia="Times New Roman" w:hAnsi="Times New Roman" w:cs="Times New Roman"/>
          <w:sz w:val="26"/>
          <w:szCs w:val="26"/>
          <w:lang w:eastAsia="hu-HU"/>
        </w:rPr>
        <w:t>.</w:t>
      </w:r>
    </w:p>
    <w:p w14:paraId="02FB9B34" w14:textId="5FB7C709" w:rsidR="00266768" w:rsidRPr="007B6DF2" w:rsidRDefault="7C285CBA" w:rsidP="7C285CBA">
      <w:pPr>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w:t>
      </w:r>
      <w:r w:rsidRPr="7C285CBA">
        <w:rPr>
          <w:rFonts w:ascii="Times New Roman" w:eastAsia="Times New Roman" w:hAnsi="Times New Roman" w:cs="Times New Roman"/>
          <w:b/>
          <w:bCs/>
          <w:sz w:val="26"/>
          <w:szCs w:val="26"/>
          <w:lang w:eastAsia="hu-HU"/>
        </w:rPr>
        <w:t>szakmai fejezeti kezelésű előirányzatok bevételei</w:t>
      </w:r>
      <w:r w:rsidRPr="7C285CBA">
        <w:rPr>
          <w:rFonts w:ascii="Times New Roman" w:eastAsia="Times New Roman" w:hAnsi="Times New Roman" w:cs="Times New Roman"/>
          <w:sz w:val="26"/>
          <w:szCs w:val="26"/>
          <w:lang w:eastAsia="hu-HU"/>
        </w:rPr>
        <w:t xml:space="preserve"> </w:t>
      </w:r>
      <w:r w:rsidR="00D33920" w:rsidRPr="00D33920">
        <w:rPr>
          <w:rFonts w:ascii="Times New Roman" w:eastAsia="Times New Roman" w:hAnsi="Times New Roman" w:cs="Times New Roman"/>
          <w:sz w:val="26"/>
          <w:szCs w:val="26"/>
          <w:lang w:eastAsia="hu-HU"/>
        </w:rPr>
        <w:t>2025 első nyolc hónapjában 327,9</w:t>
      </w:r>
      <w:r w:rsidR="00D33920">
        <w:rPr>
          <w:rFonts w:ascii="Times New Roman" w:eastAsia="Times New Roman" w:hAnsi="Times New Roman" w:cs="Times New Roman"/>
          <w:sz w:val="26"/>
          <w:szCs w:val="26"/>
          <w:lang w:eastAsia="hu-HU"/>
        </w:rPr>
        <w:t> </w:t>
      </w:r>
      <w:r w:rsidR="00D33920" w:rsidRPr="00D33920">
        <w:rPr>
          <w:rFonts w:ascii="Times New Roman" w:eastAsia="Times New Roman" w:hAnsi="Times New Roman" w:cs="Times New Roman"/>
          <w:sz w:val="26"/>
          <w:szCs w:val="26"/>
          <w:lang w:eastAsia="hu-HU"/>
        </w:rPr>
        <w:t>milliárd forintot tettek ki, mely 0,7%-kal alacsonyabb az előző év azonos időszakának bevételéhez képest. A bevételek jelentős részét az „Alapok alapja GINOP pénzügyi eszközök” törvényi sorra befolyt összegek teszik ki, melyek nem uniós bevételként jóváírt tételek</w:t>
      </w:r>
      <w:r w:rsidRPr="7C285CBA">
        <w:rPr>
          <w:rFonts w:ascii="Times New Roman" w:eastAsia="Times New Roman" w:hAnsi="Times New Roman" w:cs="Times New Roman"/>
          <w:sz w:val="26"/>
          <w:szCs w:val="26"/>
          <w:lang w:eastAsia="hu-HU"/>
        </w:rPr>
        <w:t>.</w:t>
      </w:r>
    </w:p>
    <w:p w14:paraId="56786471" w14:textId="7B01712C" w:rsidR="00B63DA3" w:rsidRPr="004966FE" w:rsidRDefault="7C285CBA" w:rsidP="7C285CBA">
      <w:pPr>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w:t>
      </w:r>
      <w:r w:rsidR="00D33920" w:rsidRPr="00D33920">
        <w:rPr>
          <w:rFonts w:ascii="Times New Roman" w:hAnsi="Times New Roman" w:cs="Times New Roman"/>
          <w:sz w:val="26"/>
          <w:szCs w:val="26"/>
          <w:lang w:eastAsia="hu-HU"/>
        </w:rPr>
        <w:t>2025. év első nyolchavi, 2452,1 milliárd forint összegű bevételek megoszlását a</w:t>
      </w:r>
      <w:r w:rsidR="00D33920">
        <w:rPr>
          <w:rFonts w:ascii="Times New Roman" w:hAnsi="Times New Roman" w:cs="Times New Roman"/>
          <w:sz w:val="26"/>
          <w:szCs w:val="26"/>
          <w:lang w:eastAsia="hu-HU"/>
        </w:rPr>
        <w:t> </w:t>
      </w:r>
      <w:r w:rsidR="00D33920" w:rsidRPr="00D33920">
        <w:rPr>
          <w:rFonts w:ascii="Times New Roman" w:hAnsi="Times New Roman" w:cs="Times New Roman"/>
          <w:sz w:val="26"/>
          <w:szCs w:val="26"/>
          <w:lang w:eastAsia="hu-HU"/>
        </w:rPr>
        <w:t>következő grafikon szemlélteti</w:t>
      </w:r>
      <w:r w:rsidRPr="7C285CBA">
        <w:rPr>
          <w:rFonts w:ascii="Times New Roman" w:eastAsia="Times New Roman" w:hAnsi="Times New Roman" w:cs="Times New Roman"/>
          <w:sz w:val="26"/>
          <w:szCs w:val="26"/>
          <w:lang w:eastAsia="hu-HU"/>
        </w:rPr>
        <w:t>:</w:t>
      </w:r>
    </w:p>
    <w:p w14:paraId="576D18BB" w14:textId="157161CD" w:rsidR="00B056CC" w:rsidRPr="00377D59" w:rsidRDefault="00CE0C34" w:rsidP="00C2238F">
      <w:pPr>
        <w:spacing w:before="240" w:after="120"/>
        <w:jc w:val="center"/>
        <w:rPr>
          <w:rFonts w:ascii="Times New Roman" w:eastAsia="Times New Roman" w:hAnsi="Times New Roman" w:cs="Times New Roman"/>
          <w:b/>
          <w:sz w:val="26"/>
          <w:szCs w:val="26"/>
        </w:rPr>
      </w:pPr>
      <w:r>
        <w:rPr>
          <w:noProof/>
        </w:rPr>
        <w:drawing>
          <wp:inline distT="0" distB="0" distL="0" distR="0" wp14:anchorId="39C1BBAE" wp14:editId="1FB6B401">
            <wp:extent cx="5940425" cy="3300730"/>
            <wp:effectExtent l="0" t="0" r="3175" b="0"/>
            <wp:docPr id="136924602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46022" name=""/>
                    <pic:cNvPicPr/>
                  </pic:nvPicPr>
                  <pic:blipFill>
                    <a:blip r:embed="rId24"/>
                    <a:stretch>
                      <a:fillRect/>
                    </a:stretch>
                  </pic:blipFill>
                  <pic:spPr>
                    <a:xfrm>
                      <a:off x="0" y="0"/>
                      <a:ext cx="5940425" cy="3300730"/>
                    </a:xfrm>
                    <a:prstGeom prst="rect">
                      <a:avLst/>
                    </a:prstGeom>
                  </pic:spPr>
                </pic:pic>
              </a:graphicData>
            </a:graphic>
          </wp:inline>
        </w:drawing>
      </w:r>
    </w:p>
    <w:p w14:paraId="47C331B2" w14:textId="2DAE945E" w:rsidR="00266768" w:rsidRPr="00E56F21" w:rsidRDefault="7C285CBA" w:rsidP="7C285CBA">
      <w:pPr>
        <w:spacing w:before="240"/>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w:t>
      </w:r>
      <w:r w:rsidRPr="7C285CBA">
        <w:rPr>
          <w:rFonts w:ascii="Times New Roman" w:eastAsia="Times New Roman" w:hAnsi="Times New Roman" w:cs="Times New Roman"/>
          <w:b/>
          <w:bCs/>
          <w:sz w:val="26"/>
          <w:szCs w:val="26"/>
          <w:lang w:eastAsia="hu-HU"/>
        </w:rPr>
        <w:t>költségvetési szervek kiadásai</w:t>
      </w:r>
      <w:r w:rsidRPr="7C285CBA">
        <w:rPr>
          <w:rFonts w:ascii="Times New Roman" w:eastAsia="Times New Roman" w:hAnsi="Times New Roman" w:cs="Times New Roman"/>
          <w:sz w:val="26"/>
          <w:szCs w:val="26"/>
          <w:lang w:eastAsia="hu-HU"/>
        </w:rPr>
        <w:t xml:space="preserve"> </w:t>
      </w:r>
      <w:r w:rsidR="00D33920" w:rsidRPr="00D33920">
        <w:rPr>
          <w:rFonts w:ascii="Times New Roman" w:eastAsia="Times New Roman" w:hAnsi="Times New Roman" w:cs="Times New Roman"/>
          <w:sz w:val="26"/>
          <w:szCs w:val="26"/>
          <w:lang w:eastAsia="hu-HU"/>
        </w:rPr>
        <w:t>mérlegsoron 2025 első nyolc hónapjában 6101,3</w:t>
      </w:r>
      <w:r w:rsidR="00D33920">
        <w:rPr>
          <w:rFonts w:ascii="Times New Roman" w:eastAsia="Times New Roman" w:hAnsi="Times New Roman" w:cs="Times New Roman"/>
          <w:sz w:val="26"/>
          <w:szCs w:val="26"/>
          <w:lang w:eastAsia="hu-HU"/>
        </w:rPr>
        <w:t> </w:t>
      </w:r>
      <w:r w:rsidR="00D33920" w:rsidRPr="00D33920">
        <w:rPr>
          <w:rFonts w:ascii="Times New Roman" w:eastAsia="Times New Roman" w:hAnsi="Times New Roman" w:cs="Times New Roman"/>
          <w:sz w:val="26"/>
          <w:szCs w:val="26"/>
          <w:lang w:eastAsia="hu-HU"/>
        </w:rPr>
        <w:t>milliárd forint kiadás teljesült, mely 9,9%-kal magasabb az előző év azonos időszakának kiadásaihoz képest. A kiadásból 3483,2 milliárd forint a személyi juttatásokra és munkaadókat terhelő járulékokra kifizetett összeg</w:t>
      </w:r>
      <w:r w:rsidRPr="7C285CBA">
        <w:rPr>
          <w:rFonts w:ascii="Times New Roman" w:eastAsia="Times New Roman" w:hAnsi="Times New Roman" w:cs="Times New Roman"/>
          <w:sz w:val="26"/>
          <w:szCs w:val="26"/>
          <w:lang w:eastAsia="hu-HU"/>
        </w:rPr>
        <w:t>.</w:t>
      </w:r>
    </w:p>
    <w:p w14:paraId="690E18FB" w14:textId="1CB0B070" w:rsidR="0074788C" w:rsidRPr="004966FE" w:rsidRDefault="7C285CBA" w:rsidP="7C285CBA">
      <w:pPr>
        <w:spacing w:before="240"/>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w:t>
      </w:r>
      <w:r w:rsidRPr="7C285CBA">
        <w:rPr>
          <w:rFonts w:ascii="Times New Roman" w:eastAsia="Times New Roman" w:hAnsi="Times New Roman" w:cs="Times New Roman"/>
          <w:b/>
          <w:bCs/>
          <w:sz w:val="26"/>
          <w:szCs w:val="26"/>
          <w:lang w:eastAsia="hu-HU"/>
        </w:rPr>
        <w:t>szakmai fejezeti kezelésű előirányzatok kiadásai</w:t>
      </w:r>
      <w:r w:rsidRPr="7C285CBA">
        <w:rPr>
          <w:rFonts w:ascii="Times New Roman" w:eastAsia="Times New Roman" w:hAnsi="Times New Roman" w:cs="Times New Roman"/>
          <w:sz w:val="26"/>
          <w:szCs w:val="26"/>
          <w:lang w:eastAsia="hu-HU"/>
        </w:rPr>
        <w:t xml:space="preserve"> </w:t>
      </w:r>
      <w:r w:rsidR="00D33920" w:rsidRPr="00D33920">
        <w:rPr>
          <w:rFonts w:ascii="Times New Roman" w:eastAsia="Times New Roman" w:hAnsi="Times New Roman" w:cs="Times New Roman"/>
          <w:sz w:val="26"/>
          <w:szCs w:val="26"/>
          <w:lang w:eastAsia="hu-HU"/>
        </w:rPr>
        <w:t>mérlegsoron 2025 első nyolc</w:t>
      </w:r>
      <w:r w:rsidR="00796D93">
        <w:rPr>
          <w:rFonts w:ascii="Times New Roman" w:eastAsia="Times New Roman" w:hAnsi="Times New Roman" w:cs="Times New Roman"/>
          <w:sz w:val="26"/>
          <w:szCs w:val="26"/>
          <w:lang w:eastAsia="hu-HU"/>
        </w:rPr>
        <w:t> </w:t>
      </w:r>
      <w:r w:rsidR="00D33920" w:rsidRPr="00D33920">
        <w:rPr>
          <w:rFonts w:ascii="Times New Roman" w:eastAsia="Times New Roman" w:hAnsi="Times New Roman" w:cs="Times New Roman"/>
          <w:sz w:val="26"/>
          <w:szCs w:val="26"/>
          <w:lang w:eastAsia="hu-HU"/>
        </w:rPr>
        <w:t>hónapjában 3534</w:t>
      </w:r>
      <w:r w:rsidR="00796D93">
        <w:rPr>
          <w:rFonts w:ascii="Times New Roman" w:eastAsia="Times New Roman" w:hAnsi="Times New Roman" w:cs="Times New Roman"/>
          <w:sz w:val="26"/>
          <w:szCs w:val="26"/>
          <w:lang w:eastAsia="hu-HU"/>
        </w:rPr>
        <w:t>,0</w:t>
      </w:r>
      <w:r w:rsidR="00D33920" w:rsidRPr="00D33920">
        <w:rPr>
          <w:rFonts w:ascii="Times New Roman" w:eastAsia="Times New Roman" w:hAnsi="Times New Roman" w:cs="Times New Roman"/>
          <w:sz w:val="26"/>
          <w:szCs w:val="26"/>
          <w:lang w:eastAsia="hu-HU"/>
        </w:rPr>
        <w:t xml:space="preserve"> milliárd forint kiadás teljesült, mely 15,2%-kal magasabb, mint az előző év azonos időszakának kiadása. Ezen időszak teljesítéséből az alábbi kiadások emelhetők ki</w:t>
      </w:r>
      <w:r w:rsidRPr="7C285CBA">
        <w:rPr>
          <w:rFonts w:ascii="Times New Roman" w:eastAsia="Times New Roman" w:hAnsi="Times New Roman" w:cs="Times New Roman"/>
          <w:sz w:val="26"/>
          <w:szCs w:val="26"/>
          <w:lang w:eastAsia="hu-HU"/>
        </w:rPr>
        <w:t>:</w:t>
      </w:r>
    </w:p>
    <w:p w14:paraId="1F07A5C3" w14:textId="5CE13A09" w:rsidR="000E4F73" w:rsidRPr="00BE4BAC" w:rsidRDefault="5DC4A04A" w:rsidP="0E6BB81D">
      <w:pPr>
        <w:jc w:val="both"/>
        <w:rPr>
          <w:rFonts w:ascii="Times New Roman" w:eastAsia="Times New Roman" w:hAnsi="Times New Roman" w:cs="Times New Roman"/>
          <w:sz w:val="26"/>
          <w:szCs w:val="26"/>
          <w:lang w:eastAsia="hu-HU"/>
        </w:rPr>
      </w:pPr>
      <w:r w:rsidRPr="004966FE">
        <w:rPr>
          <w:rFonts w:ascii="Times New Roman" w:eastAsia="Times New Roman" w:hAnsi="Times New Roman" w:cs="Times New Roman"/>
          <w:color w:val="FF0000"/>
          <w:sz w:val="26"/>
          <w:szCs w:val="26"/>
          <w:lang w:eastAsia="hu-HU"/>
        </w:rPr>
        <w:br w:type="page"/>
      </w:r>
    </w:p>
    <w:p w14:paraId="036EE87C" w14:textId="77777777" w:rsidR="000E4F73" w:rsidRPr="00A61DE1" w:rsidRDefault="7C285CBA" w:rsidP="7C285CBA">
      <w:pPr>
        <w:spacing w:after="120" w:line="240" w:lineRule="auto"/>
        <w:jc w:val="right"/>
        <w:rPr>
          <w:rFonts w:ascii="Times New Roman" w:eastAsia="Times New Roman" w:hAnsi="Times New Roman" w:cs="Times New Roman"/>
          <w:i/>
          <w:iCs/>
          <w:sz w:val="20"/>
          <w:szCs w:val="20"/>
          <w:lang w:eastAsia="hu-HU"/>
        </w:rPr>
      </w:pPr>
      <w:r w:rsidRPr="7C285CBA">
        <w:rPr>
          <w:rFonts w:ascii="Times New Roman" w:eastAsia="Times New Roman" w:hAnsi="Times New Roman" w:cs="Times New Roman"/>
          <w:i/>
          <w:iCs/>
          <w:sz w:val="20"/>
          <w:szCs w:val="20"/>
          <w:lang w:eastAsia="hu-HU"/>
        </w:rPr>
        <w:lastRenderedPageBreak/>
        <w:t>milliárd forint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92"/>
        <w:gridCol w:w="851"/>
      </w:tblGrid>
      <w:tr w:rsidR="00D33920" w:rsidRPr="00D33705" w14:paraId="26A524AC" w14:textId="77777777" w:rsidTr="7C285CBA">
        <w:trPr>
          <w:trHeight w:val="340"/>
        </w:trPr>
        <w:tc>
          <w:tcPr>
            <w:tcW w:w="8392" w:type="dxa"/>
            <w:tcMar>
              <w:top w:w="0" w:type="dxa"/>
              <w:left w:w="108" w:type="dxa"/>
              <w:bottom w:w="0" w:type="dxa"/>
              <w:right w:w="108" w:type="dxa"/>
            </w:tcMar>
            <w:vAlign w:val="center"/>
            <w:hideMark/>
          </w:tcPr>
          <w:p w14:paraId="6ABFE3F3" w14:textId="77777777" w:rsidR="00D33920" w:rsidRPr="00D33705" w:rsidRDefault="00D33920" w:rsidP="00D33920">
            <w:pPr>
              <w:spacing w:after="0" w:line="240" w:lineRule="auto"/>
              <w:jc w:val="both"/>
              <w:rPr>
                <w:rFonts w:ascii="Times New Roman" w:hAnsi="Times New Roman" w:cs="Times New Roman"/>
                <w:sz w:val="24"/>
                <w:szCs w:val="24"/>
                <w:lang w:eastAsia="hu-HU"/>
              </w:rPr>
            </w:pPr>
            <w:r w:rsidRPr="7C285CBA">
              <w:rPr>
                <w:rFonts w:ascii="Times New Roman" w:hAnsi="Times New Roman" w:cs="Times New Roman"/>
                <w:sz w:val="24"/>
                <w:szCs w:val="24"/>
                <w:lang w:eastAsia="hu-HU"/>
              </w:rPr>
              <w:t>Normatív finanszírozás (köznevelési célú humánszolgáltatás és működési támogatás, hit- és erkölcstanoktatás és tankönyvtámogatás, illetve szociális, gyermekvédelmi, gyermekjóléti és fogyatékos személyek esélyegyenlőségét elősegítő célelőirányzatok)</w:t>
            </w:r>
          </w:p>
        </w:tc>
        <w:tc>
          <w:tcPr>
            <w:tcW w:w="851" w:type="dxa"/>
            <w:noWrap/>
            <w:tcMar>
              <w:top w:w="0" w:type="dxa"/>
              <w:left w:w="108" w:type="dxa"/>
              <w:bottom w:w="0" w:type="dxa"/>
              <w:right w:w="108" w:type="dxa"/>
            </w:tcMar>
            <w:vAlign w:val="center"/>
          </w:tcPr>
          <w:p w14:paraId="5E98CAB3" w14:textId="6643AD8A" w:rsidR="00D33920" w:rsidRPr="00D33705" w:rsidRDefault="00D33920" w:rsidP="00D33920">
            <w:pPr>
              <w:spacing w:after="0" w:line="240" w:lineRule="auto"/>
              <w:jc w:val="right"/>
              <w:rPr>
                <w:rFonts w:ascii="Times New Roman" w:hAnsi="Times New Roman" w:cs="Times New Roman"/>
                <w:sz w:val="24"/>
                <w:szCs w:val="24"/>
                <w:lang w:eastAsia="hu-HU"/>
              </w:rPr>
            </w:pPr>
            <w:r>
              <w:rPr>
                <w:rFonts w:ascii="Times New Roman" w:hAnsi="Times New Roman" w:cs="Times New Roman"/>
                <w:sz w:val="24"/>
                <w:szCs w:val="24"/>
                <w:lang w:eastAsia="hu-HU"/>
              </w:rPr>
              <w:t>690,9</w:t>
            </w:r>
          </w:p>
        </w:tc>
      </w:tr>
      <w:tr w:rsidR="00D33920" w:rsidRPr="00D33705" w14:paraId="0AE5AE84" w14:textId="77777777" w:rsidTr="7C285CBA">
        <w:trPr>
          <w:trHeight w:val="283"/>
        </w:trPr>
        <w:tc>
          <w:tcPr>
            <w:tcW w:w="8392" w:type="dxa"/>
            <w:tcMar>
              <w:top w:w="0" w:type="dxa"/>
              <w:left w:w="108" w:type="dxa"/>
              <w:bottom w:w="0" w:type="dxa"/>
              <w:right w:w="108" w:type="dxa"/>
            </w:tcMar>
            <w:vAlign w:val="center"/>
            <w:hideMark/>
          </w:tcPr>
          <w:p w14:paraId="788D5244" w14:textId="77777777" w:rsidR="00D33920" w:rsidRPr="002763AE" w:rsidRDefault="00D33920" w:rsidP="00D3392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Nem állami felsőoktatási intézmények támogatása</w:t>
            </w:r>
          </w:p>
        </w:tc>
        <w:tc>
          <w:tcPr>
            <w:tcW w:w="851" w:type="dxa"/>
            <w:noWrap/>
            <w:tcMar>
              <w:top w:w="0" w:type="dxa"/>
              <w:left w:w="108" w:type="dxa"/>
              <w:bottom w:w="0" w:type="dxa"/>
              <w:right w:w="108" w:type="dxa"/>
            </w:tcMar>
            <w:vAlign w:val="center"/>
          </w:tcPr>
          <w:p w14:paraId="6099E4A6" w14:textId="4AB54389" w:rsidR="00D33920" w:rsidRPr="002763AE" w:rsidRDefault="00D33920" w:rsidP="00D3392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412,7</w:t>
            </w:r>
          </w:p>
        </w:tc>
      </w:tr>
      <w:tr w:rsidR="00D33920" w:rsidRPr="00D33705" w14:paraId="42DCA3C3" w14:textId="77777777" w:rsidTr="7C285CBA">
        <w:trPr>
          <w:trHeight w:val="283"/>
        </w:trPr>
        <w:tc>
          <w:tcPr>
            <w:tcW w:w="8392" w:type="dxa"/>
            <w:tcMar>
              <w:top w:w="0" w:type="dxa"/>
              <w:left w:w="108" w:type="dxa"/>
              <w:bottom w:w="0" w:type="dxa"/>
              <w:right w:w="108" w:type="dxa"/>
            </w:tcMar>
            <w:vAlign w:val="center"/>
          </w:tcPr>
          <w:p w14:paraId="7FA3B2CA" w14:textId="7C75A97E" w:rsidR="00D33920" w:rsidRPr="002763AE" w:rsidRDefault="00D33920" w:rsidP="00D3392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Térségi fejlesztési feladatok</w:t>
            </w:r>
          </w:p>
        </w:tc>
        <w:tc>
          <w:tcPr>
            <w:tcW w:w="851" w:type="dxa"/>
            <w:noWrap/>
            <w:tcMar>
              <w:top w:w="0" w:type="dxa"/>
              <w:left w:w="108" w:type="dxa"/>
              <w:bottom w:w="0" w:type="dxa"/>
              <w:right w:w="108" w:type="dxa"/>
            </w:tcMar>
            <w:vAlign w:val="center"/>
          </w:tcPr>
          <w:p w14:paraId="460EDA61" w14:textId="4350E7B0" w:rsidR="00D33920" w:rsidRPr="002763AE" w:rsidRDefault="00D33920" w:rsidP="00D3392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102,0</w:t>
            </w:r>
          </w:p>
        </w:tc>
      </w:tr>
      <w:tr w:rsidR="00EB1850" w:rsidRPr="00D33705" w14:paraId="738BB1D7" w14:textId="77777777" w:rsidTr="7C285CBA">
        <w:trPr>
          <w:trHeight w:val="283"/>
        </w:trPr>
        <w:tc>
          <w:tcPr>
            <w:tcW w:w="8392" w:type="dxa"/>
            <w:tcMar>
              <w:top w:w="0" w:type="dxa"/>
              <w:left w:w="108" w:type="dxa"/>
              <w:bottom w:w="0" w:type="dxa"/>
              <w:right w:w="108" w:type="dxa"/>
            </w:tcMar>
            <w:vAlign w:val="center"/>
          </w:tcPr>
          <w:p w14:paraId="010ECB99" w14:textId="1D444CE1" w:rsidR="00EB1850" w:rsidRPr="002763AE" w:rsidRDefault="00EB1850" w:rsidP="00EB185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Turisztikai fejlesztési célelőirányzat</w:t>
            </w:r>
          </w:p>
        </w:tc>
        <w:tc>
          <w:tcPr>
            <w:tcW w:w="851" w:type="dxa"/>
            <w:noWrap/>
            <w:tcMar>
              <w:top w:w="0" w:type="dxa"/>
              <w:left w:w="108" w:type="dxa"/>
              <w:bottom w:w="0" w:type="dxa"/>
              <w:right w:w="108" w:type="dxa"/>
            </w:tcMar>
            <w:vAlign w:val="center"/>
          </w:tcPr>
          <w:p w14:paraId="2FA54D1A" w14:textId="604602A4" w:rsidR="00EB1850" w:rsidRPr="002763AE" w:rsidRDefault="00EB1850" w:rsidP="00EB185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95,0</w:t>
            </w:r>
          </w:p>
        </w:tc>
      </w:tr>
      <w:tr w:rsidR="00EB1850" w:rsidRPr="00D33705" w14:paraId="54E44312" w14:textId="77777777" w:rsidTr="7C285CBA">
        <w:trPr>
          <w:trHeight w:val="283"/>
        </w:trPr>
        <w:tc>
          <w:tcPr>
            <w:tcW w:w="8392" w:type="dxa"/>
            <w:tcMar>
              <w:top w:w="0" w:type="dxa"/>
              <w:left w:w="108" w:type="dxa"/>
              <w:bottom w:w="0" w:type="dxa"/>
              <w:right w:w="108" w:type="dxa"/>
            </w:tcMar>
            <w:vAlign w:val="center"/>
          </w:tcPr>
          <w:p w14:paraId="15AF8429" w14:textId="11FE7993" w:rsidR="00EB1850" w:rsidRPr="002763AE" w:rsidRDefault="00EB1850" w:rsidP="00EB185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Közlekedési ágazati programok</w:t>
            </w:r>
          </w:p>
        </w:tc>
        <w:tc>
          <w:tcPr>
            <w:tcW w:w="851" w:type="dxa"/>
            <w:noWrap/>
            <w:tcMar>
              <w:top w:w="0" w:type="dxa"/>
              <w:left w:w="108" w:type="dxa"/>
              <w:bottom w:w="0" w:type="dxa"/>
              <w:right w:w="108" w:type="dxa"/>
            </w:tcMar>
            <w:vAlign w:val="center"/>
          </w:tcPr>
          <w:p w14:paraId="096DD07F" w14:textId="6A8AA4C9" w:rsidR="00EB1850" w:rsidRPr="002763AE" w:rsidRDefault="00EB1850" w:rsidP="00EB185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86,9</w:t>
            </w:r>
          </w:p>
        </w:tc>
      </w:tr>
      <w:tr w:rsidR="00EB1850" w:rsidRPr="00D33705" w14:paraId="691BD3D5" w14:textId="77777777" w:rsidTr="7C285CBA">
        <w:trPr>
          <w:trHeight w:val="283"/>
        </w:trPr>
        <w:tc>
          <w:tcPr>
            <w:tcW w:w="8392" w:type="dxa"/>
            <w:tcMar>
              <w:top w:w="0" w:type="dxa"/>
              <w:left w:w="108" w:type="dxa"/>
              <w:bottom w:w="0" w:type="dxa"/>
              <w:right w:w="108" w:type="dxa"/>
            </w:tcMar>
            <w:vAlign w:val="center"/>
          </w:tcPr>
          <w:p w14:paraId="005FD7E5" w14:textId="4D256046" w:rsidR="00EB1850" w:rsidRPr="002763AE" w:rsidRDefault="00EB1850" w:rsidP="00EB185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Beruházás ösztönzési célelőirányzat</w:t>
            </w:r>
          </w:p>
        </w:tc>
        <w:tc>
          <w:tcPr>
            <w:tcW w:w="851" w:type="dxa"/>
            <w:noWrap/>
            <w:tcMar>
              <w:top w:w="0" w:type="dxa"/>
              <w:left w:w="108" w:type="dxa"/>
              <w:bottom w:w="0" w:type="dxa"/>
              <w:right w:w="108" w:type="dxa"/>
            </w:tcMar>
            <w:vAlign w:val="center"/>
          </w:tcPr>
          <w:p w14:paraId="77EA0DAE" w14:textId="1BEE5745" w:rsidR="00EB1850" w:rsidRPr="002763AE" w:rsidRDefault="00EB1850" w:rsidP="00EB185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50,9</w:t>
            </w:r>
          </w:p>
        </w:tc>
      </w:tr>
      <w:tr w:rsidR="00EB1850" w:rsidRPr="00D33705" w14:paraId="1D9DF599" w14:textId="77777777" w:rsidTr="7C285CBA">
        <w:trPr>
          <w:trHeight w:val="283"/>
        </w:trPr>
        <w:tc>
          <w:tcPr>
            <w:tcW w:w="8392" w:type="dxa"/>
            <w:tcMar>
              <w:top w:w="0" w:type="dxa"/>
              <w:left w:w="108" w:type="dxa"/>
              <w:bottom w:w="0" w:type="dxa"/>
              <w:right w:w="108" w:type="dxa"/>
            </w:tcMar>
            <w:vAlign w:val="center"/>
          </w:tcPr>
          <w:p w14:paraId="3C4E862C" w14:textId="69F94ADF" w:rsidR="00EB1850" w:rsidRPr="002763AE" w:rsidRDefault="00EB1850" w:rsidP="00EB1850">
            <w:pPr>
              <w:spacing w:after="0" w:line="240" w:lineRule="auto"/>
              <w:jc w:val="both"/>
              <w:rPr>
                <w:rFonts w:ascii="Times New Roman" w:hAnsi="Times New Roman" w:cs="Times New Roman"/>
                <w:sz w:val="24"/>
                <w:szCs w:val="24"/>
                <w:lang w:eastAsia="hu-HU"/>
              </w:rPr>
            </w:pPr>
            <w:r w:rsidRPr="002763AE">
              <w:rPr>
                <w:rFonts w:ascii="Times New Roman" w:hAnsi="Times New Roman" w:cs="Times New Roman"/>
                <w:sz w:val="24"/>
                <w:szCs w:val="24"/>
                <w:lang w:eastAsia="hu-HU"/>
              </w:rPr>
              <w:t>Megváltozott munkaképességű munkavállalók foglalkoztatásának támogatása</w:t>
            </w:r>
          </w:p>
        </w:tc>
        <w:tc>
          <w:tcPr>
            <w:tcW w:w="851" w:type="dxa"/>
            <w:noWrap/>
            <w:tcMar>
              <w:top w:w="0" w:type="dxa"/>
              <w:left w:w="108" w:type="dxa"/>
              <w:bottom w:w="0" w:type="dxa"/>
              <w:right w:w="108" w:type="dxa"/>
            </w:tcMar>
            <w:vAlign w:val="center"/>
          </w:tcPr>
          <w:p w14:paraId="2B7E0BF8" w14:textId="01314737" w:rsidR="00EB1850" w:rsidRPr="002763AE" w:rsidRDefault="00EB1850" w:rsidP="00EB1850">
            <w:pPr>
              <w:spacing w:after="0" w:line="240" w:lineRule="auto"/>
              <w:jc w:val="right"/>
              <w:rPr>
                <w:rFonts w:ascii="Times New Roman" w:hAnsi="Times New Roman" w:cs="Times New Roman"/>
                <w:sz w:val="24"/>
                <w:szCs w:val="24"/>
                <w:lang w:eastAsia="hu-HU"/>
              </w:rPr>
            </w:pPr>
            <w:r w:rsidRPr="002763AE">
              <w:rPr>
                <w:rFonts w:ascii="Times New Roman" w:hAnsi="Times New Roman" w:cs="Times New Roman"/>
                <w:sz w:val="24"/>
                <w:szCs w:val="24"/>
                <w:lang w:eastAsia="hu-HU"/>
              </w:rPr>
              <w:t>48,4</w:t>
            </w:r>
          </w:p>
        </w:tc>
      </w:tr>
    </w:tbl>
    <w:p w14:paraId="130E1B4D" w14:textId="758D8F15" w:rsidR="0033462C" w:rsidRPr="00A61DE1" w:rsidRDefault="7C285CBA" w:rsidP="7C285CBA">
      <w:pPr>
        <w:spacing w:before="160" w:after="0"/>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 xml:space="preserve">A 2025. év első </w:t>
      </w:r>
      <w:r w:rsidR="00D33920" w:rsidRPr="00D33920">
        <w:rPr>
          <w:rFonts w:ascii="Times New Roman" w:eastAsia="Times New Roman" w:hAnsi="Times New Roman" w:cs="Times New Roman"/>
          <w:sz w:val="26"/>
          <w:szCs w:val="26"/>
          <w:lang w:eastAsia="hu-HU"/>
        </w:rPr>
        <w:t>nyolchavi, 9635,3 milliárd forint összegű kiadások megoszlását a</w:t>
      </w:r>
      <w:r w:rsidR="00D33920">
        <w:rPr>
          <w:rFonts w:ascii="Times New Roman" w:eastAsia="Times New Roman" w:hAnsi="Times New Roman" w:cs="Times New Roman"/>
          <w:sz w:val="26"/>
          <w:szCs w:val="26"/>
          <w:lang w:eastAsia="hu-HU"/>
        </w:rPr>
        <w:t> </w:t>
      </w:r>
      <w:r w:rsidR="00D33920" w:rsidRPr="00D33920">
        <w:rPr>
          <w:rFonts w:ascii="Times New Roman" w:eastAsia="Times New Roman" w:hAnsi="Times New Roman" w:cs="Times New Roman"/>
          <w:sz w:val="26"/>
          <w:szCs w:val="26"/>
          <w:lang w:eastAsia="hu-HU"/>
        </w:rPr>
        <w:t>következő grafikon szemlélteti</w:t>
      </w:r>
      <w:r w:rsidRPr="7C285CBA">
        <w:rPr>
          <w:rFonts w:ascii="Times New Roman" w:eastAsia="Times New Roman" w:hAnsi="Times New Roman" w:cs="Times New Roman"/>
          <w:sz w:val="26"/>
          <w:szCs w:val="26"/>
          <w:lang w:eastAsia="hu-HU"/>
        </w:rPr>
        <w:t>:</w:t>
      </w:r>
    </w:p>
    <w:p w14:paraId="3599A16D" w14:textId="50C1FBCB" w:rsidR="00B056CC" w:rsidRDefault="00CE0C34" w:rsidP="009C33A4">
      <w:pPr>
        <w:spacing w:before="240"/>
        <w:jc w:val="center"/>
        <w:rPr>
          <w:rFonts w:ascii="Times New Roman" w:eastAsia="Times New Roman" w:hAnsi="Times New Roman" w:cs="Times New Roman"/>
          <w:b/>
          <w:sz w:val="26"/>
          <w:szCs w:val="26"/>
        </w:rPr>
      </w:pPr>
      <w:r>
        <w:rPr>
          <w:noProof/>
        </w:rPr>
        <w:drawing>
          <wp:inline distT="0" distB="0" distL="0" distR="0" wp14:anchorId="3CE581B3" wp14:editId="19746379">
            <wp:extent cx="5940425" cy="3509645"/>
            <wp:effectExtent l="0" t="0" r="3175" b="0"/>
            <wp:docPr id="196630702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07021" name=""/>
                    <pic:cNvPicPr/>
                  </pic:nvPicPr>
                  <pic:blipFill>
                    <a:blip r:embed="rId25"/>
                    <a:stretch>
                      <a:fillRect/>
                    </a:stretch>
                  </pic:blipFill>
                  <pic:spPr>
                    <a:xfrm>
                      <a:off x="0" y="0"/>
                      <a:ext cx="5940425" cy="3509645"/>
                    </a:xfrm>
                    <a:prstGeom prst="rect">
                      <a:avLst/>
                    </a:prstGeom>
                  </pic:spPr>
                </pic:pic>
              </a:graphicData>
            </a:graphic>
          </wp:inline>
        </w:drawing>
      </w:r>
    </w:p>
    <w:p w14:paraId="7B768C4E" w14:textId="3E063542" w:rsidR="00B155FE" w:rsidRPr="00377D59" w:rsidRDefault="7C285CBA" w:rsidP="7C285CBA">
      <w:pPr>
        <w:keepNext/>
        <w:numPr>
          <w:ilvl w:val="0"/>
          <w:numId w:val="3"/>
        </w:numPr>
        <w:ind w:left="714" w:hanging="357"/>
        <w:jc w:val="both"/>
        <w:outlineLvl w:val="2"/>
        <w:rPr>
          <w:rFonts w:ascii="Times New Roman" w:eastAsia="Times New Roman" w:hAnsi="Times New Roman" w:cs="Times New Roman"/>
          <w:b/>
          <w:bCs/>
          <w:smallCaps/>
          <w:sz w:val="28"/>
          <w:szCs w:val="28"/>
          <w:lang w:eastAsia="hu-HU"/>
        </w:rPr>
      </w:pPr>
      <w:r w:rsidRPr="7C285CBA">
        <w:rPr>
          <w:rFonts w:ascii="Times New Roman" w:eastAsia="Times New Roman" w:hAnsi="Times New Roman" w:cs="Times New Roman"/>
          <w:b/>
          <w:bCs/>
          <w:smallCaps/>
          <w:sz w:val="28"/>
          <w:szCs w:val="28"/>
          <w:lang w:eastAsia="hu-HU"/>
        </w:rPr>
        <w:t>Kamategyenleg</w:t>
      </w:r>
    </w:p>
    <w:p w14:paraId="0047F521" w14:textId="518825DA" w:rsidR="003F3151" w:rsidRDefault="7C285CBA" w:rsidP="7C285CBA">
      <w:pPr>
        <w:jc w:val="both"/>
        <w:rPr>
          <w:rFonts w:ascii="Times New Roman" w:hAnsi="Times New Roman" w:cs="Times New Roman"/>
          <w:sz w:val="26"/>
          <w:szCs w:val="26"/>
        </w:rPr>
      </w:pPr>
      <w:r w:rsidRPr="7C285CBA">
        <w:rPr>
          <w:rFonts w:ascii="Times New Roman" w:hAnsi="Times New Roman" w:cs="Times New Roman"/>
          <w:sz w:val="26"/>
          <w:szCs w:val="26"/>
          <w:lang w:eastAsia="hu-HU"/>
        </w:rPr>
        <w:t>A bevételek és kiadások egyenlegeként adódó 2</w:t>
      </w:r>
      <w:r w:rsidR="00525D74">
        <w:rPr>
          <w:rFonts w:ascii="Times New Roman" w:hAnsi="Times New Roman" w:cs="Times New Roman"/>
          <w:sz w:val="26"/>
          <w:szCs w:val="26"/>
          <w:lang w:eastAsia="hu-HU"/>
        </w:rPr>
        <w:t>698,</w:t>
      </w:r>
      <w:r w:rsidR="002763AE">
        <w:rPr>
          <w:rFonts w:ascii="Times New Roman" w:hAnsi="Times New Roman" w:cs="Times New Roman"/>
          <w:sz w:val="26"/>
          <w:szCs w:val="26"/>
          <w:lang w:eastAsia="hu-HU"/>
        </w:rPr>
        <w:t>8</w:t>
      </w:r>
      <w:r w:rsidRPr="7C285CBA">
        <w:rPr>
          <w:rFonts w:ascii="Times New Roman" w:hAnsi="Times New Roman" w:cs="Times New Roman"/>
          <w:sz w:val="26"/>
          <w:szCs w:val="26"/>
          <w:lang w:eastAsia="hu-HU"/>
        </w:rPr>
        <w:t xml:space="preserve"> milliárd forint összegű </w:t>
      </w:r>
      <w:r w:rsidRPr="7C285CBA">
        <w:rPr>
          <w:rFonts w:ascii="Times New Roman" w:hAnsi="Times New Roman" w:cs="Times New Roman"/>
          <w:b/>
          <w:bCs/>
          <w:sz w:val="26"/>
          <w:szCs w:val="26"/>
          <w:lang w:eastAsia="hu-HU"/>
        </w:rPr>
        <w:t>nettó</w:t>
      </w:r>
      <w:r w:rsidRPr="7C285CBA">
        <w:rPr>
          <w:rFonts w:ascii="Times New Roman" w:hAnsi="Times New Roman" w:cs="Times New Roman"/>
          <w:b/>
          <w:bCs/>
          <w:sz w:val="26"/>
          <w:szCs w:val="26"/>
        </w:rPr>
        <w:t xml:space="preserve"> kamatkiadás</w:t>
      </w:r>
      <w:r w:rsidRPr="7C285CBA">
        <w:rPr>
          <w:rFonts w:ascii="Times New Roman" w:hAnsi="Times New Roman" w:cs="Times New Roman"/>
          <w:sz w:val="26"/>
          <w:szCs w:val="26"/>
        </w:rPr>
        <w:t xml:space="preserve"> </w:t>
      </w:r>
      <w:r w:rsidR="00525D74">
        <w:rPr>
          <w:rFonts w:ascii="Times New Roman" w:hAnsi="Times New Roman" w:cs="Times New Roman"/>
          <w:sz w:val="26"/>
          <w:szCs w:val="26"/>
        </w:rPr>
        <w:t>augusztus</w:t>
      </w:r>
      <w:r w:rsidRPr="7C285CBA">
        <w:rPr>
          <w:rFonts w:ascii="Times New Roman" w:hAnsi="Times New Roman" w:cs="Times New Roman"/>
          <w:sz w:val="26"/>
          <w:szCs w:val="26"/>
        </w:rPr>
        <w:t xml:space="preserve"> végéig </w:t>
      </w:r>
      <w:r w:rsidR="00525D74" w:rsidRPr="00525D74">
        <w:rPr>
          <w:rFonts w:ascii="Times New Roman" w:hAnsi="Times New Roman" w:cs="Times New Roman"/>
          <w:sz w:val="26"/>
          <w:szCs w:val="26"/>
        </w:rPr>
        <w:t>579,</w:t>
      </w:r>
      <w:r w:rsidR="002763AE">
        <w:rPr>
          <w:rFonts w:ascii="Times New Roman" w:hAnsi="Times New Roman" w:cs="Times New Roman"/>
          <w:sz w:val="26"/>
          <w:szCs w:val="26"/>
        </w:rPr>
        <w:t>6</w:t>
      </w:r>
      <w:r w:rsidRPr="7C285CBA">
        <w:rPr>
          <w:rFonts w:ascii="Times New Roman" w:hAnsi="Times New Roman" w:cs="Times New Roman"/>
          <w:sz w:val="26"/>
          <w:szCs w:val="26"/>
        </w:rPr>
        <w:t> milliárd forinttal lett magasabb az előző évhez képest, mely az előző évitől különböző hozamokkal és finanszírozási szerkezettel magyarázható.</w:t>
      </w:r>
    </w:p>
    <w:p w14:paraId="7B768C50" w14:textId="77777777" w:rsidR="00B155FE" w:rsidRPr="00377D59" w:rsidRDefault="00B155FE" w:rsidP="00B155FE">
      <w:pPr>
        <w:tabs>
          <w:tab w:val="left" w:pos="550"/>
        </w:tabs>
        <w:spacing w:before="120" w:after="120" w:line="240" w:lineRule="auto"/>
        <w:jc w:val="both"/>
        <w:rPr>
          <w:rFonts w:ascii="Times New Roman" w:eastAsia="Times New Roman" w:hAnsi="Times New Roman" w:cs="Times New Roman"/>
          <w:caps/>
          <w:sz w:val="26"/>
          <w:szCs w:val="20"/>
          <w:lang w:eastAsia="hu-HU"/>
        </w:rPr>
      </w:pPr>
      <w:r w:rsidRPr="00377D59">
        <w:rPr>
          <w:rFonts w:ascii="Times New Roman" w:eastAsia="Times New Roman" w:hAnsi="Times New Roman" w:cs="Times New Roman"/>
          <w:caps/>
          <w:sz w:val="26"/>
          <w:szCs w:val="20"/>
          <w:lang w:eastAsia="hu-HU"/>
        </w:rPr>
        <w:br w:type="page"/>
      </w:r>
    </w:p>
    <w:p w14:paraId="688B9DA7" w14:textId="77777777" w:rsidR="00C9408B" w:rsidRDefault="7C285CBA" w:rsidP="7C285CBA">
      <w:pPr>
        <w:keepNext/>
        <w:spacing w:after="120" w:line="240" w:lineRule="auto"/>
        <w:jc w:val="center"/>
        <w:outlineLvl w:val="3"/>
        <w:rPr>
          <w:rFonts w:ascii="Times New Roman" w:eastAsia="Times New Roman" w:hAnsi="Times New Roman" w:cs="Times New Roman"/>
          <w:b/>
          <w:bCs/>
          <w:caps/>
          <w:sz w:val="26"/>
          <w:szCs w:val="26"/>
          <w:lang w:eastAsia="hu-HU"/>
        </w:rPr>
      </w:pPr>
      <w:r w:rsidRPr="7C285CBA">
        <w:rPr>
          <w:rFonts w:ascii="Times New Roman" w:eastAsia="Times New Roman" w:hAnsi="Times New Roman" w:cs="Times New Roman"/>
          <w:b/>
          <w:bCs/>
          <w:caps/>
          <w:sz w:val="26"/>
          <w:szCs w:val="26"/>
          <w:lang w:eastAsia="hu-HU"/>
        </w:rPr>
        <w:lastRenderedPageBreak/>
        <w:t>II.</w:t>
      </w:r>
    </w:p>
    <w:p w14:paraId="7B768C51" w14:textId="63BB059C" w:rsidR="00B155FE" w:rsidRPr="00377D59" w:rsidRDefault="7C285CBA" w:rsidP="7C285CBA">
      <w:pPr>
        <w:keepNext/>
        <w:spacing w:after="240" w:line="240" w:lineRule="auto"/>
        <w:jc w:val="center"/>
        <w:outlineLvl w:val="3"/>
        <w:rPr>
          <w:rFonts w:ascii="Times New Roman" w:eastAsia="Times New Roman" w:hAnsi="Times New Roman" w:cs="Times New Roman"/>
          <w:b/>
          <w:bCs/>
          <w:caps/>
          <w:sz w:val="26"/>
          <w:szCs w:val="26"/>
          <w:lang w:eastAsia="hu-HU"/>
        </w:rPr>
      </w:pPr>
      <w:r w:rsidRPr="7C285CBA">
        <w:rPr>
          <w:rFonts w:ascii="Times New Roman" w:eastAsia="Times New Roman" w:hAnsi="Times New Roman" w:cs="Times New Roman"/>
          <w:b/>
          <w:bCs/>
          <w:caps/>
          <w:sz w:val="26"/>
          <w:szCs w:val="26"/>
          <w:lang w:eastAsia="hu-HU"/>
        </w:rPr>
        <w:t>Az államháztartás központi alrendszerének finanszírozása</w:t>
      </w:r>
    </w:p>
    <w:p w14:paraId="06C778E7" w14:textId="322F8F62" w:rsidR="00710A26" w:rsidRPr="008E6DF0" w:rsidRDefault="7C285CBA" w:rsidP="7C285CBA">
      <w:pPr>
        <w:ind w:right="23"/>
        <w:jc w:val="both"/>
        <w:rPr>
          <w:rFonts w:ascii="Times New Roman" w:eastAsia="Times New Roman" w:hAnsi="Times New Roman" w:cs="Times New Roman"/>
          <w:b/>
          <w:bCs/>
          <w:sz w:val="26"/>
          <w:szCs w:val="26"/>
          <w:lang w:eastAsia="hu-HU"/>
        </w:rPr>
      </w:pPr>
      <w:r w:rsidRPr="7C285CBA">
        <w:rPr>
          <w:rFonts w:ascii="Times New Roman" w:eastAsia="Times New Roman" w:hAnsi="Times New Roman" w:cs="Times New Roman"/>
          <w:sz w:val="26"/>
          <w:szCs w:val="26"/>
          <w:lang w:eastAsia="hu-HU"/>
        </w:rPr>
        <w:t xml:space="preserve">A központi költségvetés adóssága 2025. </w:t>
      </w:r>
      <w:r w:rsidR="00525D74">
        <w:rPr>
          <w:rFonts w:ascii="Times New Roman" w:eastAsia="Times New Roman" w:hAnsi="Times New Roman" w:cs="Times New Roman"/>
          <w:sz w:val="26"/>
          <w:szCs w:val="26"/>
          <w:lang w:eastAsia="hu-HU"/>
        </w:rPr>
        <w:t>augusztus</w:t>
      </w:r>
      <w:r w:rsidRPr="7C285CBA">
        <w:rPr>
          <w:rFonts w:ascii="Times New Roman" w:eastAsia="Times New Roman" w:hAnsi="Times New Roman" w:cs="Times New Roman"/>
          <w:sz w:val="26"/>
          <w:szCs w:val="26"/>
          <w:lang w:eastAsia="hu-HU"/>
        </w:rPr>
        <w:t xml:space="preserve"> végéig </w:t>
      </w:r>
      <w:r w:rsidR="00CE4893" w:rsidRPr="00CE4893">
        <w:rPr>
          <w:rFonts w:ascii="Times New Roman" w:eastAsia="Times New Roman" w:hAnsi="Times New Roman" w:cs="Times New Roman"/>
          <w:sz w:val="26"/>
          <w:szCs w:val="26"/>
          <w:lang w:eastAsia="hu-HU"/>
        </w:rPr>
        <w:t>4587,1</w:t>
      </w:r>
      <w:r w:rsidRPr="7C285CBA">
        <w:rPr>
          <w:rFonts w:ascii="Times New Roman" w:eastAsia="Times New Roman" w:hAnsi="Times New Roman" w:cs="Times New Roman"/>
          <w:sz w:val="26"/>
          <w:szCs w:val="26"/>
          <w:lang w:eastAsia="hu-HU"/>
        </w:rPr>
        <w:t> milliárd forinttal növekedett a következő négy tényező eredményeképpen:</w:t>
      </w:r>
    </w:p>
    <w:p w14:paraId="2E79A354" w14:textId="6F2103D2" w:rsidR="00525D74" w:rsidRPr="00525D74" w:rsidRDefault="00CE4893" w:rsidP="00CE4893">
      <w:pPr>
        <w:pStyle w:val="Listaszerbekezds"/>
        <w:numPr>
          <w:ilvl w:val="0"/>
          <w:numId w:val="2"/>
        </w:numPr>
        <w:jc w:val="both"/>
        <w:rPr>
          <w:rFonts w:ascii="Times New Roman" w:eastAsia="Times New Roman" w:hAnsi="Times New Roman" w:cs="Times New Roman"/>
          <w:sz w:val="26"/>
          <w:szCs w:val="26"/>
          <w:lang w:eastAsia="hu-HU"/>
        </w:rPr>
      </w:pPr>
      <w:r w:rsidRPr="00CE4893">
        <w:rPr>
          <w:rFonts w:ascii="Times New Roman" w:eastAsia="Times New Roman" w:hAnsi="Times New Roman" w:cs="Times New Roman"/>
          <w:b/>
          <w:bCs/>
          <w:sz w:val="26"/>
          <w:szCs w:val="26"/>
          <w:lang w:eastAsia="hu-HU"/>
        </w:rPr>
        <w:t>Az első tényező a nettó forintkibocsátás</w:t>
      </w:r>
      <w:r w:rsidRPr="00CE4893">
        <w:rPr>
          <w:rFonts w:ascii="Times New Roman" w:eastAsia="Times New Roman" w:hAnsi="Times New Roman" w:cs="Times New Roman"/>
          <w:sz w:val="26"/>
          <w:szCs w:val="26"/>
          <w:lang w:eastAsia="hu-HU"/>
        </w:rPr>
        <w:t>, amely 2462,6</w:t>
      </w:r>
      <w:r>
        <w:rPr>
          <w:rFonts w:ascii="Times New Roman" w:eastAsia="Times New Roman" w:hAnsi="Times New Roman" w:cs="Times New Roman"/>
          <w:sz w:val="26"/>
          <w:szCs w:val="26"/>
          <w:lang w:eastAsia="hu-HU"/>
        </w:rPr>
        <w:t> </w:t>
      </w:r>
      <w:r w:rsidRPr="00CE4893">
        <w:rPr>
          <w:rFonts w:ascii="Times New Roman" w:eastAsia="Times New Roman" w:hAnsi="Times New Roman" w:cs="Times New Roman"/>
          <w:sz w:val="26"/>
          <w:szCs w:val="26"/>
          <w:lang w:eastAsia="hu-HU"/>
        </w:rPr>
        <w:t>milliárd forinttal növelte az adósságot, így segítette a költségvetési hiány egy részének finanszírozását</w:t>
      </w:r>
      <w:r w:rsidR="002763AE">
        <w:rPr>
          <w:rFonts w:ascii="Times New Roman" w:eastAsia="Times New Roman" w:hAnsi="Times New Roman" w:cs="Times New Roman"/>
          <w:sz w:val="26"/>
          <w:szCs w:val="26"/>
          <w:lang w:eastAsia="hu-HU"/>
        </w:rPr>
        <w:t>.</w:t>
      </w:r>
    </w:p>
    <w:p w14:paraId="6EF36E84" w14:textId="0837CC66" w:rsidR="007B0B76" w:rsidRDefault="00CE4893" w:rsidP="00CE4893">
      <w:pPr>
        <w:pStyle w:val="Listaszerbekezds"/>
        <w:numPr>
          <w:ilvl w:val="0"/>
          <w:numId w:val="2"/>
        </w:numPr>
        <w:jc w:val="both"/>
        <w:rPr>
          <w:rFonts w:ascii="Times New Roman" w:eastAsia="Times New Roman" w:hAnsi="Times New Roman" w:cs="Times New Roman"/>
          <w:sz w:val="26"/>
          <w:szCs w:val="26"/>
          <w:lang w:eastAsia="hu-HU"/>
        </w:rPr>
      </w:pPr>
      <w:r w:rsidRPr="00CE4893">
        <w:rPr>
          <w:rFonts w:ascii="Times New Roman" w:eastAsia="Times New Roman" w:hAnsi="Times New Roman" w:cs="Times New Roman"/>
          <w:b/>
          <w:bCs/>
          <w:sz w:val="26"/>
          <w:szCs w:val="26"/>
          <w:lang w:eastAsia="hu-HU"/>
        </w:rPr>
        <w:t xml:space="preserve">A második </w:t>
      </w:r>
      <w:r w:rsidRPr="00CE4893">
        <w:rPr>
          <w:rFonts w:ascii="Times New Roman" w:eastAsia="Times New Roman" w:hAnsi="Times New Roman" w:cs="Times New Roman"/>
          <w:sz w:val="26"/>
          <w:szCs w:val="26"/>
          <w:lang w:eastAsia="hu-HU"/>
        </w:rPr>
        <w:t xml:space="preserve">– szintén növelő hatású – </w:t>
      </w:r>
      <w:r w:rsidRPr="00CE4893">
        <w:rPr>
          <w:rFonts w:ascii="Times New Roman" w:eastAsia="Times New Roman" w:hAnsi="Times New Roman" w:cs="Times New Roman"/>
          <w:b/>
          <w:bCs/>
          <w:sz w:val="26"/>
          <w:szCs w:val="26"/>
          <w:lang w:eastAsia="hu-HU"/>
        </w:rPr>
        <w:t>tényező a nettó devizakibocsátás</w:t>
      </w:r>
      <w:r w:rsidRPr="00CE4893">
        <w:rPr>
          <w:rFonts w:ascii="Times New Roman" w:eastAsia="Times New Roman" w:hAnsi="Times New Roman" w:cs="Times New Roman"/>
          <w:sz w:val="26"/>
          <w:szCs w:val="26"/>
          <w:lang w:eastAsia="hu-HU"/>
        </w:rPr>
        <w:t>, amely 2842,0</w:t>
      </w:r>
      <w:r>
        <w:rPr>
          <w:rFonts w:ascii="Times New Roman" w:eastAsia="Times New Roman" w:hAnsi="Times New Roman" w:cs="Times New Roman"/>
          <w:sz w:val="26"/>
          <w:szCs w:val="26"/>
          <w:lang w:eastAsia="hu-HU"/>
        </w:rPr>
        <w:t> </w:t>
      </w:r>
      <w:r w:rsidRPr="00CE4893">
        <w:rPr>
          <w:rFonts w:ascii="Times New Roman" w:eastAsia="Times New Roman" w:hAnsi="Times New Roman" w:cs="Times New Roman"/>
          <w:sz w:val="26"/>
          <w:szCs w:val="26"/>
          <w:lang w:eastAsia="hu-HU"/>
        </w:rPr>
        <w:t>milliárd forint összegben hozzájárul a hiány finanszírozásához és a devizabetétállomány növekedéséhez.</w:t>
      </w:r>
    </w:p>
    <w:p w14:paraId="6DF71F36" w14:textId="7292686F" w:rsidR="00CE4893" w:rsidRPr="00CE4893" w:rsidRDefault="00CE4893" w:rsidP="00CE4893">
      <w:pPr>
        <w:pStyle w:val="Listaszerbekezds"/>
        <w:numPr>
          <w:ilvl w:val="0"/>
          <w:numId w:val="2"/>
        </w:numPr>
        <w:jc w:val="both"/>
        <w:rPr>
          <w:rFonts w:ascii="Times New Roman" w:eastAsia="Times New Roman" w:hAnsi="Times New Roman" w:cs="Times New Roman"/>
          <w:sz w:val="26"/>
          <w:szCs w:val="26"/>
          <w:lang w:eastAsia="hu-HU"/>
        </w:rPr>
      </w:pPr>
      <w:r w:rsidRPr="00CE4893">
        <w:rPr>
          <w:rFonts w:ascii="Times New Roman" w:eastAsia="Times New Roman" w:hAnsi="Times New Roman" w:cs="Times New Roman"/>
          <w:b/>
          <w:bCs/>
          <w:sz w:val="26"/>
          <w:szCs w:val="26"/>
          <w:lang w:eastAsia="hu-HU"/>
        </w:rPr>
        <w:t xml:space="preserve">A harmadik </w:t>
      </w:r>
      <w:r w:rsidRPr="00CE4893">
        <w:rPr>
          <w:rFonts w:ascii="Times New Roman" w:eastAsia="Times New Roman" w:hAnsi="Times New Roman" w:cs="Times New Roman"/>
          <w:sz w:val="26"/>
          <w:szCs w:val="26"/>
          <w:lang w:eastAsia="hu-HU"/>
        </w:rPr>
        <w:t xml:space="preserve">– fentiekkel ellentétes, csökkentő hatású – </w:t>
      </w:r>
      <w:r w:rsidRPr="00CE4893">
        <w:rPr>
          <w:rFonts w:ascii="Times New Roman" w:eastAsia="Times New Roman" w:hAnsi="Times New Roman" w:cs="Times New Roman"/>
          <w:b/>
          <w:bCs/>
          <w:sz w:val="26"/>
          <w:szCs w:val="26"/>
          <w:lang w:eastAsia="hu-HU"/>
        </w:rPr>
        <w:t>tényező a forint árfolyamának</w:t>
      </w:r>
      <w:r w:rsidRPr="00CE4893">
        <w:rPr>
          <w:rFonts w:ascii="Times New Roman" w:eastAsia="Times New Roman" w:hAnsi="Times New Roman" w:cs="Times New Roman"/>
          <w:sz w:val="26"/>
          <w:szCs w:val="26"/>
          <w:lang w:eastAsia="hu-HU"/>
        </w:rPr>
        <w:t xml:space="preserve"> az elmúlt év végéhez képest bekövetkezett </w:t>
      </w:r>
      <w:r w:rsidRPr="00CE4893">
        <w:rPr>
          <w:rFonts w:ascii="Times New Roman" w:eastAsia="Times New Roman" w:hAnsi="Times New Roman" w:cs="Times New Roman"/>
          <w:b/>
          <w:bCs/>
          <w:sz w:val="26"/>
          <w:szCs w:val="26"/>
          <w:lang w:eastAsia="hu-HU"/>
        </w:rPr>
        <w:t>erősödése</w:t>
      </w:r>
      <w:r w:rsidRPr="00CE4893">
        <w:rPr>
          <w:rFonts w:ascii="Times New Roman" w:eastAsia="Times New Roman" w:hAnsi="Times New Roman" w:cs="Times New Roman"/>
          <w:sz w:val="26"/>
          <w:szCs w:val="26"/>
          <w:lang w:eastAsia="hu-HU"/>
        </w:rPr>
        <w:t>, amely az adósság devizában fennálló részének forintban számított nyilvántartási értékét 623,4</w:t>
      </w:r>
      <w:r>
        <w:rPr>
          <w:rFonts w:ascii="Times New Roman" w:eastAsia="Times New Roman" w:hAnsi="Times New Roman" w:cs="Times New Roman"/>
          <w:sz w:val="26"/>
          <w:szCs w:val="26"/>
          <w:lang w:eastAsia="hu-HU"/>
        </w:rPr>
        <w:t> </w:t>
      </w:r>
      <w:r w:rsidRPr="00CE4893">
        <w:rPr>
          <w:rFonts w:ascii="Times New Roman" w:eastAsia="Times New Roman" w:hAnsi="Times New Roman" w:cs="Times New Roman"/>
          <w:sz w:val="26"/>
          <w:szCs w:val="26"/>
          <w:lang w:eastAsia="hu-HU"/>
        </w:rPr>
        <w:t>milliárd forinttal mérsékelte.</w:t>
      </w:r>
    </w:p>
    <w:p w14:paraId="510E0310" w14:textId="6247AC1B" w:rsidR="00CE4893" w:rsidRDefault="00CE4893" w:rsidP="00CE4893">
      <w:pPr>
        <w:pStyle w:val="Listaszerbekezds"/>
        <w:numPr>
          <w:ilvl w:val="0"/>
          <w:numId w:val="2"/>
        </w:numPr>
        <w:jc w:val="both"/>
        <w:rPr>
          <w:rFonts w:ascii="Times New Roman" w:eastAsia="Times New Roman" w:hAnsi="Times New Roman" w:cs="Times New Roman"/>
          <w:sz w:val="26"/>
          <w:szCs w:val="26"/>
          <w:lang w:eastAsia="hu-HU"/>
        </w:rPr>
      </w:pPr>
      <w:r w:rsidRPr="00CE4893">
        <w:rPr>
          <w:rFonts w:ascii="Times New Roman" w:eastAsia="Times New Roman" w:hAnsi="Times New Roman" w:cs="Times New Roman"/>
          <w:b/>
          <w:bCs/>
          <w:sz w:val="26"/>
          <w:szCs w:val="26"/>
          <w:lang w:eastAsia="hu-HU"/>
        </w:rPr>
        <w:t xml:space="preserve">A negyedik </w:t>
      </w:r>
      <w:r w:rsidRPr="00CE4893">
        <w:rPr>
          <w:rFonts w:ascii="Times New Roman" w:eastAsia="Times New Roman" w:hAnsi="Times New Roman" w:cs="Times New Roman"/>
          <w:sz w:val="26"/>
          <w:szCs w:val="26"/>
          <w:lang w:eastAsia="hu-HU"/>
        </w:rPr>
        <w:t xml:space="preserve">– további csökkentő hatású – </w:t>
      </w:r>
      <w:r w:rsidRPr="00CE4893">
        <w:rPr>
          <w:rFonts w:ascii="Times New Roman" w:eastAsia="Times New Roman" w:hAnsi="Times New Roman" w:cs="Times New Roman"/>
          <w:b/>
          <w:bCs/>
          <w:sz w:val="26"/>
          <w:szCs w:val="26"/>
          <w:lang w:eastAsia="hu-HU"/>
        </w:rPr>
        <w:t>tényező a deviza-keresztárfolyamok változása</w:t>
      </w:r>
      <w:r w:rsidRPr="00CE4893">
        <w:rPr>
          <w:rFonts w:ascii="Times New Roman" w:eastAsia="Times New Roman" w:hAnsi="Times New Roman" w:cs="Times New Roman"/>
          <w:sz w:val="26"/>
          <w:szCs w:val="26"/>
          <w:lang w:eastAsia="hu-HU"/>
        </w:rPr>
        <w:t xml:space="preserve"> és az egyéb tényezők miatt bekövetkezett mark-</w:t>
      </w:r>
      <w:proofErr w:type="spellStart"/>
      <w:r w:rsidRPr="00CE4893">
        <w:rPr>
          <w:rFonts w:ascii="Times New Roman" w:eastAsia="Times New Roman" w:hAnsi="Times New Roman" w:cs="Times New Roman"/>
          <w:sz w:val="26"/>
          <w:szCs w:val="26"/>
          <w:lang w:eastAsia="hu-HU"/>
        </w:rPr>
        <w:t>to</w:t>
      </w:r>
      <w:proofErr w:type="spellEnd"/>
      <w:r w:rsidRPr="00CE4893">
        <w:rPr>
          <w:rFonts w:ascii="Times New Roman" w:eastAsia="Times New Roman" w:hAnsi="Times New Roman" w:cs="Times New Roman"/>
          <w:sz w:val="26"/>
          <w:szCs w:val="26"/>
          <w:lang w:eastAsia="hu-HU"/>
        </w:rPr>
        <w:t>-market betétállományok csökkenése 94,</w:t>
      </w:r>
      <w:r w:rsidR="005710F5">
        <w:rPr>
          <w:rFonts w:ascii="Times New Roman" w:eastAsia="Times New Roman" w:hAnsi="Times New Roman" w:cs="Times New Roman"/>
          <w:sz w:val="26"/>
          <w:szCs w:val="26"/>
          <w:lang w:eastAsia="hu-HU"/>
        </w:rPr>
        <w:t>1</w:t>
      </w:r>
      <w:r>
        <w:rPr>
          <w:rFonts w:ascii="Times New Roman" w:eastAsia="Times New Roman" w:hAnsi="Times New Roman" w:cs="Times New Roman"/>
          <w:sz w:val="26"/>
          <w:szCs w:val="26"/>
          <w:lang w:eastAsia="hu-HU"/>
        </w:rPr>
        <w:t> </w:t>
      </w:r>
      <w:r w:rsidRPr="00CE4893">
        <w:rPr>
          <w:rFonts w:ascii="Times New Roman" w:eastAsia="Times New Roman" w:hAnsi="Times New Roman" w:cs="Times New Roman"/>
          <w:sz w:val="26"/>
          <w:szCs w:val="26"/>
          <w:lang w:eastAsia="hu-HU"/>
        </w:rPr>
        <w:t>milliárd forint összegben.</w:t>
      </w:r>
    </w:p>
    <w:p w14:paraId="111568C6" w14:textId="77777777" w:rsidR="007B0B76" w:rsidRDefault="007B0B76" w:rsidP="007B0B76">
      <w:pPr>
        <w:jc w:val="both"/>
        <w:rPr>
          <w:rFonts w:ascii="Times New Roman" w:eastAsia="Times New Roman" w:hAnsi="Times New Roman" w:cs="Times New Roman"/>
          <w:sz w:val="26"/>
          <w:szCs w:val="26"/>
          <w:lang w:eastAsia="hu-HU"/>
        </w:rPr>
      </w:pPr>
    </w:p>
    <w:p w14:paraId="157CBCF7" w14:textId="192A582E" w:rsidR="007B0B76" w:rsidRPr="007B0B76" w:rsidRDefault="007B0B76" w:rsidP="007B0B76">
      <w:pPr>
        <w:jc w:val="both"/>
        <w:rPr>
          <w:rFonts w:ascii="Times New Roman" w:eastAsia="Times New Roman" w:hAnsi="Times New Roman" w:cs="Times New Roman"/>
          <w:sz w:val="26"/>
          <w:szCs w:val="26"/>
          <w:lang w:eastAsia="hu-HU"/>
        </w:rPr>
        <w:sectPr w:rsidR="007B0B76" w:rsidRPr="007B0B76" w:rsidSect="007449BF">
          <w:headerReference w:type="default" r:id="rId26"/>
          <w:footerReference w:type="default" r:id="rId27"/>
          <w:footnotePr>
            <w:numRestart w:val="eachPage"/>
          </w:footnotePr>
          <w:pgSz w:w="11907" w:h="16840" w:code="9"/>
          <w:pgMar w:top="1134" w:right="1134" w:bottom="1418" w:left="1418" w:header="709" w:footer="709" w:gutter="0"/>
          <w:cols w:space="708"/>
          <w:docGrid w:linePitch="354"/>
        </w:sectPr>
      </w:pPr>
    </w:p>
    <w:p w14:paraId="7B768C5C" w14:textId="6A9C59FA" w:rsidR="00B155FE" w:rsidRPr="00377D59" w:rsidRDefault="7C285CBA" w:rsidP="7C285CBA">
      <w:pPr>
        <w:spacing w:after="120" w:line="240" w:lineRule="auto"/>
        <w:ind w:right="23"/>
        <w:jc w:val="both"/>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lastRenderedPageBreak/>
        <w:t xml:space="preserve">Az előzetes adatok szerint 2025. </w:t>
      </w:r>
      <w:r w:rsidR="00CE4893">
        <w:rPr>
          <w:rFonts w:ascii="Times New Roman" w:eastAsia="Times New Roman" w:hAnsi="Times New Roman" w:cs="Times New Roman"/>
          <w:sz w:val="26"/>
          <w:szCs w:val="26"/>
          <w:lang w:eastAsia="hu-HU"/>
        </w:rPr>
        <w:t>augusztus</w:t>
      </w:r>
      <w:r w:rsidRPr="7C285CBA">
        <w:rPr>
          <w:rFonts w:ascii="Times New Roman" w:eastAsia="Times New Roman" w:hAnsi="Times New Roman" w:cs="Times New Roman"/>
          <w:sz w:val="26"/>
          <w:szCs w:val="26"/>
          <w:lang w:eastAsia="hu-HU"/>
        </w:rPr>
        <w:t xml:space="preserve"> végén a </w:t>
      </w:r>
      <w:r w:rsidRPr="7C285CBA">
        <w:rPr>
          <w:rFonts w:ascii="Times New Roman" w:eastAsia="Times New Roman" w:hAnsi="Times New Roman" w:cs="Times New Roman"/>
          <w:b/>
          <w:bCs/>
          <w:sz w:val="26"/>
          <w:szCs w:val="26"/>
          <w:lang w:eastAsia="hu-HU"/>
        </w:rPr>
        <w:t xml:space="preserve">központi költségvetés forint- és devizaadóssága </w:t>
      </w:r>
      <w:r w:rsidRPr="7C285CBA">
        <w:rPr>
          <w:rFonts w:ascii="Times New Roman" w:eastAsia="Times New Roman" w:hAnsi="Times New Roman" w:cs="Times New Roman"/>
          <w:sz w:val="26"/>
          <w:szCs w:val="26"/>
          <w:lang w:eastAsia="hu-HU"/>
        </w:rPr>
        <w:t>az alábbiak szerint alakult:</w:t>
      </w:r>
    </w:p>
    <w:p w14:paraId="7B768C5D" w14:textId="252296E8" w:rsidR="00B155FE" w:rsidRDefault="7C285CBA" w:rsidP="7C285CBA">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7C285CBA">
        <w:rPr>
          <w:rFonts w:ascii="Times New Roman" w:eastAsia="Times New Roman" w:hAnsi="Times New Roman" w:cs="Times New Roman"/>
          <w:sz w:val="26"/>
          <w:szCs w:val="26"/>
          <w:lang w:eastAsia="hu-HU"/>
        </w:rPr>
        <w:t>A központi költségvetés adósságának alakulása 2025-ben, milliárd forint</w:t>
      </w:r>
    </w:p>
    <w:p w14:paraId="31C86ED1" w14:textId="0BAD26CB" w:rsidR="007B0B76" w:rsidRDefault="00CE4893" w:rsidP="13E847AC">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00CE4893">
        <w:rPr>
          <w:noProof/>
        </w:rPr>
        <w:drawing>
          <wp:inline distT="0" distB="0" distL="0" distR="0" wp14:anchorId="0481F8C8" wp14:editId="22E37932">
            <wp:extent cx="8934450" cy="4229100"/>
            <wp:effectExtent l="0" t="0" r="0" b="0"/>
            <wp:docPr id="9059812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34450" cy="4229100"/>
                    </a:xfrm>
                    <a:prstGeom prst="rect">
                      <a:avLst/>
                    </a:prstGeom>
                    <a:noFill/>
                    <a:ln>
                      <a:noFill/>
                    </a:ln>
                  </pic:spPr>
                </pic:pic>
              </a:graphicData>
            </a:graphic>
          </wp:inline>
        </w:drawing>
      </w:r>
    </w:p>
    <w:p w14:paraId="7B768C5F" w14:textId="77777777" w:rsidR="00B155FE" w:rsidRPr="00377D59" w:rsidRDefault="7C285CBA" w:rsidP="7C285CBA">
      <w:pPr>
        <w:spacing w:after="120" w:line="240" w:lineRule="auto"/>
        <w:jc w:val="both"/>
        <w:rPr>
          <w:rFonts w:ascii="Times New Roman" w:eastAsia="Times New Roman" w:hAnsi="Times New Roman" w:cs="Times New Roman"/>
          <w:sz w:val="24"/>
          <w:szCs w:val="24"/>
          <w:lang w:eastAsia="hu-HU"/>
        </w:rPr>
      </w:pPr>
      <w:r w:rsidRPr="7C285CBA">
        <w:rPr>
          <w:rFonts w:ascii="Times New Roman" w:eastAsia="Times New Roman" w:hAnsi="Times New Roman" w:cs="Times New Roman"/>
          <w:i/>
          <w:iCs/>
          <w:sz w:val="24"/>
          <w:szCs w:val="24"/>
          <w:lang w:eastAsia="hu-HU"/>
        </w:rPr>
        <w:t>Megjegyzés: a táblában szereplő tizedes eltérések kerekítésből adódnak.</w:t>
      </w:r>
    </w:p>
    <w:p w14:paraId="67FEF71B" w14:textId="4352F928" w:rsidR="00617877" w:rsidRPr="00377D59" w:rsidRDefault="00617877" w:rsidP="00617877">
      <w:pPr>
        <w:jc w:val="center"/>
        <w:rPr>
          <w:rFonts w:ascii="Times New Roman" w:eastAsia="Times New Roman" w:hAnsi="Times New Roman" w:cs="Times New Roman"/>
          <w:sz w:val="26"/>
          <w:szCs w:val="26"/>
          <w:lang w:eastAsia="hu-HU"/>
        </w:rPr>
      </w:pPr>
    </w:p>
    <w:p w14:paraId="612D5E01" w14:textId="247C2A7A" w:rsidR="00617877" w:rsidRPr="00377D59" w:rsidRDefault="00617877" w:rsidP="00617877">
      <w:pPr>
        <w:rPr>
          <w:rFonts w:ascii="Times New Roman" w:eastAsia="Times New Roman" w:hAnsi="Times New Roman" w:cs="Times New Roman"/>
          <w:sz w:val="26"/>
          <w:szCs w:val="26"/>
          <w:lang w:eastAsia="hu-HU"/>
        </w:rPr>
      </w:pPr>
    </w:p>
    <w:p w14:paraId="4A764331" w14:textId="77777777" w:rsidR="00EA1F58" w:rsidRPr="00377D59" w:rsidRDefault="00EA1F58" w:rsidP="00617877">
      <w:pPr>
        <w:rPr>
          <w:rFonts w:ascii="Times New Roman" w:eastAsia="Times New Roman" w:hAnsi="Times New Roman" w:cs="Times New Roman"/>
          <w:sz w:val="26"/>
          <w:szCs w:val="26"/>
          <w:lang w:eastAsia="hu-HU"/>
        </w:rPr>
        <w:sectPr w:rsidR="00EA1F58" w:rsidRPr="00377D59" w:rsidSect="007449BF">
          <w:headerReference w:type="default" r:id="rId29"/>
          <w:headerReference w:type="first" r:id="rId30"/>
          <w:footnotePr>
            <w:numRestart w:val="eachPage"/>
          </w:footnotePr>
          <w:pgSz w:w="16840" w:h="11907" w:orient="landscape" w:code="9"/>
          <w:pgMar w:top="993" w:right="1134" w:bottom="1134" w:left="1418" w:header="709" w:footer="709" w:gutter="0"/>
          <w:pgNumType w:start="19"/>
          <w:cols w:space="708"/>
          <w:titlePg/>
          <w:docGrid w:linePitch="299"/>
        </w:sectPr>
      </w:pPr>
    </w:p>
    <w:p w14:paraId="4639D1F2" w14:textId="50B6CC80"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b/>
          <w:bCs/>
          <w:sz w:val="26"/>
          <w:szCs w:val="26"/>
          <w:lang w:eastAsia="hu-HU"/>
        </w:rPr>
        <w:lastRenderedPageBreak/>
        <w:t>A központi költségvetés devizaadóssága</w:t>
      </w:r>
      <w:r w:rsidRPr="009033C0">
        <w:rPr>
          <w:rFonts w:ascii="Times New Roman" w:eastAsia="Times New Roman" w:hAnsi="Times New Roman" w:cs="Times New Roman"/>
          <w:sz w:val="26"/>
          <w:szCs w:val="26"/>
          <w:lang w:eastAsia="hu-HU"/>
        </w:rPr>
        <w:t xml:space="preserve"> 2025-ben 2218,6</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18</w:t>
      </w:r>
      <w:r>
        <w:rPr>
          <w:rFonts w:ascii="Times New Roman" w:eastAsia="Times New Roman" w:hAnsi="Times New Roman" w:cs="Times New Roman"/>
          <w:sz w:val="26"/>
          <w:szCs w:val="26"/>
          <w:lang w:eastAsia="hu-HU"/>
        </w:rPr>
        <w:t> </w:t>
      </w:r>
      <w:r w:rsidRPr="009033C0">
        <w:rPr>
          <w:rFonts w:ascii="Times New Roman" w:eastAsia="Times New Roman" w:hAnsi="Times New Roman" w:cs="Times New Roman"/>
          <w:sz w:val="26"/>
          <w:szCs w:val="26"/>
          <w:lang w:eastAsia="hu-HU"/>
        </w:rPr>
        <w:t>776,4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forintra növekedett az elmúlt év végéhez képest. A devizaadósság részaránya a 2024. év végi 29,8%-os szintről </w:t>
      </w:r>
      <w:r w:rsidR="00831975" w:rsidRPr="00831975">
        <w:rPr>
          <w:rFonts w:ascii="Times New Roman" w:eastAsia="Times New Roman" w:hAnsi="Times New Roman" w:cs="Times New Roman"/>
          <w:sz w:val="26"/>
          <w:szCs w:val="26"/>
          <w:lang w:eastAsia="hu-HU"/>
        </w:rPr>
        <w:t xml:space="preserve">átmenetileg </w:t>
      </w:r>
      <w:r w:rsidRPr="009033C0">
        <w:rPr>
          <w:rFonts w:ascii="Times New Roman" w:eastAsia="Times New Roman" w:hAnsi="Times New Roman" w:cs="Times New Roman"/>
          <w:sz w:val="26"/>
          <w:szCs w:val="26"/>
          <w:lang w:eastAsia="hu-HU"/>
        </w:rPr>
        <w:t>31,3%-os szintre emelkedett a teljes adósságon belül.</w:t>
      </w:r>
    </w:p>
    <w:p w14:paraId="33381026" w14:textId="60A16E9E"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t>A növekedés hátterében döntően a devizakötvény-kibocsátások állnak. 2025. január 7-én sor került az idei év első nemzetközi eurókötvény-kibocsátására összesen 1035,7</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(2,5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EUR) összegben. Két sorozat piacra vitele történt meg, egy 10 éves futamidejű hagyományos sorozat 621,4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EUR) és egy 15 éves futamidejű zöld sorozat 414,3</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(1,0</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EUR) összegben. 2025. június 16-án valósult meg a második nemzetközi devizakötvénykibocsátás, összesen 1404,6</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USD) értékben. Ez három tételből állt, az 5 éves futamidejű 526,7</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USD) összegű, a 10 éves futamidejű 351,1</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USD) összegű és a 30 éves futamidejű 526,7</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USD) összegű sorozatból. 2025. július 22-én volt Magyarország idei harmadik devizakötvény kibocsátása, amely egyben hazánk ötödik Panda Kötvény kibocsátása Kínában, összesen 237,8</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CNY) összegben. Két sorozat értékesítése történt meg, egy 3 éves futamidejű 190,2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CNY) és egy 5 éves futamidejű 47,6</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(1</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CNY) összegű. </w:t>
      </w:r>
    </w:p>
    <w:p w14:paraId="08D0567A" w14:textId="048525E0"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t xml:space="preserve">Az ECP (Euro </w:t>
      </w:r>
      <w:proofErr w:type="spellStart"/>
      <w:r w:rsidRPr="009033C0">
        <w:rPr>
          <w:rFonts w:ascii="Times New Roman" w:eastAsia="Times New Roman" w:hAnsi="Times New Roman" w:cs="Times New Roman"/>
          <w:sz w:val="26"/>
          <w:szCs w:val="26"/>
          <w:lang w:eastAsia="hu-HU"/>
        </w:rPr>
        <w:t>Commercial</w:t>
      </w:r>
      <w:proofErr w:type="spellEnd"/>
      <w:r w:rsidRPr="009033C0">
        <w:rPr>
          <w:rFonts w:ascii="Times New Roman" w:eastAsia="Times New Roman" w:hAnsi="Times New Roman" w:cs="Times New Roman"/>
          <w:sz w:val="26"/>
          <w:szCs w:val="26"/>
          <w:lang w:eastAsia="hu-HU"/>
        </w:rPr>
        <w:t xml:space="preserve"> </w:t>
      </w:r>
      <w:proofErr w:type="spellStart"/>
      <w:r w:rsidRPr="009033C0">
        <w:rPr>
          <w:rFonts w:ascii="Times New Roman" w:eastAsia="Times New Roman" w:hAnsi="Times New Roman" w:cs="Times New Roman"/>
          <w:sz w:val="26"/>
          <w:szCs w:val="26"/>
          <w:lang w:eastAsia="hu-HU"/>
        </w:rPr>
        <w:t>Paper</w:t>
      </w:r>
      <w:proofErr w:type="spellEnd"/>
      <w:r w:rsidRPr="009033C0">
        <w:rPr>
          <w:rFonts w:ascii="Times New Roman" w:eastAsia="Times New Roman" w:hAnsi="Times New Roman" w:cs="Times New Roman"/>
          <w:sz w:val="26"/>
          <w:szCs w:val="26"/>
          <w:lang w:eastAsia="hu-HU"/>
        </w:rPr>
        <w:t>) program keretében áprilisban kibocsátott devizaértékpapírok összege 180,1</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(500</w:t>
      </w:r>
      <w:r>
        <w:rPr>
          <w:rFonts w:ascii="Times New Roman" w:eastAsia="Times New Roman" w:hAnsi="Times New Roman" w:cs="Times New Roman"/>
          <w:sz w:val="26"/>
          <w:szCs w:val="26"/>
          <w:lang w:eastAsia="hu-HU"/>
        </w:rPr>
        <w:t> </w:t>
      </w:r>
      <w:r w:rsidRPr="009033C0">
        <w:rPr>
          <w:rFonts w:ascii="Times New Roman" w:eastAsia="Times New Roman" w:hAnsi="Times New Roman" w:cs="Times New Roman"/>
          <w:sz w:val="26"/>
          <w:szCs w:val="26"/>
          <w:lang w:eastAsia="hu-HU"/>
        </w:rPr>
        <w:t>millió USD) volt. A további devizahitel lehívások összege szintén emelte, míg az árfolyamerősödés ugyanakkor csökkentette a devizaadósság részarányát.</w:t>
      </w:r>
    </w:p>
    <w:p w14:paraId="7535C7F7" w14:textId="3962ACDE"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b/>
          <w:bCs/>
          <w:sz w:val="26"/>
          <w:szCs w:val="26"/>
          <w:lang w:eastAsia="hu-HU"/>
        </w:rPr>
        <w:t>A költségvetés forintadóssága</w:t>
      </w:r>
      <w:r w:rsidRPr="009033C0">
        <w:rPr>
          <w:rFonts w:ascii="Times New Roman" w:eastAsia="Times New Roman" w:hAnsi="Times New Roman" w:cs="Times New Roman"/>
          <w:sz w:val="26"/>
          <w:szCs w:val="26"/>
          <w:lang w:eastAsia="hu-HU"/>
        </w:rPr>
        <w:t xml:space="preserve"> augusztus végéig 2462,6</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növekedett és 41</w:t>
      </w:r>
      <w:r>
        <w:rPr>
          <w:rFonts w:ascii="Times New Roman" w:eastAsia="Times New Roman" w:hAnsi="Times New Roman" w:cs="Times New Roman"/>
          <w:sz w:val="26"/>
          <w:szCs w:val="26"/>
          <w:lang w:eastAsia="hu-HU"/>
        </w:rPr>
        <w:t> </w:t>
      </w:r>
      <w:r w:rsidRPr="009033C0">
        <w:rPr>
          <w:rFonts w:ascii="Times New Roman" w:eastAsia="Times New Roman" w:hAnsi="Times New Roman" w:cs="Times New Roman"/>
          <w:sz w:val="26"/>
          <w:szCs w:val="26"/>
          <w:lang w:eastAsia="hu-HU"/>
        </w:rPr>
        <w:t>164,2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ért el, a forint adósság a teljes államadósság 68,5%-át teszi ki. 2024 decemberében ez az arány 69,8% volt. </w:t>
      </w:r>
    </w:p>
    <w:p w14:paraId="2B454FD5" w14:textId="36020754"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t>2025. augusztus végén a forint lakossági állampapírok állománya 11</w:t>
      </w:r>
      <w:r>
        <w:rPr>
          <w:rFonts w:ascii="Times New Roman" w:eastAsia="Times New Roman" w:hAnsi="Times New Roman" w:cs="Times New Roman"/>
          <w:sz w:val="26"/>
          <w:szCs w:val="26"/>
          <w:lang w:eastAsia="hu-HU"/>
        </w:rPr>
        <w:t> </w:t>
      </w:r>
      <w:r w:rsidRPr="009033C0">
        <w:rPr>
          <w:rFonts w:ascii="Times New Roman" w:eastAsia="Times New Roman" w:hAnsi="Times New Roman" w:cs="Times New Roman"/>
          <w:sz w:val="26"/>
          <w:szCs w:val="26"/>
          <w:lang w:eastAsia="hu-HU"/>
        </w:rPr>
        <w:t>424,9</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tett ki, ami 162,0</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növekedést jelent 2024. december vége óta. A Prémium Magyar Állampapír állománya 2025. augusztus végére 2825,2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csökkent, amely így 4135,8</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tett ki. A Fix Magyar Állampapír állománya 1857,2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növekedett és elérte a 2874,2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hó végén. Szintén emelkedett a Bónusz Magyar Állampapír állománya is, 1227,4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növekedést követően a hó végén 2436,3</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tett ki. A Magyar Állampapír Plusz állománya, a nyomdai kibocsátású és a korábban értékesített papírokkal együtt, 157,9</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emelkedett, így hó végén 920,5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tett ki. A lakossági állampapírok közül a Fix Magyar Állampapír értékesítése volt a legmagasabb augusztusban.</w:t>
      </w:r>
    </w:p>
    <w:p w14:paraId="3526D016" w14:textId="78F9426A"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t>Az ÁKK Zrt. augusztus hó folyamán összesen 7,5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összegben vásárolt vissza lakossági állampapírokat a forgalmazó bankoktól. 2025 áprilisától a forgalmazóknak lehetőség nyílt saját számlájukra került lakossági állampapírok cseréjére. Ennek keretében augusztusban 36,9</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összegben váltották be a saját számlájukra került lakossági állampapírokat az épp értékesítés alatt álló sorozatokra, amit a másodpiacon tovább értékesíthetnek a lakosság számára.</w:t>
      </w:r>
    </w:p>
    <w:p w14:paraId="2D09AA98" w14:textId="41717A03" w:rsidR="009033C0" w:rsidRPr="009033C0"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lastRenderedPageBreak/>
        <w:t xml:space="preserve">A </w:t>
      </w:r>
      <w:r w:rsidRPr="009033C0">
        <w:rPr>
          <w:rFonts w:ascii="Times New Roman" w:eastAsia="Times New Roman" w:hAnsi="Times New Roman" w:cs="Times New Roman"/>
          <w:b/>
          <w:bCs/>
          <w:sz w:val="26"/>
          <w:szCs w:val="26"/>
          <w:lang w:eastAsia="hu-HU"/>
        </w:rPr>
        <w:t>külföldi befektetők állampapír állománya</w:t>
      </w:r>
      <w:r w:rsidRPr="009033C0">
        <w:rPr>
          <w:rFonts w:ascii="Times New Roman" w:eastAsia="Times New Roman" w:hAnsi="Times New Roman" w:cs="Times New Roman"/>
          <w:sz w:val="26"/>
          <w:szCs w:val="26"/>
          <w:lang w:eastAsia="hu-HU"/>
        </w:rPr>
        <w:t xml:space="preserve"> augusztusban 841,4</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7103,5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forintra emelkedett az előző hónaphoz képest. A külföldi állomány 99,8%-a, 7092,3</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államkötvény, 0,2%-a, 11,2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 diszkontkincstárjegy. A külföldi állomány átlagos hátralévő futamideje augusztus végén 5,3 év volt.</w:t>
      </w:r>
    </w:p>
    <w:p w14:paraId="43D54292" w14:textId="5EEE1E30" w:rsidR="007B0B76" w:rsidRDefault="009033C0" w:rsidP="009033C0">
      <w:pPr>
        <w:jc w:val="both"/>
        <w:rPr>
          <w:rFonts w:ascii="Times New Roman" w:eastAsia="Times New Roman" w:hAnsi="Times New Roman" w:cs="Times New Roman"/>
          <w:sz w:val="26"/>
          <w:szCs w:val="26"/>
          <w:lang w:eastAsia="hu-HU"/>
        </w:rPr>
      </w:pPr>
      <w:r w:rsidRPr="009033C0">
        <w:rPr>
          <w:rFonts w:ascii="Times New Roman" w:eastAsia="Times New Roman" w:hAnsi="Times New Roman" w:cs="Times New Roman"/>
          <w:sz w:val="26"/>
          <w:szCs w:val="26"/>
          <w:lang w:eastAsia="hu-HU"/>
        </w:rPr>
        <w:t xml:space="preserve">A devizaállamadósság kockázatainak mérséklése érdekében az ÁKK Zrt. </w:t>
      </w:r>
      <w:proofErr w:type="spellStart"/>
      <w:r w:rsidRPr="009033C0">
        <w:rPr>
          <w:rFonts w:ascii="Times New Roman" w:eastAsia="Times New Roman" w:hAnsi="Times New Roman" w:cs="Times New Roman"/>
          <w:sz w:val="26"/>
          <w:szCs w:val="26"/>
          <w:lang w:eastAsia="hu-HU"/>
        </w:rPr>
        <w:t>swapügyleteket</w:t>
      </w:r>
      <w:proofErr w:type="spellEnd"/>
      <w:r w:rsidRPr="009033C0">
        <w:rPr>
          <w:rFonts w:ascii="Times New Roman" w:eastAsia="Times New Roman" w:hAnsi="Times New Roman" w:cs="Times New Roman"/>
          <w:sz w:val="26"/>
          <w:szCs w:val="26"/>
          <w:lang w:eastAsia="hu-HU"/>
        </w:rPr>
        <w:t xml:space="preserve"> köt. Ezen ügyletekhez kapcsolódóan az ÁKK Zrt.-nél elhelyezett fedezeti összegek (ún. mark-</w:t>
      </w:r>
      <w:proofErr w:type="spellStart"/>
      <w:r w:rsidRPr="009033C0">
        <w:rPr>
          <w:rFonts w:ascii="Times New Roman" w:eastAsia="Times New Roman" w:hAnsi="Times New Roman" w:cs="Times New Roman"/>
          <w:sz w:val="26"/>
          <w:szCs w:val="26"/>
          <w:lang w:eastAsia="hu-HU"/>
        </w:rPr>
        <w:t>to</w:t>
      </w:r>
      <w:proofErr w:type="spellEnd"/>
      <w:r w:rsidRPr="009033C0">
        <w:rPr>
          <w:rFonts w:ascii="Times New Roman" w:eastAsia="Times New Roman" w:hAnsi="Times New Roman" w:cs="Times New Roman"/>
          <w:sz w:val="26"/>
          <w:szCs w:val="26"/>
          <w:lang w:eastAsia="hu-HU"/>
        </w:rPr>
        <w:t>-market betétek) az adósságállomány részét képezik, és az „egyéb kötelezettségek” soron kerülnek kimutatásra. A vizsgált időszakban az egyéb kötelezettségek állománya 94,2</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forinttal csökkent. Augusztus végén az állomány 125,5</w:t>
      </w:r>
      <w:r>
        <w:rPr>
          <w:rFonts w:ascii="Times New Roman" w:eastAsia="Times New Roman" w:hAnsi="Times New Roman" w:cs="Times New Roman"/>
          <w:sz w:val="26"/>
          <w:szCs w:val="26"/>
          <w:lang w:eastAsia="hu-HU"/>
        </w:rPr>
        <w:t> milliárd</w:t>
      </w:r>
      <w:r w:rsidRPr="009033C0">
        <w:rPr>
          <w:rFonts w:ascii="Times New Roman" w:eastAsia="Times New Roman" w:hAnsi="Times New Roman" w:cs="Times New Roman"/>
          <w:sz w:val="26"/>
          <w:szCs w:val="26"/>
          <w:lang w:eastAsia="hu-HU"/>
        </w:rPr>
        <w:t xml:space="preserve"> forintot tett ki, ami a teljes államadósság 0,2%-át jelenti</w:t>
      </w:r>
      <w:r w:rsidR="7C285CBA" w:rsidRPr="7C285CBA">
        <w:rPr>
          <w:rFonts w:ascii="Times New Roman" w:eastAsia="Times New Roman" w:hAnsi="Times New Roman" w:cs="Times New Roman"/>
          <w:sz w:val="26"/>
          <w:szCs w:val="26"/>
          <w:lang w:eastAsia="hu-HU"/>
        </w:rPr>
        <w:t>.</w:t>
      </w:r>
    </w:p>
    <w:p w14:paraId="41B275C0" w14:textId="77777777" w:rsidR="007B0B76" w:rsidRPr="007B0B76" w:rsidRDefault="007B0B76" w:rsidP="007B0B76">
      <w:pPr>
        <w:jc w:val="both"/>
        <w:rPr>
          <w:rFonts w:ascii="Times New Roman" w:eastAsia="Times New Roman" w:hAnsi="Times New Roman" w:cs="Times New Roman"/>
          <w:sz w:val="26"/>
          <w:szCs w:val="26"/>
          <w:lang w:eastAsia="hu-HU"/>
        </w:rPr>
      </w:pPr>
    </w:p>
    <w:sectPr w:rsidR="007B0B76" w:rsidRPr="007B0B76" w:rsidSect="007449BF">
      <w:headerReference w:type="even" r:id="rId31"/>
      <w:footerReference w:type="default" r:id="rId32"/>
      <w:footerReference w:type="first" r:id="rId33"/>
      <w:pgSz w:w="11906" w:h="16838"/>
      <w:pgMar w:top="1418" w:right="1134" w:bottom="1418" w:left="1134" w:header="708"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8494C" w14:textId="77777777" w:rsidR="00482CC1" w:rsidRDefault="00482CC1" w:rsidP="00B155FE">
      <w:pPr>
        <w:spacing w:after="0" w:line="240" w:lineRule="auto"/>
      </w:pPr>
      <w:r>
        <w:separator/>
      </w:r>
    </w:p>
  </w:endnote>
  <w:endnote w:type="continuationSeparator" w:id="0">
    <w:p w14:paraId="0CF0A269" w14:textId="77777777" w:rsidR="00482CC1" w:rsidRDefault="00482CC1" w:rsidP="00B155FE">
      <w:pPr>
        <w:spacing w:after="0" w:line="240" w:lineRule="auto"/>
      </w:pPr>
      <w:r>
        <w:continuationSeparator/>
      </w:r>
    </w:p>
  </w:endnote>
  <w:endnote w:type="continuationNotice" w:id="1">
    <w:p w14:paraId="5A5417C1" w14:textId="77777777" w:rsidR="00482CC1" w:rsidRDefault="004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2D1F" w14:textId="4DE2DC1D" w:rsidR="00473AC1" w:rsidRDefault="00473AC1">
    <w:pPr>
      <w:pStyle w:val="llb"/>
      <w:jc w:val="center"/>
    </w:pPr>
  </w:p>
  <w:p w14:paraId="41773F2F" w14:textId="77777777" w:rsidR="00473AC1" w:rsidRDefault="00473AC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154505"/>
      <w:docPartObj>
        <w:docPartGallery w:val="Page Numbers (Bottom of Page)"/>
        <w:docPartUnique/>
      </w:docPartObj>
    </w:sdtPr>
    <w:sdtEndPr>
      <w:rPr>
        <w:rFonts w:ascii="Times New Roman" w:hAnsi="Times New Roman" w:cs="Times New Roman"/>
        <w:sz w:val="24"/>
      </w:rPr>
    </w:sdtEndPr>
    <w:sdtContent>
      <w:p w14:paraId="52C756D2" w14:textId="3800D4A3" w:rsidR="00473AC1" w:rsidRPr="005A1E0F" w:rsidRDefault="00473AC1">
        <w:pPr>
          <w:pStyle w:val="llb"/>
          <w:jc w:val="center"/>
          <w:rPr>
            <w:rFonts w:ascii="Times New Roman" w:hAnsi="Times New Roman" w:cs="Times New Roman"/>
            <w:sz w:val="24"/>
          </w:rPr>
        </w:pPr>
        <w:r w:rsidRPr="005A1E0F">
          <w:rPr>
            <w:rFonts w:ascii="Times New Roman" w:hAnsi="Times New Roman" w:cs="Times New Roman"/>
          </w:rPr>
          <w:t>20</w:t>
        </w:r>
      </w:p>
    </w:sdtContent>
  </w:sdt>
  <w:p w14:paraId="64304736" w14:textId="77777777" w:rsidR="00473AC1" w:rsidRDefault="00473AC1">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558895"/>
      <w:docPartObj>
        <w:docPartGallery w:val="Page Numbers (Bottom of Page)"/>
        <w:docPartUnique/>
      </w:docPartObj>
    </w:sdtPr>
    <w:sdtEndPr>
      <w:rPr>
        <w:rFonts w:ascii="Times New Roman" w:hAnsi="Times New Roman" w:cs="Times New Roman"/>
        <w:sz w:val="24"/>
      </w:rPr>
    </w:sdtEndPr>
    <w:sdtContent>
      <w:p w14:paraId="10FD5F29" w14:textId="7D80A60B" w:rsidR="00473AC1" w:rsidRPr="00470868" w:rsidRDefault="00473AC1">
        <w:pPr>
          <w:pStyle w:val="llb"/>
          <w:jc w:val="center"/>
          <w:rPr>
            <w:rFonts w:ascii="Times New Roman" w:hAnsi="Times New Roman" w:cs="Times New Roman"/>
            <w:sz w:val="24"/>
          </w:rPr>
        </w:pPr>
        <w:r w:rsidRPr="00470868">
          <w:rPr>
            <w:rFonts w:ascii="Times New Roman" w:hAnsi="Times New Roman" w:cs="Times New Roman"/>
            <w:sz w:val="24"/>
          </w:rPr>
          <w:fldChar w:fldCharType="begin"/>
        </w:r>
        <w:r w:rsidRPr="00470868">
          <w:rPr>
            <w:rFonts w:ascii="Times New Roman" w:hAnsi="Times New Roman" w:cs="Times New Roman"/>
            <w:sz w:val="24"/>
          </w:rPr>
          <w:instrText>PAGE   \* MERGEFORMAT</w:instrText>
        </w:r>
        <w:r w:rsidRPr="00470868">
          <w:rPr>
            <w:rFonts w:ascii="Times New Roman" w:hAnsi="Times New Roman" w:cs="Times New Roman"/>
            <w:sz w:val="24"/>
          </w:rPr>
          <w:fldChar w:fldCharType="separate"/>
        </w:r>
        <w:r w:rsidR="007B6DF2">
          <w:rPr>
            <w:rFonts w:ascii="Times New Roman" w:hAnsi="Times New Roman" w:cs="Times New Roman"/>
            <w:noProof/>
            <w:sz w:val="24"/>
          </w:rPr>
          <w:t>19</w:t>
        </w:r>
        <w:r w:rsidRPr="00470868">
          <w:rPr>
            <w:rFonts w:ascii="Times New Roman" w:hAnsi="Times New Roman" w:cs="Times New Roman"/>
            <w:sz w:val="24"/>
          </w:rPr>
          <w:fldChar w:fldCharType="end"/>
        </w:r>
      </w:p>
    </w:sdtContent>
  </w:sdt>
  <w:p w14:paraId="17329691" w14:textId="773A5D5E" w:rsidR="00473AC1" w:rsidRPr="00556984" w:rsidRDefault="00473AC1" w:rsidP="00556984">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18299"/>
      <w:docPartObj>
        <w:docPartGallery w:val="Page Numbers (Bottom of Page)"/>
        <w:docPartUnique/>
      </w:docPartObj>
    </w:sdtPr>
    <w:sdtEndPr>
      <w:rPr>
        <w:rFonts w:ascii="Times New Roman" w:hAnsi="Times New Roman" w:cs="Times New Roman"/>
        <w:sz w:val="24"/>
      </w:rPr>
    </w:sdtEndPr>
    <w:sdtContent>
      <w:p w14:paraId="7ADCE6C8" w14:textId="77777777" w:rsidR="00473AC1" w:rsidRPr="00D4148C" w:rsidRDefault="00473AC1">
        <w:pPr>
          <w:pStyle w:val="llb"/>
          <w:jc w:val="center"/>
          <w:rPr>
            <w:rFonts w:ascii="Times New Roman" w:hAnsi="Times New Roman" w:cs="Times New Roman"/>
            <w:sz w:val="24"/>
          </w:rPr>
        </w:pPr>
        <w:r>
          <w:rPr>
            <w:rFonts w:ascii="Times New Roman" w:hAnsi="Times New Roman" w:cs="Times New Roman"/>
            <w:sz w:val="24"/>
          </w:rPr>
          <w:t>22</w:t>
        </w:r>
      </w:p>
    </w:sdtContent>
  </w:sdt>
  <w:p w14:paraId="078E8FA1" w14:textId="77777777" w:rsidR="00473AC1" w:rsidRDefault="00473AC1" w:rsidP="00C74E0F">
    <w:pPr>
      <w:pStyle w:val="llb"/>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40D1" w14:textId="0EBE225F" w:rsidR="00473AC1" w:rsidRDefault="7C285CBA" w:rsidP="004A3001">
    <w:pPr>
      <w:pStyle w:val="llb"/>
      <w:jc w:val="center"/>
    </w:pPr>
    <w:r w:rsidRPr="7C285CBA">
      <w:rPr>
        <w:rFonts w:ascii="Times New Roman" w:hAnsi="Times New Roman" w:cs="Times New Roman"/>
        <w:sz w:val="24"/>
        <w:szCs w:val="2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8CC32" w14:textId="77777777" w:rsidR="00482CC1" w:rsidRDefault="00482CC1" w:rsidP="00B155FE">
      <w:pPr>
        <w:spacing w:after="0" w:line="240" w:lineRule="auto"/>
      </w:pPr>
      <w:r>
        <w:separator/>
      </w:r>
    </w:p>
  </w:footnote>
  <w:footnote w:type="continuationSeparator" w:id="0">
    <w:p w14:paraId="733D9209" w14:textId="77777777" w:rsidR="00482CC1" w:rsidRDefault="00482CC1" w:rsidP="00B155FE">
      <w:pPr>
        <w:spacing w:after="0" w:line="240" w:lineRule="auto"/>
      </w:pPr>
      <w:r>
        <w:continuationSeparator/>
      </w:r>
    </w:p>
  </w:footnote>
  <w:footnote w:type="continuationNotice" w:id="1">
    <w:p w14:paraId="6B5CF0C7" w14:textId="77777777" w:rsidR="00482CC1" w:rsidRDefault="004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00473AC1" w14:paraId="1027336C" w14:textId="77777777" w:rsidTr="75E7E8C2">
      <w:tc>
        <w:tcPr>
          <w:tcW w:w="3118" w:type="dxa"/>
        </w:tcPr>
        <w:p w14:paraId="4C837DDD" w14:textId="79A8EEFC" w:rsidR="00473AC1" w:rsidRDefault="00473AC1" w:rsidP="75E7E8C2">
          <w:pPr>
            <w:pStyle w:val="lfej"/>
            <w:ind w:left="-115"/>
          </w:pPr>
        </w:p>
      </w:tc>
      <w:tc>
        <w:tcPr>
          <w:tcW w:w="3118" w:type="dxa"/>
        </w:tcPr>
        <w:p w14:paraId="215A5B55" w14:textId="4B5EFC16" w:rsidR="00473AC1" w:rsidRDefault="00473AC1" w:rsidP="75E7E8C2">
          <w:pPr>
            <w:pStyle w:val="lfej"/>
            <w:jc w:val="center"/>
          </w:pPr>
        </w:p>
      </w:tc>
      <w:tc>
        <w:tcPr>
          <w:tcW w:w="3118" w:type="dxa"/>
        </w:tcPr>
        <w:p w14:paraId="08CD3A76" w14:textId="283AC16D" w:rsidR="00473AC1" w:rsidRDefault="00473AC1" w:rsidP="75E7E8C2">
          <w:pPr>
            <w:pStyle w:val="lfej"/>
            <w:ind w:right="-115"/>
            <w:jc w:val="right"/>
          </w:pPr>
        </w:p>
      </w:tc>
    </w:tr>
  </w:tbl>
  <w:p w14:paraId="4176297E" w14:textId="7CD13837" w:rsidR="00473AC1" w:rsidRDefault="00473AC1" w:rsidP="75E7E8C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47D1" w14:textId="3D0DDD49" w:rsidR="00473AC1" w:rsidRDefault="00473AC1" w:rsidP="75E7E8C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8C96" w14:textId="77777777" w:rsidR="00473AC1" w:rsidRPr="00881044" w:rsidRDefault="00473AC1" w:rsidP="00C74E0F">
    <w:pPr>
      <w:pStyle w:val="lfej"/>
      <w:rPr>
        <w:rStyle w:val="Oldalsz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8C97" w14:textId="77777777" w:rsidR="00473AC1" w:rsidRPr="00FE4DD1" w:rsidRDefault="00473AC1" w:rsidP="00C74E0F">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009518"/>
      <w:docPartObj>
        <w:docPartGallery w:val="Page Numbers (Top of Page)"/>
        <w:docPartUnique/>
      </w:docPartObj>
    </w:sdtPr>
    <w:sdtEndPr>
      <w:rPr>
        <w:noProof/>
      </w:rPr>
    </w:sdtEndPr>
    <w:sdtContent>
      <w:p w14:paraId="2CB15785" w14:textId="77777777" w:rsidR="00473AC1" w:rsidRDefault="00473AC1">
        <w:pPr>
          <w:pStyle w:val="lfej"/>
          <w:jc w:val="center"/>
        </w:pPr>
        <w:r>
          <w:fldChar w:fldCharType="begin"/>
        </w:r>
        <w:r>
          <w:instrText xml:space="preserve"> PAGE   \* MERGEFORMAT </w:instrText>
        </w:r>
        <w:r>
          <w:fldChar w:fldCharType="separate"/>
        </w:r>
        <w:r>
          <w:rPr>
            <w:noProof/>
          </w:rPr>
          <w:t>20</w:t>
        </w:r>
        <w:r>
          <w:rPr>
            <w:noProof/>
          </w:rPr>
          <w:fldChar w:fldCharType="end"/>
        </w:r>
      </w:p>
    </w:sdtContent>
  </w:sdt>
  <w:p w14:paraId="2A775F7D" w14:textId="77777777" w:rsidR="00473AC1" w:rsidRDefault="00473AC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298"/>
    <w:multiLevelType w:val="hybridMultilevel"/>
    <w:tmpl w:val="44CCC2AC"/>
    <w:lvl w:ilvl="0" w:tplc="08783BEC">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602D43"/>
    <w:multiLevelType w:val="hybridMultilevel"/>
    <w:tmpl w:val="390E53F2"/>
    <w:lvl w:ilvl="0" w:tplc="F872D380">
      <w:start w:val="1"/>
      <w:numFmt w:val="bullet"/>
      <w:lvlText w:val=""/>
      <w:lvlJc w:val="left"/>
      <w:pPr>
        <w:ind w:left="720" w:hanging="360"/>
      </w:pPr>
      <w:rPr>
        <w:rFonts w:ascii="Symbol" w:hAnsi="Symbol" w:hint="default"/>
      </w:rPr>
    </w:lvl>
    <w:lvl w:ilvl="1" w:tplc="86BC4448">
      <w:start w:val="1"/>
      <w:numFmt w:val="bullet"/>
      <w:lvlText w:val="o"/>
      <w:lvlJc w:val="left"/>
      <w:pPr>
        <w:ind w:left="1440" w:hanging="360"/>
      </w:pPr>
      <w:rPr>
        <w:rFonts w:ascii="Courier New" w:hAnsi="Courier New" w:hint="default"/>
      </w:rPr>
    </w:lvl>
    <w:lvl w:ilvl="2" w:tplc="F05C9352">
      <w:start w:val="1"/>
      <w:numFmt w:val="bullet"/>
      <w:lvlText w:val=""/>
      <w:lvlJc w:val="left"/>
      <w:pPr>
        <w:ind w:left="2160" w:hanging="360"/>
      </w:pPr>
      <w:rPr>
        <w:rFonts w:ascii="Wingdings" w:hAnsi="Wingdings" w:hint="default"/>
      </w:rPr>
    </w:lvl>
    <w:lvl w:ilvl="3" w:tplc="232EF98C">
      <w:start w:val="1"/>
      <w:numFmt w:val="bullet"/>
      <w:lvlText w:val=""/>
      <w:lvlJc w:val="left"/>
      <w:pPr>
        <w:ind w:left="2880" w:hanging="360"/>
      </w:pPr>
      <w:rPr>
        <w:rFonts w:ascii="Symbol" w:hAnsi="Symbol" w:hint="default"/>
      </w:rPr>
    </w:lvl>
    <w:lvl w:ilvl="4" w:tplc="03066B72">
      <w:start w:val="1"/>
      <w:numFmt w:val="bullet"/>
      <w:lvlText w:val="o"/>
      <w:lvlJc w:val="left"/>
      <w:pPr>
        <w:ind w:left="3600" w:hanging="360"/>
      </w:pPr>
      <w:rPr>
        <w:rFonts w:ascii="Courier New" w:hAnsi="Courier New" w:hint="default"/>
      </w:rPr>
    </w:lvl>
    <w:lvl w:ilvl="5" w:tplc="7A906010">
      <w:start w:val="1"/>
      <w:numFmt w:val="bullet"/>
      <w:lvlText w:val=""/>
      <w:lvlJc w:val="left"/>
      <w:pPr>
        <w:ind w:left="4320" w:hanging="360"/>
      </w:pPr>
      <w:rPr>
        <w:rFonts w:ascii="Wingdings" w:hAnsi="Wingdings" w:hint="default"/>
      </w:rPr>
    </w:lvl>
    <w:lvl w:ilvl="6" w:tplc="9F6A3F04">
      <w:start w:val="1"/>
      <w:numFmt w:val="bullet"/>
      <w:lvlText w:val=""/>
      <w:lvlJc w:val="left"/>
      <w:pPr>
        <w:ind w:left="5040" w:hanging="360"/>
      </w:pPr>
      <w:rPr>
        <w:rFonts w:ascii="Symbol" w:hAnsi="Symbol" w:hint="default"/>
      </w:rPr>
    </w:lvl>
    <w:lvl w:ilvl="7" w:tplc="D5603E42">
      <w:start w:val="1"/>
      <w:numFmt w:val="bullet"/>
      <w:lvlText w:val="o"/>
      <w:lvlJc w:val="left"/>
      <w:pPr>
        <w:ind w:left="5760" w:hanging="360"/>
      </w:pPr>
      <w:rPr>
        <w:rFonts w:ascii="Courier New" w:hAnsi="Courier New" w:hint="default"/>
      </w:rPr>
    </w:lvl>
    <w:lvl w:ilvl="8" w:tplc="F1D4D0F8">
      <w:start w:val="1"/>
      <w:numFmt w:val="bullet"/>
      <w:lvlText w:val=""/>
      <w:lvlJc w:val="left"/>
      <w:pPr>
        <w:ind w:left="6480" w:hanging="360"/>
      </w:pPr>
      <w:rPr>
        <w:rFonts w:ascii="Wingdings" w:hAnsi="Wingdings" w:hint="default"/>
      </w:rPr>
    </w:lvl>
  </w:abstractNum>
  <w:abstractNum w:abstractNumId="2" w15:restartNumberingAfterBreak="0">
    <w:nsid w:val="3CC7670D"/>
    <w:multiLevelType w:val="hybridMultilevel"/>
    <w:tmpl w:val="FDDC7674"/>
    <w:lvl w:ilvl="0" w:tplc="9120DF1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1033469"/>
    <w:multiLevelType w:val="hybridMultilevel"/>
    <w:tmpl w:val="D612FE54"/>
    <w:lvl w:ilvl="0" w:tplc="85BCE940">
      <w:start w:val="1"/>
      <w:numFmt w:val="bullet"/>
      <w:lvlText w:val=""/>
      <w:lvlJc w:val="left"/>
      <w:pPr>
        <w:ind w:left="720" w:hanging="360"/>
      </w:pPr>
      <w:rPr>
        <w:rFonts w:ascii="Symbol" w:hAnsi="Symbol" w:hint="default"/>
      </w:rPr>
    </w:lvl>
    <w:lvl w:ilvl="1" w:tplc="EDE89D4A">
      <w:start w:val="1"/>
      <w:numFmt w:val="bullet"/>
      <w:lvlText w:val="o"/>
      <w:lvlJc w:val="left"/>
      <w:pPr>
        <w:ind w:left="1440" w:hanging="360"/>
      </w:pPr>
      <w:rPr>
        <w:rFonts w:ascii="Courier New" w:hAnsi="Courier New" w:hint="default"/>
      </w:rPr>
    </w:lvl>
    <w:lvl w:ilvl="2" w:tplc="91061732">
      <w:start w:val="1"/>
      <w:numFmt w:val="bullet"/>
      <w:lvlText w:val=""/>
      <w:lvlJc w:val="left"/>
      <w:pPr>
        <w:ind w:left="2160" w:hanging="360"/>
      </w:pPr>
      <w:rPr>
        <w:rFonts w:ascii="Wingdings" w:hAnsi="Wingdings" w:hint="default"/>
      </w:rPr>
    </w:lvl>
    <w:lvl w:ilvl="3" w:tplc="5D04C974">
      <w:start w:val="1"/>
      <w:numFmt w:val="bullet"/>
      <w:lvlText w:val=""/>
      <w:lvlJc w:val="left"/>
      <w:pPr>
        <w:ind w:left="2880" w:hanging="360"/>
      </w:pPr>
      <w:rPr>
        <w:rFonts w:ascii="Symbol" w:hAnsi="Symbol" w:hint="default"/>
      </w:rPr>
    </w:lvl>
    <w:lvl w:ilvl="4" w:tplc="1C648E36">
      <w:start w:val="1"/>
      <w:numFmt w:val="bullet"/>
      <w:lvlText w:val="o"/>
      <w:lvlJc w:val="left"/>
      <w:pPr>
        <w:ind w:left="3600" w:hanging="360"/>
      </w:pPr>
      <w:rPr>
        <w:rFonts w:ascii="Courier New" w:hAnsi="Courier New" w:hint="default"/>
      </w:rPr>
    </w:lvl>
    <w:lvl w:ilvl="5" w:tplc="2DB00CB0">
      <w:start w:val="1"/>
      <w:numFmt w:val="bullet"/>
      <w:lvlText w:val=""/>
      <w:lvlJc w:val="left"/>
      <w:pPr>
        <w:ind w:left="4320" w:hanging="360"/>
      </w:pPr>
      <w:rPr>
        <w:rFonts w:ascii="Wingdings" w:hAnsi="Wingdings" w:hint="default"/>
      </w:rPr>
    </w:lvl>
    <w:lvl w:ilvl="6" w:tplc="3C9E0854">
      <w:start w:val="1"/>
      <w:numFmt w:val="bullet"/>
      <w:lvlText w:val=""/>
      <w:lvlJc w:val="left"/>
      <w:pPr>
        <w:ind w:left="5040" w:hanging="360"/>
      </w:pPr>
      <w:rPr>
        <w:rFonts w:ascii="Symbol" w:hAnsi="Symbol" w:hint="default"/>
      </w:rPr>
    </w:lvl>
    <w:lvl w:ilvl="7" w:tplc="EF2AE296">
      <w:start w:val="1"/>
      <w:numFmt w:val="bullet"/>
      <w:lvlText w:val="o"/>
      <w:lvlJc w:val="left"/>
      <w:pPr>
        <w:ind w:left="5760" w:hanging="360"/>
      </w:pPr>
      <w:rPr>
        <w:rFonts w:ascii="Courier New" w:hAnsi="Courier New" w:hint="default"/>
      </w:rPr>
    </w:lvl>
    <w:lvl w:ilvl="8" w:tplc="1B7CE0FC">
      <w:start w:val="1"/>
      <w:numFmt w:val="bullet"/>
      <w:lvlText w:val=""/>
      <w:lvlJc w:val="left"/>
      <w:pPr>
        <w:ind w:left="6480" w:hanging="360"/>
      </w:pPr>
      <w:rPr>
        <w:rFonts w:ascii="Wingdings" w:hAnsi="Wingdings" w:hint="default"/>
      </w:rPr>
    </w:lvl>
  </w:abstractNum>
  <w:abstractNum w:abstractNumId="4" w15:restartNumberingAfterBreak="0">
    <w:nsid w:val="5573523A"/>
    <w:multiLevelType w:val="hybridMultilevel"/>
    <w:tmpl w:val="92D45DA0"/>
    <w:lvl w:ilvl="0" w:tplc="5E4290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70F720B"/>
    <w:multiLevelType w:val="hybridMultilevel"/>
    <w:tmpl w:val="9D346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47603289">
    <w:abstractNumId w:val="3"/>
  </w:num>
  <w:num w:numId="2" w16cid:durableId="1171026080">
    <w:abstractNumId w:val="4"/>
  </w:num>
  <w:num w:numId="3" w16cid:durableId="1245341741">
    <w:abstractNumId w:val="0"/>
  </w:num>
  <w:num w:numId="4" w16cid:durableId="1549414595">
    <w:abstractNumId w:val="5"/>
  </w:num>
  <w:num w:numId="5" w16cid:durableId="993993450">
    <w:abstractNumId w:val="2"/>
  </w:num>
  <w:num w:numId="6" w16cid:durableId="89535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E"/>
    <w:rsid w:val="00000517"/>
    <w:rsid w:val="0000169C"/>
    <w:rsid w:val="00001DDD"/>
    <w:rsid w:val="000044C3"/>
    <w:rsid w:val="00007D4A"/>
    <w:rsid w:val="000103E9"/>
    <w:rsid w:val="000118DE"/>
    <w:rsid w:val="00015558"/>
    <w:rsid w:val="00015945"/>
    <w:rsid w:val="00020D17"/>
    <w:rsid w:val="0002105A"/>
    <w:rsid w:val="00022205"/>
    <w:rsid w:val="00022974"/>
    <w:rsid w:val="000237EA"/>
    <w:rsid w:val="00024158"/>
    <w:rsid w:val="0002586B"/>
    <w:rsid w:val="00025889"/>
    <w:rsid w:val="00026266"/>
    <w:rsid w:val="0002674A"/>
    <w:rsid w:val="000302F3"/>
    <w:rsid w:val="00031896"/>
    <w:rsid w:val="00031C82"/>
    <w:rsid w:val="00031C9D"/>
    <w:rsid w:val="00034760"/>
    <w:rsid w:val="000365DC"/>
    <w:rsid w:val="0003668B"/>
    <w:rsid w:val="0003701E"/>
    <w:rsid w:val="0004032B"/>
    <w:rsid w:val="000407DB"/>
    <w:rsid w:val="00043E49"/>
    <w:rsid w:val="00044042"/>
    <w:rsid w:val="000458BD"/>
    <w:rsid w:val="000471E4"/>
    <w:rsid w:val="000512BB"/>
    <w:rsid w:val="00051E9B"/>
    <w:rsid w:val="0005236D"/>
    <w:rsid w:val="00052502"/>
    <w:rsid w:val="0005250F"/>
    <w:rsid w:val="00052554"/>
    <w:rsid w:val="00052E4F"/>
    <w:rsid w:val="00054358"/>
    <w:rsid w:val="00054CDA"/>
    <w:rsid w:val="00055632"/>
    <w:rsid w:val="00057916"/>
    <w:rsid w:val="000611EC"/>
    <w:rsid w:val="000617B7"/>
    <w:rsid w:val="00064521"/>
    <w:rsid w:val="0006496D"/>
    <w:rsid w:val="00064D6A"/>
    <w:rsid w:val="00064E2A"/>
    <w:rsid w:val="00065E19"/>
    <w:rsid w:val="00067A57"/>
    <w:rsid w:val="00070EAC"/>
    <w:rsid w:val="00071FA3"/>
    <w:rsid w:val="00072A58"/>
    <w:rsid w:val="0007336F"/>
    <w:rsid w:val="0007525D"/>
    <w:rsid w:val="000770F3"/>
    <w:rsid w:val="00077440"/>
    <w:rsid w:val="0008062F"/>
    <w:rsid w:val="00081A0C"/>
    <w:rsid w:val="00081A16"/>
    <w:rsid w:val="00081FF0"/>
    <w:rsid w:val="00082ADE"/>
    <w:rsid w:val="000846A7"/>
    <w:rsid w:val="00085B09"/>
    <w:rsid w:val="00085C37"/>
    <w:rsid w:val="00085DCC"/>
    <w:rsid w:val="000874F4"/>
    <w:rsid w:val="00087C75"/>
    <w:rsid w:val="00091B18"/>
    <w:rsid w:val="00091F16"/>
    <w:rsid w:val="0009484D"/>
    <w:rsid w:val="00095983"/>
    <w:rsid w:val="00095C95"/>
    <w:rsid w:val="00096300"/>
    <w:rsid w:val="000A0A88"/>
    <w:rsid w:val="000A0C4E"/>
    <w:rsid w:val="000A18F9"/>
    <w:rsid w:val="000A1F24"/>
    <w:rsid w:val="000A2818"/>
    <w:rsid w:val="000A296F"/>
    <w:rsid w:val="000A2EAB"/>
    <w:rsid w:val="000A4669"/>
    <w:rsid w:val="000A4732"/>
    <w:rsid w:val="000A4839"/>
    <w:rsid w:val="000A531B"/>
    <w:rsid w:val="000A7964"/>
    <w:rsid w:val="000B1235"/>
    <w:rsid w:val="000B2569"/>
    <w:rsid w:val="000B49AE"/>
    <w:rsid w:val="000B58F0"/>
    <w:rsid w:val="000B6723"/>
    <w:rsid w:val="000B6BE0"/>
    <w:rsid w:val="000B7018"/>
    <w:rsid w:val="000C1105"/>
    <w:rsid w:val="000C13F2"/>
    <w:rsid w:val="000C1781"/>
    <w:rsid w:val="000C1B6F"/>
    <w:rsid w:val="000C20F7"/>
    <w:rsid w:val="000C2BFE"/>
    <w:rsid w:val="000C31E5"/>
    <w:rsid w:val="000C3D4C"/>
    <w:rsid w:val="000C46F3"/>
    <w:rsid w:val="000C7CC7"/>
    <w:rsid w:val="000D074C"/>
    <w:rsid w:val="000D1BA8"/>
    <w:rsid w:val="000D39EE"/>
    <w:rsid w:val="000D4A41"/>
    <w:rsid w:val="000D4E21"/>
    <w:rsid w:val="000D59E2"/>
    <w:rsid w:val="000D5A5C"/>
    <w:rsid w:val="000D6C88"/>
    <w:rsid w:val="000D76F4"/>
    <w:rsid w:val="000D7836"/>
    <w:rsid w:val="000D7C83"/>
    <w:rsid w:val="000D7EFD"/>
    <w:rsid w:val="000E08FE"/>
    <w:rsid w:val="000E3639"/>
    <w:rsid w:val="000E4202"/>
    <w:rsid w:val="000E4745"/>
    <w:rsid w:val="000E4B01"/>
    <w:rsid w:val="000E4BA6"/>
    <w:rsid w:val="000E4F73"/>
    <w:rsid w:val="000E5868"/>
    <w:rsid w:val="000E5AA8"/>
    <w:rsid w:val="000E690A"/>
    <w:rsid w:val="000E78FE"/>
    <w:rsid w:val="000F046E"/>
    <w:rsid w:val="000F13BA"/>
    <w:rsid w:val="000F63B6"/>
    <w:rsid w:val="000F765C"/>
    <w:rsid w:val="0010108E"/>
    <w:rsid w:val="00101618"/>
    <w:rsid w:val="001023AC"/>
    <w:rsid w:val="00103FE9"/>
    <w:rsid w:val="00104A6A"/>
    <w:rsid w:val="001074A1"/>
    <w:rsid w:val="0010753C"/>
    <w:rsid w:val="00110C6D"/>
    <w:rsid w:val="001135FA"/>
    <w:rsid w:val="001138B8"/>
    <w:rsid w:val="00115834"/>
    <w:rsid w:val="00115AF5"/>
    <w:rsid w:val="00117E64"/>
    <w:rsid w:val="001209E7"/>
    <w:rsid w:val="00120B53"/>
    <w:rsid w:val="001215DC"/>
    <w:rsid w:val="001229C6"/>
    <w:rsid w:val="0012490F"/>
    <w:rsid w:val="00125040"/>
    <w:rsid w:val="0012611D"/>
    <w:rsid w:val="001266D5"/>
    <w:rsid w:val="00126D53"/>
    <w:rsid w:val="00127579"/>
    <w:rsid w:val="00133EE6"/>
    <w:rsid w:val="0013421A"/>
    <w:rsid w:val="0013434A"/>
    <w:rsid w:val="00134BE6"/>
    <w:rsid w:val="00134EEA"/>
    <w:rsid w:val="0013596C"/>
    <w:rsid w:val="00135EA3"/>
    <w:rsid w:val="00136087"/>
    <w:rsid w:val="001366F9"/>
    <w:rsid w:val="001378AC"/>
    <w:rsid w:val="00142F01"/>
    <w:rsid w:val="00146517"/>
    <w:rsid w:val="00147C0E"/>
    <w:rsid w:val="00150CCD"/>
    <w:rsid w:val="0015256A"/>
    <w:rsid w:val="00153722"/>
    <w:rsid w:val="0015385C"/>
    <w:rsid w:val="00153C19"/>
    <w:rsid w:val="00155283"/>
    <w:rsid w:val="001552F0"/>
    <w:rsid w:val="00155301"/>
    <w:rsid w:val="00156079"/>
    <w:rsid w:val="001615DE"/>
    <w:rsid w:val="00161C4F"/>
    <w:rsid w:val="00162178"/>
    <w:rsid w:val="00167874"/>
    <w:rsid w:val="00170E23"/>
    <w:rsid w:val="00174A9A"/>
    <w:rsid w:val="001765F3"/>
    <w:rsid w:val="00180316"/>
    <w:rsid w:val="00180337"/>
    <w:rsid w:val="00182D6E"/>
    <w:rsid w:val="00183D4C"/>
    <w:rsid w:val="001849A2"/>
    <w:rsid w:val="00185268"/>
    <w:rsid w:val="001855C0"/>
    <w:rsid w:val="00186B09"/>
    <w:rsid w:val="0019060B"/>
    <w:rsid w:val="00190E21"/>
    <w:rsid w:val="00193514"/>
    <w:rsid w:val="00193DF7"/>
    <w:rsid w:val="00194065"/>
    <w:rsid w:val="00194E8F"/>
    <w:rsid w:val="00194EEE"/>
    <w:rsid w:val="001967FC"/>
    <w:rsid w:val="001970FB"/>
    <w:rsid w:val="00197516"/>
    <w:rsid w:val="001A025E"/>
    <w:rsid w:val="001A2835"/>
    <w:rsid w:val="001A4175"/>
    <w:rsid w:val="001A4E5E"/>
    <w:rsid w:val="001A57FD"/>
    <w:rsid w:val="001A5B43"/>
    <w:rsid w:val="001A5BE2"/>
    <w:rsid w:val="001A7E0B"/>
    <w:rsid w:val="001B0DB1"/>
    <w:rsid w:val="001B307C"/>
    <w:rsid w:val="001B389C"/>
    <w:rsid w:val="001B4158"/>
    <w:rsid w:val="001B416B"/>
    <w:rsid w:val="001B4DF1"/>
    <w:rsid w:val="001B50D2"/>
    <w:rsid w:val="001B6F61"/>
    <w:rsid w:val="001C0209"/>
    <w:rsid w:val="001C1935"/>
    <w:rsid w:val="001C456C"/>
    <w:rsid w:val="001D04A8"/>
    <w:rsid w:val="001D04FF"/>
    <w:rsid w:val="001D17F4"/>
    <w:rsid w:val="001D22D6"/>
    <w:rsid w:val="001D42E6"/>
    <w:rsid w:val="001D4975"/>
    <w:rsid w:val="001D49AD"/>
    <w:rsid w:val="001D6BA0"/>
    <w:rsid w:val="001D701F"/>
    <w:rsid w:val="001D709B"/>
    <w:rsid w:val="001D7FB5"/>
    <w:rsid w:val="001E0CF6"/>
    <w:rsid w:val="001E2D1E"/>
    <w:rsid w:val="001E4B4D"/>
    <w:rsid w:val="001E4C57"/>
    <w:rsid w:val="001E6717"/>
    <w:rsid w:val="001E6750"/>
    <w:rsid w:val="001E689B"/>
    <w:rsid w:val="001E7243"/>
    <w:rsid w:val="001F10C2"/>
    <w:rsid w:val="001F14EB"/>
    <w:rsid w:val="001F4D95"/>
    <w:rsid w:val="001F7400"/>
    <w:rsid w:val="001F7BB0"/>
    <w:rsid w:val="001F7CA7"/>
    <w:rsid w:val="00201050"/>
    <w:rsid w:val="00201886"/>
    <w:rsid w:val="00201D91"/>
    <w:rsid w:val="00202A40"/>
    <w:rsid w:val="00203266"/>
    <w:rsid w:val="0020367E"/>
    <w:rsid w:val="0020471C"/>
    <w:rsid w:val="00204EA6"/>
    <w:rsid w:val="0020759E"/>
    <w:rsid w:val="00210593"/>
    <w:rsid w:val="002107FF"/>
    <w:rsid w:val="00210B1E"/>
    <w:rsid w:val="00213E49"/>
    <w:rsid w:val="002147CD"/>
    <w:rsid w:val="00215B35"/>
    <w:rsid w:val="00215F73"/>
    <w:rsid w:val="00217D8B"/>
    <w:rsid w:val="0022104D"/>
    <w:rsid w:val="0022196A"/>
    <w:rsid w:val="00221A06"/>
    <w:rsid w:val="002223AF"/>
    <w:rsid w:val="00224466"/>
    <w:rsid w:val="0022447A"/>
    <w:rsid w:val="00224692"/>
    <w:rsid w:val="00224714"/>
    <w:rsid w:val="002247AD"/>
    <w:rsid w:val="002260BF"/>
    <w:rsid w:val="002267D0"/>
    <w:rsid w:val="00226A85"/>
    <w:rsid w:val="002276A7"/>
    <w:rsid w:val="0022DF0C"/>
    <w:rsid w:val="002310C9"/>
    <w:rsid w:val="00232288"/>
    <w:rsid w:val="00232FCD"/>
    <w:rsid w:val="00235F55"/>
    <w:rsid w:val="0023693F"/>
    <w:rsid w:val="00236BF8"/>
    <w:rsid w:val="0024009D"/>
    <w:rsid w:val="002400E5"/>
    <w:rsid w:val="002409BB"/>
    <w:rsid w:val="00241A82"/>
    <w:rsid w:val="00241E69"/>
    <w:rsid w:val="0024232D"/>
    <w:rsid w:val="0024586E"/>
    <w:rsid w:val="0025038B"/>
    <w:rsid w:val="0025229C"/>
    <w:rsid w:val="002564C4"/>
    <w:rsid w:val="00256C78"/>
    <w:rsid w:val="00257190"/>
    <w:rsid w:val="0026130A"/>
    <w:rsid w:val="00261F15"/>
    <w:rsid w:val="00262041"/>
    <w:rsid w:val="0026208D"/>
    <w:rsid w:val="002655BB"/>
    <w:rsid w:val="00265E51"/>
    <w:rsid w:val="00266768"/>
    <w:rsid w:val="002678FB"/>
    <w:rsid w:val="00271066"/>
    <w:rsid w:val="00272765"/>
    <w:rsid w:val="00272CF0"/>
    <w:rsid w:val="002736E9"/>
    <w:rsid w:val="0027381C"/>
    <w:rsid w:val="00275CF5"/>
    <w:rsid w:val="002763AE"/>
    <w:rsid w:val="00280C09"/>
    <w:rsid w:val="00281CE8"/>
    <w:rsid w:val="002827DF"/>
    <w:rsid w:val="00282A85"/>
    <w:rsid w:val="00285866"/>
    <w:rsid w:val="00286170"/>
    <w:rsid w:val="0028671F"/>
    <w:rsid w:val="00290289"/>
    <w:rsid w:val="002910F0"/>
    <w:rsid w:val="0029176A"/>
    <w:rsid w:val="002921A1"/>
    <w:rsid w:val="0029251A"/>
    <w:rsid w:val="0029365F"/>
    <w:rsid w:val="00293965"/>
    <w:rsid w:val="00295391"/>
    <w:rsid w:val="002954AA"/>
    <w:rsid w:val="00295EBB"/>
    <w:rsid w:val="002975B9"/>
    <w:rsid w:val="002A11AD"/>
    <w:rsid w:val="002A1BCD"/>
    <w:rsid w:val="002A34E6"/>
    <w:rsid w:val="002A41A8"/>
    <w:rsid w:val="002A4B97"/>
    <w:rsid w:val="002A4F7A"/>
    <w:rsid w:val="002A6144"/>
    <w:rsid w:val="002B0545"/>
    <w:rsid w:val="002B09F4"/>
    <w:rsid w:val="002B2B83"/>
    <w:rsid w:val="002B39F8"/>
    <w:rsid w:val="002B492B"/>
    <w:rsid w:val="002B4E58"/>
    <w:rsid w:val="002B5961"/>
    <w:rsid w:val="002B7BB9"/>
    <w:rsid w:val="002B7C36"/>
    <w:rsid w:val="002C1531"/>
    <w:rsid w:val="002C25D3"/>
    <w:rsid w:val="002C34B8"/>
    <w:rsid w:val="002C4EE9"/>
    <w:rsid w:val="002C5F14"/>
    <w:rsid w:val="002C688F"/>
    <w:rsid w:val="002C6917"/>
    <w:rsid w:val="002C6F14"/>
    <w:rsid w:val="002D04D3"/>
    <w:rsid w:val="002D0677"/>
    <w:rsid w:val="002D1B11"/>
    <w:rsid w:val="002D20E7"/>
    <w:rsid w:val="002D387C"/>
    <w:rsid w:val="002D4984"/>
    <w:rsid w:val="002D56EC"/>
    <w:rsid w:val="002D6497"/>
    <w:rsid w:val="002D6802"/>
    <w:rsid w:val="002D7478"/>
    <w:rsid w:val="002D7CCE"/>
    <w:rsid w:val="002D7D55"/>
    <w:rsid w:val="002E08A7"/>
    <w:rsid w:val="002E1C57"/>
    <w:rsid w:val="002E2022"/>
    <w:rsid w:val="002E31EF"/>
    <w:rsid w:val="002E401D"/>
    <w:rsid w:val="002E4CE9"/>
    <w:rsid w:val="002E4E83"/>
    <w:rsid w:val="002E502E"/>
    <w:rsid w:val="002E589F"/>
    <w:rsid w:val="002E5FBF"/>
    <w:rsid w:val="002E75A7"/>
    <w:rsid w:val="002E7744"/>
    <w:rsid w:val="002F0795"/>
    <w:rsid w:val="002F0E70"/>
    <w:rsid w:val="002F150D"/>
    <w:rsid w:val="002F2521"/>
    <w:rsid w:val="002F25C3"/>
    <w:rsid w:val="002F4854"/>
    <w:rsid w:val="002F4E3B"/>
    <w:rsid w:val="002F5E69"/>
    <w:rsid w:val="002F6126"/>
    <w:rsid w:val="002F6DDD"/>
    <w:rsid w:val="002F7F1A"/>
    <w:rsid w:val="0030136A"/>
    <w:rsid w:val="003016AA"/>
    <w:rsid w:val="003018B0"/>
    <w:rsid w:val="00303306"/>
    <w:rsid w:val="003050ED"/>
    <w:rsid w:val="00306C97"/>
    <w:rsid w:val="00306EFA"/>
    <w:rsid w:val="00307C4F"/>
    <w:rsid w:val="003100A2"/>
    <w:rsid w:val="003112A9"/>
    <w:rsid w:val="00311E85"/>
    <w:rsid w:val="003138FC"/>
    <w:rsid w:val="00313E8A"/>
    <w:rsid w:val="00314245"/>
    <w:rsid w:val="0031479F"/>
    <w:rsid w:val="00315E40"/>
    <w:rsid w:val="00316788"/>
    <w:rsid w:val="00316DCC"/>
    <w:rsid w:val="003208C8"/>
    <w:rsid w:val="00322101"/>
    <w:rsid w:val="0032261D"/>
    <w:rsid w:val="00323B30"/>
    <w:rsid w:val="00324B1E"/>
    <w:rsid w:val="0032514C"/>
    <w:rsid w:val="00326644"/>
    <w:rsid w:val="00327378"/>
    <w:rsid w:val="00327D30"/>
    <w:rsid w:val="003310E3"/>
    <w:rsid w:val="00331938"/>
    <w:rsid w:val="00331B23"/>
    <w:rsid w:val="00331DCD"/>
    <w:rsid w:val="00333A2D"/>
    <w:rsid w:val="0033462C"/>
    <w:rsid w:val="00334DE1"/>
    <w:rsid w:val="00336B23"/>
    <w:rsid w:val="00336E30"/>
    <w:rsid w:val="0034134A"/>
    <w:rsid w:val="0034232F"/>
    <w:rsid w:val="00343A3D"/>
    <w:rsid w:val="00343F69"/>
    <w:rsid w:val="00345686"/>
    <w:rsid w:val="00346073"/>
    <w:rsid w:val="00346908"/>
    <w:rsid w:val="00347F4F"/>
    <w:rsid w:val="00350210"/>
    <w:rsid w:val="00350F76"/>
    <w:rsid w:val="00351743"/>
    <w:rsid w:val="003517A3"/>
    <w:rsid w:val="00351831"/>
    <w:rsid w:val="00351D59"/>
    <w:rsid w:val="003524B0"/>
    <w:rsid w:val="003526BB"/>
    <w:rsid w:val="003550F2"/>
    <w:rsid w:val="003558B8"/>
    <w:rsid w:val="003559D3"/>
    <w:rsid w:val="00356959"/>
    <w:rsid w:val="0035701C"/>
    <w:rsid w:val="00360024"/>
    <w:rsid w:val="00362276"/>
    <w:rsid w:val="003632EE"/>
    <w:rsid w:val="00364745"/>
    <w:rsid w:val="0036497A"/>
    <w:rsid w:val="00366359"/>
    <w:rsid w:val="00370B57"/>
    <w:rsid w:val="00370CD6"/>
    <w:rsid w:val="0037227B"/>
    <w:rsid w:val="003754BF"/>
    <w:rsid w:val="00375C19"/>
    <w:rsid w:val="003772C6"/>
    <w:rsid w:val="00377D59"/>
    <w:rsid w:val="003804A3"/>
    <w:rsid w:val="00380D8A"/>
    <w:rsid w:val="00381A54"/>
    <w:rsid w:val="003824FA"/>
    <w:rsid w:val="00382EE1"/>
    <w:rsid w:val="003847D8"/>
    <w:rsid w:val="00384AA3"/>
    <w:rsid w:val="00385EC8"/>
    <w:rsid w:val="003865FB"/>
    <w:rsid w:val="00387FF8"/>
    <w:rsid w:val="00390A19"/>
    <w:rsid w:val="00390D71"/>
    <w:rsid w:val="0039133A"/>
    <w:rsid w:val="00391ACC"/>
    <w:rsid w:val="003942C9"/>
    <w:rsid w:val="003943D5"/>
    <w:rsid w:val="00395832"/>
    <w:rsid w:val="00397C7F"/>
    <w:rsid w:val="003A0943"/>
    <w:rsid w:val="003A0BA1"/>
    <w:rsid w:val="003A2419"/>
    <w:rsid w:val="003A4B83"/>
    <w:rsid w:val="003A4D97"/>
    <w:rsid w:val="003A5C78"/>
    <w:rsid w:val="003A6B84"/>
    <w:rsid w:val="003A7E2F"/>
    <w:rsid w:val="003B04CA"/>
    <w:rsid w:val="003B2E1F"/>
    <w:rsid w:val="003B356C"/>
    <w:rsid w:val="003B53B6"/>
    <w:rsid w:val="003B55AB"/>
    <w:rsid w:val="003B5A9A"/>
    <w:rsid w:val="003C09EA"/>
    <w:rsid w:val="003C1306"/>
    <w:rsid w:val="003C13C6"/>
    <w:rsid w:val="003C1F7C"/>
    <w:rsid w:val="003C20B2"/>
    <w:rsid w:val="003C2D6B"/>
    <w:rsid w:val="003C391B"/>
    <w:rsid w:val="003C501E"/>
    <w:rsid w:val="003C57BB"/>
    <w:rsid w:val="003C6F64"/>
    <w:rsid w:val="003D0602"/>
    <w:rsid w:val="003D16B4"/>
    <w:rsid w:val="003D21B5"/>
    <w:rsid w:val="003D27F6"/>
    <w:rsid w:val="003D4300"/>
    <w:rsid w:val="003D5132"/>
    <w:rsid w:val="003D61A8"/>
    <w:rsid w:val="003E2A67"/>
    <w:rsid w:val="003E46ED"/>
    <w:rsid w:val="003E4A11"/>
    <w:rsid w:val="003E4A41"/>
    <w:rsid w:val="003E508C"/>
    <w:rsid w:val="003E622C"/>
    <w:rsid w:val="003E634A"/>
    <w:rsid w:val="003E7547"/>
    <w:rsid w:val="003F1571"/>
    <w:rsid w:val="003F18A4"/>
    <w:rsid w:val="003F267F"/>
    <w:rsid w:val="003F3149"/>
    <w:rsid w:val="003F3151"/>
    <w:rsid w:val="003F417E"/>
    <w:rsid w:val="003F4F73"/>
    <w:rsid w:val="00400149"/>
    <w:rsid w:val="004003D1"/>
    <w:rsid w:val="00401229"/>
    <w:rsid w:val="004012A0"/>
    <w:rsid w:val="00401B4D"/>
    <w:rsid w:val="00402B47"/>
    <w:rsid w:val="00403D7E"/>
    <w:rsid w:val="00404793"/>
    <w:rsid w:val="0040704D"/>
    <w:rsid w:val="00411AC0"/>
    <w:rsid w:val="00411BDD"/>
    <w:rsid w:val="00414CDD"/>
    <w:rsid w:val="004163D7"/>
    <w:rsid w:val="004206D8"/>
    <w:rsid w:val="00421775"/>
    <w:rsid w:val="004220DE"/>
    <w:rsid w:val="00422213"/>
    <w:rsid w:val="0042380D"/>
    <w:rsid w:val="004269CF"/>
    <w:rsid w:val="00427EF9"/>
    <w:rsid w:val="00427F34"/>
    <w:rsid w:val="00427FBF"/>
    <w:rsid w:val="0043012E"/>
    <w:rsid w:val="00430D26"/>
    <w:rsid w:val="00433577"/>
    <w:rsid w:val="0043393D"/>
    <w:rsid w:val="00436C3A"/>
    <w:rsid w:val="004412D5"/>
    <w:rsid w:val="0044233D"/>
    <w:rsid w:val="00442993"/>
    <w:rsid w:val="0044396F"/>
    <w:rsid w:val="00444303"/>
    <w:rsid w:val="00444554"/>
    <w:rsid w:val="00444BD9"/>
    <w:rsid w:val="0044587B"/>
    <w:rsid w:val="00446026"/>
    <w:rsid w:val="004478CA"/>
    <w:rsid w:val="004523FE"/>
    <w:rsid w:val="00453786"/>
    <w:rsid w:val="00455A9C"/>
    <w:rsid w:val="004561EE"/>
    <w:rsid w:val="0045694E"/>
    <w:rsid w:val="00457124"/>
    <w:rsid w:val="00457711"/>
    <w:rsid w:val="00457918"/>
    <w:rsid w:val="00457950"/>
    <w:rsid w:val="004603AD"/>
    <w:rsid w:val="004605F2"/>
    <w:rsid w:val="00461216"/>
    <w:rsid w:val="00462EDD"/>
    <w:rsid w:val="00463BF1"/>
    <w:rsid w:val="00464B6D"/>
    <w:rsid w:val="00464D42"/>
    <w:rsid w:val="00465074"/>
    <w:rsid w:val="00466390"/>
    <w:rsid w:val="00466A47"/>
    <w:rsid w:val="00466C80"/>
    <w:rsid w:val="00467A58"/>
    <w:rsid w:val="00467BD6"/>
    <w:rsid w:val="00470868"/>
    <w:rsid w:val="004726B3"/>
    <w:rsid w:val="004727C2"/>
    <w:rsid w:val="004730BE"/>
    <w:rsid w:val="00473AC1"/>
    <w:rsid w:val="00474AC8"/>
    <w:rsid w:val="00477B37"/>
    <w:rsid w:val="004816C1"/>
    <w:rsid w:val="00482908"/>
    <w:rsid w:val="00482CC1"/>
    <w:rsid w:val="0048361E"/>
    <w:rsid w:val="004837DC"/>
    <w:rsid w:val="0048484D"/>
    <w:rsid w:val="00485019"/>
    <w:rsid w:val="004854D3"/>
    <w:rsid w:val="00485E1E"/>
    <w:rsid w:val="004879B8"/>
    <w:rsid w:val="00490330"/>
    <w:rsid w:val="0049287F"/>
    <w:rsid w:val="00492CAB"/>
    <w:rsid w:val="00494B89"/>
    <w:rsid w:val="00494D4B"/>
    <w:rsid w:val="004951E8"/>
    <w:rsid w:val="004966FE"/>
    <w:rsid w:val="00496C75"/>
    <w:rsid w:val="00496EAA"/>
    <w:rsid w:val="004971F1"/>
    <w:rsid w:val="004A0A15"/>
    <w:rsid w:val="004A2974"/>
    <w:rsid w:val="004A3001"/>
    <w:rsid w:val="004A3258"/>
    <w:rsid w:val="004A6A8F"/>
    <w:rsid w:val="004A6DD1"/>
    <w:rsid w:val="004B0F31"/>
    <w:rsid w:val="004B1132"/>
    <w:rsid w:val="004B1AF1"/>
    <w:rsid w:val="004B2CAC"/>
    <w:rsid w:val="004B2DC3"/>
    <w:rsid w:val="004B30A3"/>
    <w:rsid w:val="004B3295"/>
    <w:rsid w:val="004B3704"/>
    <w:rsid w:val="004B391E"/>
    <w:rsid w:val="004B60A5"/>
    <w:rsid w:val="004B7931"/>
    <w:rsid w:val="004B7DC9"/>
    <w:rsid w:val="004C0575"/>
    <w:rsid w:val="004C0F47"/>
    <w:rsid w:val="004C1AE7"/>
    <w:rsid w:val="004C1B57"/>
    <w:rsid w:val="004C3A05"/>
    <w:rsid w:val="004C3E54"/>
    <w:rsid w:val="004C5206"/>
    <w:rsid w:val="004C5E84"/>
    <w:rsid w:val="004C64E7"/>
    <w:rsid w:val="004C73AF"/>
    <w:rsid w:val="004C74F8"/>
    <w:rsid w:val="004D06BA"/>
    <w:rsid w:val="004D0EEC"/>
    <w:rsid w:val="004D32C3"/>
    <w:rsid w:val="004D3C6E"/>
    <w:rsid w:val="004D50F6"/>
    <w:rsid w:val="004D5146"/>
    <w:rsid w:val="004D549E"/>
    <w:rsid w:val="004D72BB"/>
    <w:rsid w:val="004D7623"/>
    <w:rsid w:val="004E069E"/>
    <w:rsid w:val="004E12D4"/>
    <w:rsid w:val="004E13F6"/>
    <w:rsid w:val="004E141D"/>
    <w:rsid w:val="004E1FF6"/>
    <w:rsid w:val="004E23DD"/>
    <w:rsid w:val="004E504E"/>
    <w:rsid w:val="004E6FA2"/>
    <w:rsid w:val="004E7487"/>
    <w:rsid w:val="004F2496"/>
    <w:rsid w:val="004F25F4"/>
    <w:rsid w:val="004F277F"/>
    <w:rsid w:val="004F3641"/>
    <w:rsid w:val="004F3AFD"/>
    <w:rsid w:val="004F3B57"/>
    <w:rsid w:val="004F3F73"/>
    <w:rsid w:val="004F41FE"/>
    <w:rsid w:val="004F4571"/>
    <w:rsid w:val="004F6040"/>
    <w:rsid w:val="004F63CD"/>
    <w:rsid w:val="00502998"/>
    <w:rsid w:val="00504F0B"/>
    <w:rsid w:val="0050611B"/>
    <w:rsid w:val="00507BC3"/>
    <w:rsid w:val="0051029C"/>
    <w:rsid w:val="00510390"/>
    <w:rsid w:val="00510655"/>
    <w:rsid w:val="005106CA"/>
    <w:rsid w:val="00512E06"/>
    <w:rsid w:val="00512F67"/>
    <w:rsid w:val="00515112"/>
    <w:rsid w:val="005171E0"/>
    <w:rsid w:val="005173AB"/>
    <w:rsid w:val="00520DE7"/>
    <w:rsid w:val="00521BEE"/>
    <w:rsid w:val="00523772"/>
    <w:rsid w:val="00523C26"/>
    <w:rsid w:val="005246B0"/>
    <w:rsid w:val="00525D74"/>
    <w:rsid w:val="00526D67"/>
    <w:rsid w:val="005271DC"/>
    <w:rsid w:val="005278BA"/>
    <w:rsid w:val="00527BF5"/>
    <w:rsid w:val="0053032B"/>
    <w:rsid w:val="00530561"/>
    <w:rsid w:val="00530DB0"/>
    <w:rsid w:val="0053190B"/>
    <w:rsid w:val="00531A41"/>
    <w:rsid w:val="00533CAF"/>
    <w:rsid w:val="005349A5"/>
    <w:rsid w:val="00540FF8"/>
    <w:rsid w:val="00541866"/>
    <w:rsid w:val="00541988"/>
    <w:rsid w:val="00541D66"/>
    <w:rsid w:val="00543F6A"/>
    <w:rsid w:val="00545562"/>
    <w:rsid w:val="00545BAB"/>
    <w:rsid w:val="0054669C"/>
    <w:rsid w:val="00546DC0"/>
    <w:rsid w:val="00547A9D"/>
    <w:rsid w:val="00547E18"/>
    <w:rsid w:val="0055132B"/>
    <w:rsid w:val="005518E4"/>
    <w:rsid w:val="005521BE"/>
    <w:rsid w:val="00553319"/>
    <w:rsid w:val="005535B5"/>
    <w:rsid w:val="00556984"/>
    <w:rsid w:val="0055711F"/>
    <w:rsid w:val="00557FA3"/>
    <w:rsid w:val="0056020F"/>
    <w:rsid w:val="00560E0A"/>
    <w:rsid w:val="0056202F"/>
    <w:rsid w:val="005635A9"/>
    <w:rsid w:val="005652EE"/>
    <w:rsid w:val="00565662"/>
    <w:rsid w:val="00567CCD"/>
    <w:rsid w:val="00570628"/>
    <w:rsid w:val="005710F5"/>
    <w:rsid w:val="00572182"/>
    <w:rsid w:val="00577BC5"/>
    <w:rsid w:val="005824F1"/>
    <w:rsid w:val="00584382"/>
    <w:rsid w:val="00584DFC"/>
    <w:rsid w:val="00585F22"/>
    <w:rsid w:val="005861AE"/>
    <w:rsid w:val="005865EE"/>
    <w:rsid w:val="00587EF6"/>
    <w:rsid w:val="00590630"/>
    <w:rsid w:val="00590E73"/>
    <w:rsid w:val="005916AF"/>
    <w:rsid w:val="00591D8B"/>
    <w:rsid w:val="00591E27"/>
    <w:rsid w:val="005920CB"/>
    <w:rsid w:val="0059272E"/>
    <w:rsid w:val="005933D0"/>
    <w:rsid w:val="00595277"/>
    <w:rsid w:val="005961B9"/>
    <w:rsid w:val="00597117"/>
    <w:rsid w:val="005971AF"/>
    <w:rsid w:val="00597EA7"/>
    <w:rsid w:val="005A0706"/>
    <w:rsid w:val="005A0AFC"/>
    <w:rsid w:val="005A1631"/>
    <w:rsid w:val="005A1E0F"/>
    <w:rsid w:val="005A246F"/>
    <w:rsid w:val="005A29CC"/>
    <w:rsid w:val="005A2C54"/>
    <w:rsid w:val="005A2FAA"/>
    <w:rsid w:val="005A34A7"/>
    <w:rsid w:val="005A684D"/>
    <w:rsid w:val="005A799B"/>
    <w:rsid w:val="005B053D"/>
    <w:rsid w:val="005B0833"/>
    <w:rsid w:val="005B2320"/>
    <w:rsid w:val="005B2606"/>
    <w:rsid w:val="005B326D"/>
    <w:rsid w:val="005B3CDC"/>
    <w:rsid w:val="005B3D58"/>
    <w:rsid w:val="005B4611"/>
    <w:rsid w:val="005B5A7D"/>
    <w:rsid w:val="005C0096"/>
    <w:rsid w:val="005C15F7"/>
    <w:rsid w:val="005C1AC5"/>
    <w:rsid w:val="005C32F3"/>
    <w:rsid w:val="005C34CA"/>
    <w:rsid w:val="005C3CF0"/>
    <w:rsid w:val="005C3E1F"/>
    <w:rsid w:val="005C3ECD"/>
    <w:rsid w:val="005C4E5A"/>
    <w:rsid w:val="005D02FC"/>
    <w:rsid w:val="005D119B"/>
    <w:rsid w:val="005D2900"/>
    <w:rsid w:val="005D3512"/>
    <w:rsid w:val="005D3B78"/>
    <w:rsid w:val="005D42A9"/>
    <w:rsid w:val="005D513C"/>
    <w:rsid w:val="005D5304"/>
    <w:rsid w:val="005E0C48"/>
    <w:rsid w:val="005E1651"/>
    <w:rsid w:val="005E31AC"/>
    <w:rsid w:val="005E34FD"/>
    <w:rsid w:val="005E45B0"/>
    <w:rsid w:val="005E5043"/>
    <w:rsid w:val="005E58C2"/>
    <w:rsid w:val="005F0581"/>
    <w:rsid w:val="005F1EEB"/>
    <w:rsid w:val="005F252F"/>
    <w:rsid w:val="005F5EDA"/>
    <w:rsid w:val="005F608E"/>
    <w:rsid w:val="005F7D0D"/>
    <w:rsid w:val="006013D2"/>
    <w:rsid w:val="00601C5A"/>
    <w:rsid w:val="00602E3C"/>
    <w:rsid w:val="00603461"/>
    <w:rsid w:val="006068B4"/>
    <w:rsid w:val="00607B0F"/>
    <w:rsid w:val="00607C87"/>
    <w:rsid w:val="006106CD"/>
    <w:rsid w:val="006116FE"/>
    <w:rsid w:val="00611B90"/>
    <w:rsid w:val="00614293"/>
    <w:rsid w:val="00614FF0"/>
    <w:rsid w:val="00616AB4"/>
    <w:rsid w:val="00617877"/>
    <w:rsid w:val="00617ED1"/>
    <w:rsid w:val="006200F6"/>
    <w:rsid w:val="00620CC0"/>
    <w:rsid w:val="00621840"/>
    <w:rsid w:val="006222FA"/>
    <w:rsid w:val="006224FC"/>
    <w:rsid w:val="006246EB"/>
    <w:rsid w:val="00625A7C"/>
    <w:rsid w:val="006260BC"/>
    <w:rsid w:val="00626339"/>
    <w:rsid w:val="00626577"/>
    <w:rsid w:val="0063002E"/>
    <w:rsid w:val="006314BC"/>
    <w:rsid w:val="00631F76"/>
    <w:rsid w:val="006320E9"/>
    <w:rsid w:val="00632B6F"/>
    <w:rsid w:val="006330AD"/>
    <w:rsid w:val="00637245"/>
    <w:rsid w:val="0063782C"/>
    <w:rsid w:val="00637F9C"/>
    <w:rsid w:val="00640595"/>
    <w:rsid w:val="00641968"/>
    <w:rsid w:val="00644395"/>
    <w:rsid w:val="006449C9"/>
    <w:rsid w:val="006461FB"/>
    <w:rsid w:val="00650D65"/>
    <w:rsid w:val="00650D9E"/>
    <w:rsid w:val="00656077"/>
    <w:rsid w:val="006569D7"/>
    <w:rsid w:val="00656DFE"/>
    <w:rsid w:val="00656E38"/>
    <w:rsid w:val="00657D8D"/>
    <w:rsid w:val="00660576"/>
    <w:rsid w:val="0066185B"/>
    <w:rsid w:val="0066786F"/>
    <w:rsid w:val="00667FF1"/>
    <w:rsid w:val="00670A50"/>
    <w:rsid w:val="0067190E"/>
    <w:rsid w:val="006737F6"/>
    <w:rsid w:val="00673E4A"/>
    <w:rsid w:val="00675784"/>
    <w:rsid w:val="006757CD"/>
    <w:rsid w:val="00676F5C"/>
    <w:rsid w:val="0067747F"/>
    <w:rsid w:val="00677483"/>
    <w:rsid w:val="006777EF"/>
    <w:rsid w:val="006817A6"/>
    <w:rsid w:val="006818BE"/>
    <w:rsid w:val="0068195E"/>
    <w:rsid w:val="00681D20"/>
    <w:rsid w:val="00681D46"/>
    <w:rsid w:val="00681D62"/>
    <w:rsid w:val="00681ED2"/>
    <w:rsid w:val="006821C2"/>
    <w:rsid w:val="006829CF"/>
    <w:rsid w:val="00684395"/>
    <w:rsid w:val="006843D1"/>
    <w:rsid w:val="00684D06"/>
    <w:rsid w:val="00685DCD"/>
    <w:rsid w:val="00686075"/>
    <w:rsid w:val="0068706A"/>
    <w:rsid w:val="006879C8"/>
    <w:rsid w:val="0068D30D"/>
    <w:rsid w:val="006909E9"/>
    <w:rsid w:val="0069214F"/>
    <w:rsid w:val="006921DD"/>
    <w:rsid w:val="00692C42"/>
    <w:rsid w:val="0069385B"/>
    <w:rsid w:val="006949BB"/>
    <w:rsid w:val="00695394"/>
    <w:rsid w:val="00695B1B"/>
    <w:rsid w:val="0069615E"/>
    <w:rsid w:val="00696F46"/>
    <w:rsid w:val="006A0D78"/>
    <w:rsid w:val="006A18B3"/>
    <w:rsid w:val="006A36E4"/>
    <w:rsid w:val="006A38AE"/>
    <w:rsid w:val="006A486D"/>
    <w:rsid w:val="006A4AFD"/>
    <w:rsid w:val="006A624D"/>
    <w:rsid w:val="006A6F7F"/>
    <w:rsid w:val="006B0D06"/>
    <w:rsid w:val="006B0E36"/>
    <w:rsid w:val="006B0F2B"/>
    <w:rsid w:val="006B1170"/>
    <w:rsid w:val="006B2682"/>
    <w:rsid w:val="006B3F67"/>
    <w:rsid w:val="006B5076"/>
    <w:rsid w:val="006B50D4"/>
    <w:rsid w:val="006B7816"/>
    <w:rsid w:val="006C1AFA"/>
    <w:rsid w:val="006C240C"/>
    <w:rsid w:val="006C2DF5"/>
    <w:rsid w:val="006C3879"/>
    <w:rsid w:val="006C5291"/>
    <w:rsid w:val="006C5426"/>
    <w:rsid w:val="006C7878"/>
    <w:rsid w:val="006C7960"/>
    <w:rsid w:val="006C7B4D"/>
    <w:rsid w:val="006D0DB6"/>
    <w:rsid w:val="006D25BB"/>
    <w:rsid w:val="006D304F"/>
    <w:rsid w:val="006D363A"/>
    <w:rsid w:val="006D3BF5"/>
    <w:rsid w:val="006D5492"/>
    <w:rsid w:val="006D57FF"/>
    <w:rsid w:val="006D626D"/>
    <w:rsid w:val="006D67B9"/>
    <w:rsid w:val="006D7645"/>
    <w:rsid w:val="006D7D00"/>
    <w:rsid w:val="006E045D"/>
    <w:rsid w:val="006E12D4"/>
    <w:rsid w:val="006E1380"/>
    <w:rsid w:val="006E1E70"/>
    <w:rsid w:val="006E311E"/>
    <w:rsid w:val="006E3762"/>
    <w:rsid w:val="006E3821"/>
    <w:rsid w:val="006E789B"/>
    <w:rsid w:val="006E7C4E"/>
    <w:rsid w:val="006F0156"/>
    <w:rsid w:val="006F0DD1"/>
    <w:rsid w:val="006F1C22"/>
    <w:rsid w:val="006F2528"/>
    <w:rsid w:val="006F263E"/>
    <w:rsid w:val="006F2D56"/>
    <w:rsid w:val="006F326F"/>
    <w:rsid w:val="006F6524"/>
    <w:rsid w:val="006F7D2B"/>
    <w:rsid w:val="0070016B"/>
    <w:rsid w:val="007007A3"/>
    <w:rsid w:val="00700FD8"/>
    <w:rsid w:val="007031B7"/>
    <w:rsid w:val="007046C5"/>
    <w:rsid w:val="0070715D"/>
    <w:rsid w:val="00710A26"/>
    <w:rsid w:val="00711792"/>
    <w:rsid w:val="00712EB6"/>
    <w:rsid w:val="00713E95"/>
    <w:rsid w:val="00714BC4"/>
    <w:rsid w:val="00715220"/>
    <w:rsid w:val="00715222"/>
    <w:rsid w:val="0071549A"/>
    <w:rsid w:val="007173BC"/>
    <w:rsid w:val="007176FE"/>
    <w:rsid w:val="0072076F"/>
    <w:rsid w:val="007211BE"/>
    <w:rsid w:val="00721D27"/>
    <w:rsid w:val="007224D4"/>
    <w:rsid w:val="007225C9"/>
    <w:rsid w:val="007229B6"/>
    <w:rsid w:val="00723659"/>
    <w:rsid w:val="007247B7"/>
    <w:rsid w:val="00725531"/>
    <w:rsid w:val="00726F02"/>
    <w:rsid w:val="00727AFB"/>
    <w:rsid w:val="00727FE7"/>
    <w:rsid w:val="007308FE"/>
    <w:rsid w:val="007310D9"/>
    <w:rsid w:val="00731A13"/>
    <w:rsid w:val="007342E3"/>
    <w:rsid w:val="00734D72"/>
    <w:rsid w:val="007359C7"/>
    <w:rsid w:val="00736977"/>
    <w:rsid w:val="0073772C"/>
    <w:rsid w:val="00741A5C"/>
    <w:rsid w:val="00742B4A"/>
    <w:rsid w:val="007449BF"/>
    <w:rsid w:val="00745FE6"/>
    <w:rsid w:val="0074788C"/>
    <w:rsid w:val="00751A9D"/>
    <w:rsid w:val="00752242"/>
    <w:rsid w:val="007535E7"/>
    <w:rsid w:val="00753A39"/>
    <w:rsid w:val="00755595"/>
    <w:rsid w:val="007557AF"/>
    <w:rsid w:val="00756037"/>
    <w:rsid w:val="00757FD8"/>
    <w:rsid w:val="007600C9"/>
    <w:rsid w:val="00761C71"/>
    <w:rsid w:val="007627B9"/>
    <w:rsid w:val="00762DDE"/>
    <w:rsid w:val="00763ED2"/>
    <w:rsid w:val="00763F5B"/>
    <w:rsid w:val="00766F20"/>
    <w:rsid w:val="00767472"/>
    <w:rsid w:val="00767D38"/>
    <w:rsid w:val="00770976"/>
    <w:rsid w:val="00772B2E"/>
    <w:rsid w:val="00775995"/>
    <w:rsid w:val="00776277"/>
    <w:rsid w:val="0077698F"/>
    <w:rsid w:val="007770BD"/>
    <w:rsid w:val="007804BF"/>
    <w:rsid w:val="00780E0D"/>
    <w:rsid w:val="0078168D"/>
    <w:rsid w:val="00781776"/>
    <w:rsid w:val="00783764"/>
    <w:rsid w:val="00783E66"/>
    <w:rsid w:val="007847A7"/>
    <w:rsid w:val="00785089"/>
    <w:rsid w:val="0078542D"/>
    <w:rsid w:val="00785DD9"/>
    <w:rsid w:val="0078755A"/>
    <w:rsid w:val="00787E89"/>
    <w:rsid w:val="00794A5E"/>
    <w:rsid w:val="0079570B"/>
    <w:rsid w:val="00796589"/>
    <w:rsid w:val="00796D93"/>
    <w:rsid w:val="007A45B7"/>
    <w:rsid w:val="007A4DC5"/>
    <w:rsid w:val="007A6AE5"/>
    <w:rsid w:val="007A6D89"/>
    <w:rsid w:val="007B0346"/>
    <w:rsid w:val="007B0B76"/>
    <w:rsid w:val="007B2A80"/>
    <w:rsid w:val="007B2B9E"/>
    <w:rsid w:val="007B2E0D"/>
    <w:rsid w:val="007B3563"/>
    <w:rsid w:val="007B6DF2"/>
    <w:rsid w:val="007B6E5B"/>
    <w:rsid w:val="007C2B68"/>
    <w:rsid w:val="007C4EF2"/>
    <w:rsid w:val="007C6787"/>
    <w:rsid w:val="007C7FEB"/>
    <w:rsid w:val="007D0565"/>
    <w:rsid w:val="007D310A"/>
    <w:rsid w:val="007D7E03"/>
    <w:rsid w:val="007E123A"/>
    <w:rsid w:val="007E13DB"/>
    <w:rsid w:val="007E22F7"/>
    <w:rsid w:val="007E2E82"/>
    <w:rsid w:val="007E4009"/>
    <w:rsid w:val="007E43EC"/>
    <w:rsid w:val="007E6FFE"/>
    <w:rsid w:val="007F08CB"/>
    <w:rsid w:val="007F131A"/>
    <w:rsid w:val="007F13C6"/>
    <w:rsid w:val="007F13D1"/>
    <w:rsid w:val="007F1E17"/>
    <w:rsid w:val="007F3648"/>
    <w:rsid w:val="007F3717"/>
    <w:rsid w:val="007F3D0C"/>
    <w:rsid w:val="007F45B4"/>
    <w:rsid w:val="007F5DD2"/>
    <w:rsid w:val="007F6469"/>
    <w:rsid w:val="007F76C4"/>
    <w:rsid w:val="007F778F"/>
    <w:rsid w:val="00800328"/>
    <w:rsid w:val="00801AAF"/>
    <w:rsid w:val="00801B64"/>
    <w:rsid w:val="0080295F"/>
    <w:rsid w:val="00802964"/>
    <w:rsid w:val="00802AA9"/>
    <w:rsid w:val="00803666"/>
    <w:rsid w:val="0080387B"/>
    <w:rsid w:val="00803A01"/>
    <w:rsid w:val="0080426C"/>
    <w:rsid w:val="008042C5"/>
    <w:rsid w:val="0080528F"/>
    <w:rsid w:val="0080731D"/>
    <w:rsid w:val="00812402"/>
    <w:rsid w:val="00812D11"/>
    <w:rsid w:val="00815AAA"/>
    <w:rsid w:val="00815E8F"/>
    <w:rsid w:val="008206F1"/>
    <w:rsid w:val="0082381D"/>
    <w:rsid w:val="008275C6"/>
    <w:rsid w:val="00827E74"/>
    <w:rsid w:val="008303AC"/>
    <w:rsid w:val="008317C5"/>
    <w:rsid w:val="00831975"/>
    <w:rsid w:val="00832955"/>
    <w:rsid w:val="008343F0"/>
    <w:rsid w:val="00835E74"/>
    <w:rsid w:val="00836208"/>
    <w:rsid w:val="0083681E"/>
    <w:rsid w:val="00837F7C"/>
    <w:rsid w:val="008408B4"/>
    <w:rsid w:val="00841ABD"/>
    <w:rsid w:val="0084253B"/>
    <w:rsid w:val="0084330A"/>
    <w:rsid w:val="00843640"/>
    <w:rsid w:val="00844879"/>
    <w:rsid w:val="008467BD"/>
    <w:rsid w:val="00847DD0"/>
    <w:rsid w:val="00852731"/>
    <w:rsid w:val="00856A6C"/>
    <w:rsid w:val="00856DEE"/>
    <w:rsid w:val="0086123B"/>
    <w:rsid w:val="00861563"/>
    <w:rsid w:val="008618F5"/>
    <w:rsid w:val="00863CDD"/>
    <w:rsid w:val="008642C6"/>
    <w:rsid w:val="008647C5"/>
    <w:rsid w:val="00865224"/>
    <w:rsid w:val="008655FB"/>
    <w:rsid w:val="00865CA2"/>
    <w:rsid w:val="00867A22"/>
    <w:rsid w:val="00872377"/>
    <w:rsid w:val="008728FD"/>
    <w:rsid w:val="00873644"/>
    <w:rsid w:val="00873BD8"/>
    <w:rsid w:val="00873F9F"/>
    <w:rsid w:val="00875487"/>
    <w:rsid w:val="00880C11"/>
    <w:rsid w:val="00880D1C"/>
    <w:rsid w:val="00884EDC"/>
    <w:rsid w:val="00885FCD"/>
    <w:rsid w:val="008877C7"/>
    <w:rsid w:val="00890B2A"/>
    <w:rsid w:val="00890C69"/>
    <w:rsid w:val="008916DB"/>
    <w:rsid w:val="00892166"/>
    <w:rsid w:val="0089371E"/>
    <w:rsid w:val="00893728"/>
    <w:rsid w:val="00897EAF"/>
    <w:rsid w:val="008A20E7"/>
    <w:rsid w:val="008A3B0D"/>
    <w:rsid w:val="008A3C12"/>
    <w:rsid w:val="008A4DB8"/>
    <w:rsid w:val="008A524B"/>
    <w:rsid w:val="008A66DB"/>
    <w:rsid w:val="008A6C91"/>
    <w:rsid w:val="008A7027"/>
    <w:rsid w:val="008A7D1D"/>
    <w:rsid w:val="008A7E51"/>
    <w:rsid w:val="008B047F"/>
    <w:rsid w:val="008B0614"/>
    <w:rsid w:val="008B14E9"/>
    <w:rsid w:val="008B2A36"/>
    <w:rsid w:val="008B4734"/>
    <w:rsid w:val="008B5D03"/>
    <w:rsid w:val="008B685D"/>
    <w:rsid w:val="008B75B5"/>
    <w:rsid w:val="008C06B6"/>
    <w:rsid w:val="008C22A1"/>
    <w:rsid w:val="008C2CFF"/>
    <w:rsid w:val="008C3359"/>
    <w:rsid w:val="008C355E"/>
    <w:rsid w:val="008C3E79"/>
    <w:rsid w:val="008C6211"/>
    <w:rsid w:val="008C74F0"/>
    <w:rsid w:val="008D01C3"/>
    <w:rsid w:val="008D0B8A"/>
    <w:rsid w:val="008D1089"/>
    <w:rsid w:val="008D17C3"/>
    <w:rsid w:val="008D1D54"/>
    <w:rsid w:val="008D1FFF"/>
    <w:rsid w:val="008D26F8"/>
    <w:rsid w:val="008D2842"/>
    <w:rsid w:val="008D2C21"/>
    <w:rsid w:val="008D3E76"/>
    <w:rsid w:val="008D41C5"/>
    <w:rsid w:val="008D6609"/>
    <w:rsid w:val="008E0260"/>
    <w:rsid w:val="008E0435"/>
    <w:rsid w:val="008E1BBA"/>
    <w:rsid w:val="008E2BC7"/>
    <w:rsid w:val="008E322E"/>
    <w:rsid w:val="008E5197"/>
    <w:rsid w:val="008E5513"/>
    <w:rsid w:val="008E5FE2"/>
    <w:rsid w:val="008E6833"/>
    <w:rsid w:val="008E6A94"/>
    <w:rsid w:val="008E6DF0"/>
    <w:rsid w:val="008E727C"/>
    <w:rsid w:val="008F0603"/>
    <w:rsid w:val="008F1384"/>
    <w:rsid w:val="008F18AC"/>
    <w:rsid w:val="008F2C57"/>
    <w:rsid w:val="008F4B41"/>
    <w:rsid w:val="008F511B"/>
    <w:rsid w:val="008F7D2C"/>
    <w:rsid w:val="009009EC"/>
    <w:rsid w:val="00901531"/>
    <w:rsid w:val="00902688"/>
    <w:rsid w:val="009033C0"/>
    <w:rsid w:val="00903806"/>
    <w:rsid w:val="00904BD8"/>
    <w:rsid w:val="00906285"/>
    <w:rsid w:val="0090700E"/>
    <w:rsid w:val="00907735"/>
    <w:rsid w:val="00911ADC"/>
    <w:rsid w:val="00911D45"/>
    <w:rsid w:val="009120C5"/>
    <w:rsid w:val="00916791"/>
    <w:rsid w:val="00917632"/>
    <w:rsid w:val="00920B37"/>
    <w:rsid w:val="00920F4D"/>
    <w:rsid w:val="009221A4"/>
    <w:rsid w:val="00922213"/>
    <w:rsid w:val="00924572"/>
    <w:rsid w:val="0092636F"/>
    <w:rsid w:val="009267C3"/>
    <w:rsid w:val="009278F9"/>
    <w:rsid w:val="00927CAB"/>
    <w:rsid w:val="00930092"/>
    <w:rsid w:val="0093390F"/>
    <w:rsid w:val="00933DA0"/>
    <w:rsid w:val="0093422D"/>
    <w:rsid w:val="00935118"/>
    <w:rsid w:val="009353CC"/>
    <w:rsid w:val="00935683"/>
    <w:rsid w:val="00936F84"/>
    <w:rsid w:val="009371F3"/>
    <w:rsid w:val="009422F9"/>
    <w:rsid w:val="009430F8"/>
    <w:rsid w:val="00943165"/>
    <w:rsid w:val="009440B1"/>
    <w:rsid w:val="00945147"/>
    <w:rsid w:val="009454E1"/>
    <w:rsid w:val="00945CE5"/>
    <w:rsid w:val="00945E04"/>
    <w:rsid w:val="00946E3A"/>
    <w:rsid w:val="00947C6B"/>
    <w:rsid w:val="00947DAB"/>
    <w:rsid w:val="0095149A"/>
    <w:rsid w:val="009521B4"/>
    <w:rsid w:val="0095423E"/>
    <w:rsid w:val="00955BAE"/>
    <w:rsid w:val="00960E81"/>
    <w:rsid w:val="009621AE"/>
    <w:rsid w:val="00964981"/>
    <w:rsid w:val="00964AB3"/>
    <w:rsid w:val="00964C0D"/>
    <w:rsid w:val="00964F0D"/>
    <w:rsid w:val="009657EE"/>
    <w:rsid w:val="009704FA"/>
    <w:rsid w:val="00970EE4"/>
    <w:rsid w:val="00971B20"/>
    <w:rsid w:val="0097271E"/>
    <w:rsid w:val="0097327C"/>
    <w:rsid w:val="0097329F"/>
    <w:rsid w:val="0097449A"/>
    <w:rsid w:val="009756D7"/>
    <w:rsid w:val="00975C2C"/>
    <w:rsid w:val="00976E1E"/>
    <w:rsid w:val="009778E0"/>
    <w:rsid w:val="00980084"/>
    <w:rsid w:val="00980E46"/>
    <w:rsid w:val="00980E56"/>
    <w:rsid w:val="0098157F"/>
    <w:rsid w:val="009866E5"/>
    <w:rsid w:val="0098678C"/>
    <w:rsid w:val="00987B39"/>
    <w:rsid w:val="00990E75"/>
    <w:rsid w:val="00991169"/>
    <w:rsid w:val="00991946"/>
    <w:rsid w:val="009926FC"/>
    <w:rsid w:val="00993967"/>
    <w:rsid w:val="009946F7"/>
    <w:rsid w:val="00995845"/>
    <w:rsid w:val="009969A9"/>
    <w:rsid w:val="00996A51"/>
    <w:rsid w:val="00996BA2"/>
    <w:rsid w:val="009A0101"/>
    <w:rsid w:val="009A069E"/>
    <w:rsid w:val="009A0B96"/>
    <w:rsid w:val="009A1DD5"/>
    <w:rsid w:val="009A20F3"/>
    <w:rsid w:val="009A3D4A"/>
    <w:rsid w:val="009A65D0"/>
    <w:rsid w:val="009A7DCA"/>
    <w:rsid w:val="009A7F54"/>
    <w:rsid w:val="009B1108"/>
    <w:rsid w:val="009B15B4"/>
    <w:rsid w:val="009B5E5D"/>
    <w:rsid w:val="009B5E74"/>
    <w:rsid w:val="009B7BB9"/>
    <w:rsid w:val="009C33A4"/>
    <w:rsid w:val="009C40EA"/>
    <w:rsid w:val="009C49CC"/>
    <w:rsid w:val="009C4C6C"/>
    <w:rsid w:val="009C73F5"/>
    <w:rsid w:val="009C7BDF"/>
    <w:rsid w:val="009D0583"/>
    <w:rsid w:val="009D0F61"/>
    <w:rsid w:val="009D353C"/>
    <w:rsid w:val="009D533D"/>
    <w:rsid w:val="009D55B4"/>
    <w:rsid w:val="009D64CC"/>
    <w:rsid w:val="009D7D92"/>
    <w:rsid w:val="009E34AE"/>
    <w:rsid w:val="009E3E8D"/>
    <w:rsid w:val="009E4399"/>
    <w:rsid w:val="009E49CA"/>
    <w:rsid w:val="009E60E7"/>
    <w:rsid w:val="009E65F5"/>
    <w:rsid w:val="009E6FFE"/>
    <w:rsid w:val="009F019D"/>
    <w:rsid w:val="009F0426"/>
    <w:rsid w:val="009F4052"/>
    <w:rsid w:val="009F5EE4"/>
    <w:rsid w:val="009F66DB"/>
    <w:rsid w:val="009F7C5E"/>
    <w:rsid w:val="00A01580"/>
    <w:rsid w:val="00A01BFF"/>
    <w:rsid w:val="00A023F8"/>
    <w:rsid w:val="00A0268E"/>
    <w:rsid w:val="00A02DDD"/>
    <w:rsid w:val="00A0423B"/>
    <w:rsid w:val="00A0698F"/>
    <w:rsid w:val="00A07653"/>
    <w:rsid w:val="00A10571"/>
    <w:rsid w:val="00A1161C"/>
    <w:rsid w:val="00A12022"/>
    <w:rsid w:val="00A13316"/>
    <w:rsid w:val="00A136DD"/>
    <w:rsid w:val="00A14C8C"/>
    <w:rsid w:val="00A161A8"/>
    <w:rsid w:val="00A20692"/>
    <w:rsid w:val="00A23458"/>
    <w:rsid w:val="00A24316"/>
    <w:rsid w:val="00A254CF"/>
    <w:rsid w:val="00A26E31"/>
    <w:rsid w:val="00A3167F"/>
    <w:rsid w:val="00A31F84"/>
    <w:rsid w:val="00A3350E"/>
    <w:rsid w:val="00A349BC"/>
    <w:rsid w:val="00A3501B"/>
    <w:rsid w:val="00A358EC"/>
    <w:rsid w:val="00A36579"/>
    <w:rsid w:val="00A36ED5"/>
    <w:rsid w:val="00A37B00"/>
    <w:rsid w:val="00A40C03"/>
    <w:rsid w:val="00A40F40"/>
    <w:rsid w:val="00A41272"/>
    <w:rsid w:val="00A43A0F"/>
    <w:rsid w:val="00A47DF6"/>
    <w:rsid w:val="00A5012D"/>
    <w:rsid w:val="00A50271"/>
    <w:rsid w:val="00A5085A"/>
    <w:rsid w:val="00A50F8A"/>
    <w:rsid w:val="00A54466"/>
    <w:rsid w:val="00A54ACF"/>
    <w:rsid w:val="00A55AA0"/>
    <w:rsid w:val="00A601F9"/>
    <w:rsid w:val="00A60BB8"/>
    <w:rsid w:val="00A61551"/>
    <w:rsid w:val="00A61DE1"/>
    <w:rsid w:val="00A62128"/>
    <w:rsid w:val="00A623E0"/>
    <w:rsid w:val="00A62991"/>
    <w:rsid w:val="00A62B93"/>
    <w:rsid w:val="00A6446F"/>
    <w:rsid w:val="00A64CED"/>
    <w:rsid w:val="00A650E2"/>
    <w:rsid w:val="00A658A3"/>
    <w:rsid w:val="00A66196"/>
    <w:rsid w:val="00A66651"/>
    <w:rsid w:val="00A67AF0"/>
    <w:rsid w:val="00A67F78"/>
    <w:rsid w:val="00A70976"/>
    <w:rsid w:val="00A71CD2"/>
    <w:rsid w:val="00A7235E"/>
    <w:rsid w:val="00A734E7"/>
    <w:rsid w:val="00A76FE3"/>
    <w:rsid w:val="00A77FE7"/>
    <w:rsid w:val="00A80FCF"/>
    <w:rsid w:val="00A813D3"/>
    <w:rsid w:val="00A82B69"/>
    <w:rsid w:val="00A82F6B"/>
    <w:rsid w:val="00A8723E"/>
    <w:rsid w:val="00A8797E"/>
    <w:rsid w:val="00A90970"/>
    <w:rsid w:val="00A928FF"/>
    <w:rsid w:val="00A94005"/>
    <w:rsid w:val="00A9433D"/>
    <w:rsid w:val="00A95CB6"/>
    <w:rsid w:val="00A95D1D"/>
    <w:rsid w:val="00A966B1"/>
    <w:rsid w:val="00A96796"/>
    <w:rsid w:val="00A9789C"/>
    <w:rsid w:val="00AA038F"/>
    <w:rsid w:val="00AA1864"/>
    <w:rsid w:val="00AA21D3"/>
    <w:rsid w:val="00AA21F5"/>
    <w:rsid w:val="00AA2D82"/>
    <w:rsid w:val="00AA5008"/>
    <w:rsid w:val="00AA7C1B"/>
    <w:rsid w:val="00AB083F"/>
    <w:rsid w:val="00AB129C"/>
    <w:rsid w:val="00AB3613"/>
    <w:rsid w:val="00AB7A63"/>
    <w:rsid w:val="00AC0CBB"/>
    <w:rsid w:val="00AC2A80"/>
    <w:rsid w:val="00AC5231"/>
    <w:rsid w:val="00AC5E67"/>
    <w:rsid w:val="00AC64A0"/>
    <w:rsid w:val="00AD034A"/>
    <w:rsid w:val="00AD1243"/>
    <w:rsid w:val="00AD169C"/>
    <w:rsid w:val="00AD2450"/>
    <w:rsid w:val="00AD2E40"/>
    <w:rsid w:val="00AD65BE"/>
    <w:rsid w:val="00AD6A38"/>
    <w:rsid w:val="00AD72B4"/>
    <w:rsid w:val="00AD7AA1"/>
    <w:rsid w:val="00AE3104"/>
    <w:rsid w:val="00AE43AD"/>
    <w:rsid w:val="00AE43BB"/>
    <w:rsid w:val="00AE4815"/>
    <w:rsid w:val="00AE53A6"/>
    <w:rsid w:val="00AE6B64"/>
    <w:rsid w:val="00AE6BB5"/>
    <w:rsid w:val="00AE73DC"/>
    <w:rsid w:val="00AE7710"/>
    <w:rsid w:val="00AF2CE8"/>
    <w:rsid w:val="00AF704D"/>
    <w:rsid w:val="00AF70F9"/>
    <w:rsid w:val="00AF7CEE"/>
    <w:rsid w:val="00AF7F6F"/>
    <w:rsid w:val="00B00CC3"/>
    <w:rsid w:val="00B0265A"/>
    <w:rsid w:val="00B04A14"/>
    <w:rsid w:val="00B05053"/>
    <w:rsid w:val="00B056CC"/>
    <w:rsid w:val="00B058B6"/>
    <w:rsid w:val="00B075D7"/>
    <w:rsid w:val="00B13AB1"/>
    <w:rsid w:val="00B14AB5"/>
    <w:rsid w:val="00B14D9C"/>
    <w:rsid w:val="00B155FE"/>
    <w:rsid w:val="00B15A4C"/>
    <w:rsid w:val="00B15CA6"/>
    <w:rsid w:val="00B15F8D"/>
    <w:rsid w:val="00B17819"/>
    <w:rsid w:val="00B206C1"/>
    <w:rsid w:val="00B2202B"/>
    <w:rsid w:val="00B221B5"/>
    <w:rsid w:val="00B22BD9"/>
    <w:rsid w:val="00B2454C"/>
    <w:rsid w:val="00B2544B"/>
    <w:rsid w:val="00B2734A"/>
    <w:rsid w:val="00B3244C"/>
    <w:rsid w:val="00B32682"/>
    <w:rsid w:val="00B33638"/>
    <w:rsid w:val="00B33C05"/>
    <w:rsid w:val="00B34A94"/>
    <w:rsid w:val="00B35B95"/>
    <w:rsid w:val="00B36150"/>
    <w:rsid w:val="00B40D0E"/>
    <w:rsid w:val="00B41B58"/>
    <w:rsid w:val="00B43A9F"/>
    <w:rsid w:val="00B44127"/>
    <w:rsid w:val="00B46352"/>
    <w:rsid w:val="00B51261"/>
    <w:rsid w:val="00B54171"/>
    <w:rsid w:val="00B56CB1"/>
    <w:rsid w:val="00B60534"/>
    <w:rsid w:val="00B6124E"/>
    <w:rsid w:val="00B622E5"/>
    <w:rsid w:val="00B62D08"/>
    <w:rsid w:val="00B63DA3"/>
    <w:rsid w:val="00B63EBC"/>
    <w:rsid w:val="00B64063"/>
    <w:rsid w:val="00B6763B"/>
    <w:rsid w:val="00B705F2"/>
    <w:rsid w:val="00B70AB8"/>
    <w:rsid w:val="00B70FE4"/>
    <w:rsid w:val="00B72569"/>
    <w:rsid w:val="00B72FDD"/>
    <w:rsid w:val="00B7456C"/>
    <w:rsid w:val="00B7458D"/>
    <w:rsid w:val="00B745F4"/>
    <w:rsid w:val="00B75545"/>
    <w:rsid w:val="00B762E2"/>
    <w:rsid w:val="00B771CD"/>
    <w:rsid w:val="00B8241D"/>
    <w:rsid w:val="00B83F74"/>
    <w:rsid w:val="00B843B9"/>
    <w:rsid w:val="00B8447F"/>
    <w:rsid w:val="00B84AD1"/>
    <w:rsid w:val="00B850B8"/>
    <w:rsid w:val="00B85AD1"/>
    <w:rsid w:val="00B91104"/>
    <w:rsid w:val="00B91ABD"/>
    <w:rsid w:val="00B92DCF"/>
    <w:rsid w:val="00B94CCA"/>
    <w:rsid w:val="00B95AD8"/>
    <w:rsid w:val="00B9640C"/>
    <w:rsid w:val="00B9670A"/>
    <w:rsid w:val="00B9709B"/>
    <w:rsid w:val="00B9738E"/>
    <w:rsid w:val="00B97A62"/>
    <w:rsid w:val="00BA016E"/>
    <w:rsid w:val="00BA04EA"/>
    <w:rsid w:val="00BA246F"/>
    <w:rsid w:val="00BA35CC"/>
    <w:rsid w:val="00BA3B98"/>
    <w:rsid w:val="00BA415E"/>
    <w:rsid w:val="00BA5D1C"/>
    <w:rsid w:val="00BA60BB"/>
    <w:rsid w:val="00BA62C3"/>
    <w:rsid w:val="00BB0472"/>
    <w:rsid w:val="00BB10E1"/>
    <w:rsid w:val="00BB12FE"/>
    <w:rsid w:val="00BB259D"/>
    <w:rsid w:val="00BB2A34"/>
    <w:rsid w:val="00BB4D90"/>
    <w:rsid w:val="00BB5D94"/>
    <w:rsid w:val="00BB75BE"/>
    <w:rsid w:val="00BB79F6"/>
    <w:rsid w:val="00BC03B1"/>
    <w:rsid w:val="00BC19CC"/>
    <w:rsid w:val="00BC2001"/>
    <w:rsid w:val="00BC24BF"/>
    <w:rsid w:val="00BC4B9F"/>
    <w:rsid w:val="00BC6D2B"/>
    <w:rsid w:val="00BC74C4"/>
    <w:rsid w:val="00BD1758"/>
    <w:rsid w:val="00BD2A9C"/>
    <w:rsid w:val="00BD2E25"/>
    <w:rsid w:val="00BD37C8"/>
    <w:rsid w:val="00BD3CEA"/>
    <w:rsid w:val="00BD4776"/>
    <w:rsid w:val="00BD63FF"/>
    <w:rsid w:val="00BD6602"/>
    <w:rsid w:val="00BD6AF3"/>
    <w:rsid w:val="00BD7229"/>
    <w:rsid w:val="00BD7C49"/>
    <w:rsid w:val="00BD7F31"/>
    <w:rsid w:val="00BE00CC"/>
    <w:rsid w:val="00BE055D"/>
    <w:rsid w:val="00BE0A4E"/>
    <w:rsid w:val="00BE0DA4"/>
    <w:rsid w:val="00BE0F9D"/>
    <w:rsid w:val="00BE2602"/>
    <w:rsid w:val="00BE354F"/>
    <w:rsid w:val="00BE3FC6"/>
    <w:rsid w:val="00BE4BAC"/>
    <w:rsid w:val="00BE530F"/>
    <w:rsid w:val="00BE5712"/>
    <w:rsid w:val="00BE7750"/>
    <w:rsid w:val="00BE7819"/>
    <w:rsid w:val="00BE7A65"/>
    <w:rsid w:val="00BF007B"/>
    <w:rsid w:val="00BF099A"/>
    <w:rsid w:val="00BF4035"/>
    <w:rsid w:val="00BF48C3"/>
    <w:rsid w:val="00BF5E09"/>
    <w:rsid w:val="00BF7707"/>
    <w:rsid w:val="00C00710"/>
    <w:rsid w:val="00C012D1"/>
    <w:rsid w:val="00C01545"/>
    <w:rsid w:val="00C0256F"/>
    <w:rsid w:val="00C02772"/>
    <w:rsid w:val="00C03376"/>
    <w:rsid w:val="00C03BE7"/>
    <w:rsid w:val="00C063C3"/>
    <w:rsid w:val="00C10ED3"/>
    <w:rsid w:val="00C1143E"/>
    <w:rsid w:val="00C11612"/>
    <w:rsid w:val="00C11940"/>
    <w:rsid w:val="00C12BFF"/>
    <w:rsid w:val="00C13291"/>
    <w:rsid w:val="00C13FAE"/>
    <w:rsid w:val="00C1582A"/>
    <w:rsid w:val="00C16149"/>
    <w:rsid w:val="00C178E3"/>
    <w:rsid w:val="00C21016"/>
    <w:rsid w:val="00C21761"/>
    <w:rsid w:val="00C2238F"/>
    <w:rsid w:val="00C224F5"/>
    <w:rsid w:val="00C24948"/>
    <w:rsid w:val="00C261DC"/>
    <w:rsid w:val="00C268BB"/>
    <w:rsid w:val="00C268F4"/>
    <w:rsid w:val="00C27BFB"/>
    <w:rsid w:val="00C27DF5"/>
    <w:rsid w:val="00C302BC"/>
    <w:rsid w:val="00C326EB"/>
    <w:rsid w:val="00C32924"/>
    <w:rsid w:val="00C32D53"/>
    <w:rsid w:val="00C35CE2"/>
    <w:rsid w:val="00C35E13"/>
    <w:rsid w:val="00C36894"/>
    <w:rsid w:val="00C36A62"/>
    <w:rsid w:val="00C45E7A"/>
    <w:rsid w:val="00C46F63"/>
    <w:rsid w:val="00C4762E"/>
    <w:rsid w:val="00C50404"/>
    <w:rsid w:val="00C5054A"/>
    <w:rsid w:val="00C52FED"/>
    <w:rsid w:val="00C5351F"/>
    <w:rsid w:val="00C53734"/>
    <w:rsid w:val="00C539FB"/>
    <w:rsid w:val="00C53C2A"/>
    <w:rsid w:val="00C561BC"/>
    <w:rsid w:val="00C566FB"/>
    <w:rsid w:val="00C56FEF"/>
    <w:rsid w:val="00C56FF4"/>
    <w:rsid w:val="00C61227"/>
    <w:rsid w:val="00C6157D"/>
    <w:rsid w:val="00C61D07"/>
    <w:rsid w:val="00C62668"/>
    <w:rsid w:val="00C63C88"/>
    <w:rsid w:val="00C64C54"/>
    <w:rsid w:val="00C65238"/>
    <w:rsid w:val="00C70F04"/>
    <w:rsid w:val="00C72068"/>
    <w:rsid w:val="00C74E0F"/>
    <w:rsid w:val="00C75D5A"/>
    <w:rsid w:val="00C75E27"/>
    <w:rsid w:val="00C7666C"/>
    <w:rsid w:val="00C768D3"/>
    <w:rsid w:val="00C770F2"/>
    <w:rsid w:val="00C7762C"/>
    <w:rsid w:val="00C776A0"/>
    <w:rsid w:val="00C8266F"/>
    <w:rsid w:val="00C83548"/>
    <w:rsid w:val="00C86437"/>
    <w:rsid w:val="00C86618"/>
    <w:rsid w:val="00C86EA4"/>
    <w:rsid w:val="00C87225"/>
    <w:rsid w:val="00C872F4"/>
    <w:rsid w:val="00C87909"/>
    <w:rsid w:val="00C91648"/>
    <w:rsid w:val="00C9408B"/>
    <w:rsid w:val="00C948F5"/>
    <w:rsid w:val="00C94EDE"/>
    <w:rsid w:val="00C950DD"/>
    <w:rsid w:val="00C95900"/>
    <w:rsid w:val="00C97255"/>
    <w:rsid w:val="00C97321"/>
    <w:rsid w:val="00CA0692"/>
    <w:rsid w:val="00CA0CEB"/>
    <w:rsid w:val="00CA1438"/>
    <w:rsid w:val="00CA1C2C"/>
    <w:rsid w:val="00CA3468"/>
    <w:rsid w:val="00CA629D"/>
    <w:rsid w:val="00CA6D70"/>
    <w:rsid w:val="00CA7B88"/>
    <w:rsid w:val="00CB01DA"/>
    <w:rsid w:val="00CB07DE"/>
    <w:rsid w:val="00CB09E7"/>
    <w:rsid w:val="00CB1A82"/>
    <w:rsid w:val="00CB3696"/>
    <w:rsid w:val="00CB4082"/>
    <w:rsid w:val="00CB459B"/>
    <w:rsid w:val="00CB571B"/>
    <w:rsid w:val="00CB6C6E"/>
    <w:rsid w:val="00CB6F27"/>
    <w:rsid w:val="00CB7E48"/>
    <w:rsid w:val="00CB7FE1"/>
    <w:rsid w:val="00CC075B"/>
    <w:rsid w:val="00CC0866"/>
    <w:rsid w:val="00CC0CAD"/>
    <w:rsid w:val="00CC11BD"/>
    <w:rsid w:val="00CC18D6"/>
    <w:rsid w:val="00CC24D0"/>
    <w:rsid w:val="00CC4689"/>
    <w:rsid w:val="00CC5289"/>
    <w:rsid w:val="00CC54EB"/>
    <w:rsid w:val="00CC703F"/>
    <w:rsid w:val="00CC706B"/>
    <w:rsid w:val="00CC73DD"/>
    <w:rsid w:val="00CC7777"/>
    <w:rsid w:val="00CD0671"/>
    <w:rsid w:val="00CD06BE"/>
    <w:rsid w:val="00CD0F03"/>
    <w:rsid w:val="00CD1AC2"/>
    <w:rsid w:val="00CD1AD4"/>
    <w:rsid w:val="00CD1BD7"/>
    <w:rsid w:val="00CD1DE1"/>
    <w:rsid w:val="00CD2095"/>
    <w:rsid w:val="00CD45B0"/>
    <w:rsid w:val="00CE01FC"/>
    <w:rsid w:val="00CE0C34"/>
    <w:rsid w:val="00CE0CA4"/>
    <w:rsid w:val="00CE0F40"/>
    <w:rsid w:val="00CE12F5"/>
    <w:rsid w:val="00CE1608"/>
    <w:rsid w:val="00CE1DF7"/>
    <w:rsid w:val="00CE4893"/>
    <w:rsid w:val="00CE4C8C"/>
    <w:rsid w:val="00CE5744"/>
    <w:rsid w:val="00CE7F07"/>
    <w:rsid w:val="00CF0DB6"/>
    <w:rsid w:val="00CF15E7"/>
    <w:rsid w:val="00CF1732"/>
    <w:rsid w:val="00CF533D"/>
    <w:rsid w:val="00CF551C"/>
    <w:rsid w:val="00CF5F2A"/>
    <w:rsid w:val="00CF667E"/>
    <w:rsid w:val="00CF75FB"/>
    <w:rsid w:val="00CF7986"/>
    <w:rsid w:val="00D008E3"/>
    <w:rsid w:val="00D0533C"/>
    <w:rsid w:val="00D06976"/>
    <w:rsid w:val="00D07BD8"/>
    <w:rsid w:val="00D07EA5"/>
    <w:rsid w:val="00D10EA2"/>
    <w:rsid w:val="00D11009"/>
    <w:rsid w:val="00D12DA6"/>
    <w:rsid w:val="00D14F38"/>
    <w:rsid w:val="00D1616F"/>
    <w:rsid w:val="00D16D89"/>
    <w:rsid w:val="00D21BAC"/>
    <w:rsid w:val="00D226F1"/>
    <w:rsid w:val="00D22ED2"/>
    <w:rsid w:val="00D23D8F"/>
    <w:rsid w:val="00D23FED"/>
    <w:rsid w:val="00D258D9"/>
    <w:rsid w:val="00D3076A"/>
    <w:rsid w:val="00D30DEE"/>
    <w:rsid w:val="00D31737"/>
    <w:rsid w:val="00D33705"/>
    <w:rsid w:val="00D33920"/>
    <w:rsid w:val="00D33A8A"/>
    <w:rsid w:val="00D33B8F"/>
    <w:rsid w:val="00D34CD7"/>
    <w:rsid w:val="00D35813"/>
    <w:rsid w:val="00D36123"/>
    <w:rsid w:val="00D3672D"/>
    <w:rsid w:val="00D371DA"/>
    <w:rsid w:val="00D4148C"/>
    <w:rsid w:val="00D436B8"/>
    <w:rsid w:val="00D4434A"/>
    <w:rsid w:val="00D44A68"/>
    <w:rsid w:val="00D45ADC"/>
    <w:rsid w:val="00D479D4"/>
    <w:rsid w:val="00D503EA"/>
    <w:rsid w:val="00D5055E"/>
    <w:rsid w:val="00D50A39"/>
    <w:rsid w:val="00D50A45"/>
    <w:rsid w:val="00D511E9"/>
    <w:rsid w:val="00D51456"/>
    <w:rsid w:val="00D545F7"/>
    <w:rsid w:val="00D557C7"/>
    <w:rsid w:val="00D5594E"/>
    <w:rsid w:val="00D5677F"/>
    <w:rsid w:val="00D569CA"/>
    <w:rsid w:val="00D57B63"/>
    <w:rsid w:val="00D6008D"/>
    <w:rsid w:val="00D6274C"/>
    <w:rsid w:val="00D63897"/>
    <w:rsid w:val="00D63A8A"/>
    <w:rsid w:val="00D65C55"/>
    <w:rsid w:val="00D661F0"/>
    <w:rsid w:val="00D6691A"/>
    <w:rsid w:val="00D7202A"/>
    <w:rsid w:val="00D72777"/>
    <w:rsid w:val="00D7299C"/>
    <w:rsid w:val="00D73002"/>
    <w:rsid w:val="00D7302C"/>
    <w:rsid w:val="00D754E0"/>
    <w:rsid w:val="00D76BD4"/>
    <w:rsid w:val="00D77DDB"/>
    <w:rsid w:val="00D80FC9"/>
    <w:rsid w:val="00D81D97"/>
    <w:rsid w:val="00D8222A"/>
    <w:rsid w:val="00D843D9"/>
    <w:rsid w:val="00D84846"/>
    <w:rsid w:val="00D86367"/>
    <w:rsid w:val="00D86A94"/>
    <w:rsid w:val="00D870CF"/>
    <w:rsid w:val="00D87F61"/>
    <w:rsid w:val="00D90B5A"/>
    <w:rsid w:val="00D916FA"/>
    <w:rsid w:val="00D91A99"/>
    <w:rsid w:val="00D92214"/>
    <w:rsid w:val="00D92384"/>
    <w:rsid w:val="00D925F7"/>
    <w:rsid w:val="00D9414C"/>
    <w:rsid w:val="00D96195"/>
    <w:rsid w:val="00D968BE"/>
    <w:rsid w:val="00DA143F"/>
    <w:rsid w:val="00DA15B5"/>
    <w:rsid w:val="00DA1682"/>
    <w:rsid w:val="00DA1C11"/>
    <w:rsid w:val="00DA30F4"/>
    <w:rsid w:val="00DA363F"/>
    <w:rsid w:val="00DA4434"/>
    <w:rsid w:val="00DA488F"/>
    <w:rsid w:val="00DA4FBC"/>
    <w:rsid w:val="00DA541C"/>
    <w:rsid w:val="00DA547D"/>
    <w:rsid w:val="00DA6CEE"/>
    <w:rsid w:val="00DA72D2"/>
    <w:rsid w:val="00DB02A9"/>
    <w:rsid w:val="00DB07FB"/>
    <w:rsid w:val="00DB12ED"/>
    <w:rsid w:val="00DB1326"/>
    <w:rsid w:val="00DB2547"/>
    <w:rsid w:val="00DB3DD8"/>
    <w:rsid w:val="00DB6953"/>
    <w:rsid w:val="00DB7DE0"/>
    <w:rsid w:val="00DC0B89"/>
    <w:rsid w:val="00DC15E6"/>
    <w:rsid w:val="00DC1F02"/>
    <w:rsid w:val="00DC22D9"/>
    <w:rsid w:val="00DC31DE"/>
    <w:rsid w:val="00DC46C9"/>
    <w:rsid w:val="00DC4E7F"/>
    <w:rsid w:val="00DC5639"/>
    <w:rsid w:val="00DD0EAE"/>
    <w:rsid w:val="00DD1BB1"/>
    <w:rsid w:val="00DD1EE7"/>
    <w:rsid w:val="00DD25C1"/>
    <w:rsid w:val="00DD30E6"/>
    <w:rsid w:val="00DD3916"/>
    <w:rsid w:val="00DD6B24"/>
    <w:rsid w:val="00DD7C34"/>
    <w:rsid w:val="00DD7FD1"/>
    <w:rsid w:val="00DE084E"/>
    <w:rsid w:val="00DE1B2C"/>
    <w:rsid w:val="00DE4C96"/>
    <w:rsid w:val="00DE7A5C"/>
    <w:rsid w:val="00DE7C03"/>
    <w:rsid w:val="00DF0A34"/>
    <w:rsid w:val="00DF1268"/>
    <w:rsid w:val="00DF1E55"/>
    <w:rsid w:val="00DF5152"/>
    <w:rsid w:val="00DF5E25"/>
    <w:rsid w:val="00DF63FB"/>
    <w:rsid w:val="00DF7F4C"/>
    <w:rsid w:val="00E012DF"/>
    <w:rsid w:val="00E022A9"/>
    <w:rsid w:val="00E02497"/>
    <w:rsid w:val="00E02EEE"/>
    <w:rsid w:val="00E0335A"/>
    <w:rsid w:val="00E03905"/>
    <w:rsid w:val="00E039B7"/>
    <w:rsid w:val="00E03AA3"/>
    <w:rsid w:val="00E049D4"/>
    <w:rsid w:val="00E04BAA"/>
    <w:rsid w:val="00E055C2"/>
    <w:rsid w:val="00E07128"/>
    <w:rsid w:val="00E12802"/>
    <w:rsid w:val="00E13207"/>
    <w:rsid w:val="00E14619"/>
    <w:rsid w:val="00E1527D"/>
    <w:rsid w:val="00E16566"/>
    <w:rsid w:val="00E166FB"/>
    <w:rsid w:val="00E167FF"/>
    <w:rsid w:val="00E17A94"/>
    <w:rsid w:val="00E2147C"/>
    <w:rsid w:val="00E23C29"/>
    <w:rsid w:val="00E23EA4"/>
    <w:rsid w:val="00E23FFC"/>
    <w:rsid w:val="00E26F1E"/>
    <w:rsid w:val="00E27C2A"/>
    <w:rsid w:val="00E27C42"/>
    <w:rsid w:val="00E3367D"/>
    <w:rsid w:val="00E36984"/>
    <w:rsid w:val="00E373AC"/>
    <w:rsid w:val="00E37BB5"/>
    <w:rsid w:val="00E37F8C"/>
    <w:rsid w:val="00E4062F"/>
    <w:rsid w:val="00E4131E"/>
    <w:rsid w:val="00E41BFB"/>
    <w:rsid w:val="00E42061"/>
    <w:rsid w:val="00E424F3"/>
    <w:rsid w:val="00E4406D"/>
    <w:rsid w:val="00E440AB"/>
    <w:rsid w:val="00E449FD"/>
    <w:rsid w:val="00E46055"/>
    <w:rsid w:val="00E46CB1"/>
    <w:rsid w:val="00E501C9"/>
    <w:rsid w:val="00E5484A"/>
    <w:rsid w:val="00E55CD7"/>
    <w:rsid w:val="00E561AD"/>
    <w:rsid w:val="00E56767"/>
    <w:rsid w:val="00E56F21"/>
    <w:rsid w:val="00E601EF"/>
    <w:rsid w:val="00E60670"/>
    <w:rsid w:val="00E60EB9"/>
    <w:rsid w:val="00E61389"/>
    <w:rsid w:val="00E632CB"/>
    <w:rsid w:val="00E63B72"/>
    <w:rsid w:val="00E63B79"/>
    <w:rsid w:val="00E67620"/>
    <w:rsid w:val="00E702C2"/>
    <w:rsid w:val="00E71F61"/>
    <w:rsid w:val="00E72811"/>
    <w:rsid w:val="00E72CB2"/>
    <w:rsid w:val="00E73AD4"/>
    <w:rsid w:val="00E81967"/>
    <w:rsid w:val="00E82306"/>
    <w:rsid w:val="00E823A7"/>
    <w:rsid w:val="00E83065"/>
    <w:rsid w:val="00E832D7"/>
    <w:rsid w:val="00E83D72"/>
    <w:rsid w:val="00E8589D"/>
    <w:rsid w:val="00E86C99"/>
    <w:rsid w:val="00E86D49"/>
    <w:rsid w:val="00E8721F"/>
    <w:rsid w:val="00E87537"/>
    <w:rsid w:val="00E92BE7"/>
    <w:rsid w:val="00E942CF"/>
    <w:rsid w:val="00E943EC"/>
    <w:rsid w:val="00E94D1D"/>
    <w:rsid w:val="00E97147"/>
    <w:rsid w:val="00E97430"/>
    <w:rsid w:val="00E978B6"/>
    <w:rsid w:val="00E97B76"/>
    <w:rsid w:val="00EA0D4A"/>
    <w:rsid w:val="00EA0EF7"/>
    <w:rsid w:val="00EA1037"/>
    <w:rsid w:val="00EA1F58"/>
    <w:rsid w:val="00EA29C4"/>
    <w:rsid w:val="00EA2D3A"/>
    <w:rsid w:val="00EA2DF8"/>
    <w:rsid w:val="00EA375F"/>
    <w:rsid w:val="00EA435E"/>
    <w:rsid w:val="00EA5289"/>
    <w:rsid w:val="00EA52A9"/>
    <w:rsid w:val="00EA5C30"/>
    <w:rsid w:val="00EA626E"/>
    <w:rsid w:val="00EA7832"/>
    <w:rsid w:val="00EB1850"/>
    <w:rsid w:val="00EB26A0"/>
    <w:rsid w:val="00EB382B"/>
    <w:rsid w:val="00EB5F9F"/>
    <w:rsid w:val="00EC00A2"/>
    <w:rsid w:val="00EC0376"/>
    <w:rsid w:val="00EC0C4A"/>
    <w:rsid w:val="00EC2203"/>
    <w:rsid w:val="00EC3394"/>
    <w:rsid w:val="00EC3951"/>
    <w:rsid w:val="00EC3CCC"/>
    <w:rsid w:val="00EC421A"/>
    <w:rsid w:val="00EC589B"/>
    <w:rsid w:val="00EC69BA"/>
    <w:rsid w:val="00ED0EA7"/>
    <w:rsid w:val="00ED1137"/>
    <w:rsid w:val="00ED17C4"/>
    <w:rsid w:val="00ED1AEF"/>
    <w:rsid w:val="00ED219E"/>
    <w:rsid w:val="00ED2D97"/>
    <w:rsid w:val="00ED40C7"/>
    <w:rsid w:val="00ED4A6F"/>
    <w:rsid w:val="00ED57BA"/>
    <w:rsid w:val="00ED6136"/>
    <w:rsid w:val="00ED79CF"/>
    <w:rsid w:val="00EE1DAE"/>
    <w:rsid w:val="00EE1E12"/>
    <w:rsid w:val="00EE2213"/>
    <w:rsid w:val="00EE34BB"/>
    <w:rsid w:val="00EE3EB9"/>
    <w:rsid w:val="00EE444B"/>
    <w:rsid w:val="00EE5EA4"/>
    <w:rsid w:val="00EF002E"/>
    <w:rsid w:val="00EF14BD"/>
    <w:rsid w:val="00EF1F5B"/>
    <w:rsid w:val="00EF22AA"/>
    <w:rsid w:val="00EF31E7"/>
    <w:rsid w:val="00EF4EF8"/>
    <w:rsid w:val="00EF5F48"/>
    <w:rsid w:val="00EF6820"/>
    <w:rsid w:val="00EF717B"/>
    <w:rsid w:val="00F01437"/>
    <w:rsid w:val="00F01A63"/>
    <w:rsid w:val="00F01C3C"/>
    <w:rsid w:val="00F030E1"/>
    <w:rsid w:val="00F03965"/>
    <w:rsid w:val="00F05220"/>
    <w:rsid w:val="00F05815"/>
    <w:rsid w:val="00F06549"/>
    <w:rsid w:val="00F07044"/>
    <w:rsid w:val="00F1118B"/>
    <w:rsid w:val="00F11762"/>
    <w:rsid w:val="00F153EF"/>
    <w:rsid w:val="00F22077"/>
    <w:rsid w:val="00F224A0"/>
    <w:rsid w:val="00F22614"/>
    <w:rsid w:val="00F249DA"/>
    <w:rsid w:val="00F26244"/>
    <w:rsid w:val="00F26645"/>
    <w:rsid w:val="00F30362"/>
    <w:rsid w:val="00F314E1"/>
    <w:rsid w:val="00F33AE7"/>
    <w:rsid w:val="00F34521"/>
    <w:rsid w:val="00F3505B"/>
    <w:rsid w:val="00F35767"/>
    <w:rsid w:val="00F357B2"/>
    <w:rsid w:val="00F3632E"/>
    <w:rsid w:val="00F37865"/>
    <w:rsid w:val="00F37E95"/>
    <w:rsid w:val="00F40920"/>
    <w:rsid w:val="00F40BBC"/>
    <w:rsid w:val="00F41577"/>
    <w:rsid w:val="00F4169D"/>
    <w:rsid w:val="00F43D33"/>
    <w:rsid w:val="00F46F72"/>
    <w:rsid w:val="00F46F83"/>
    <w:rsid w:val="00F47184"/>
    <w:rsid w:val="00F50CFA"/>
    <w:rsid w:val="00F53DB5"/>
    <w:rsid w:val="00F5521A"/>
    <w:rsid w:val="00F56068"/>
    <w:rsid w:val="00F57CC6"/>
    <w:rsid w:val="00F6044E"/>
    <w:rsid w:val="00F6258B"/>
    <w:rsid w:val="00F62EC5"/>
    <w:rsid w:val="00F632DF"/>
    <w:rsid w:val="00F6478D"/>
    <w:rsid w:val="00F71CAC"/>
    <w:rsid w:val="00F71FDE"/>
    <w:rsid w:val="00F72867"/>
    <w:rsid w:val="00F73CB9"/>
    <w:rsid w:val="00F7556A"/>
    <w:rsid w:val="00F75868"/>
    <w:rsid w:val="00F76EE9"/>
    <w:rsid w:val="00F805AE"/>
    <w:rsid w:val="00F8132B"/>
    <w:rsid w:val="00F840EB"/>
    <w:rsid w:val="00F90893"/>
    <w:rsid w:val="00F92C4C"/>
    <w:rsid w:val="00F93A93"/>
    <w:rsid w:val="00F9424C"/>
    <w:rsid w:val="00F946AB"/>
    <w:rsid w:val="00F95FB2"/>
    <w:rsid w:val="00F97910"/>
    <w:rsid w:val="00F97A64"/>
    <w:rsid w:val="00FA054E"/>
    <w:rsid w:val="00FA0C97"/>
    <w:rsid w:val="00FA31A9"/>
    <w:rsid w:val="00FA3BFF"/>
    <w:rsid w:val="00FA4634"/>
    <w:rsid w:val="00FA4EE4"/>
    <w:rsid w:val="00FA5AA9"/>
    <w:rsid w:val="00FA6A81"/>
    <w:rsid w:val="00FA7FDB"/>
    <w:rsid w:val="00FB114C"/>
    <w:rsid w:val="00FB1921"/>
    <w:rsid w:val="00FB23DF"/>
    <w:rsid w:val="00FB287A"/>
    <w:rsid w:val="00FB28BD"/>
    <w:rsid w:val="00FB35A4"/>
    <w:rsid w:val="00FB59DC"/>
    <w:rsid w:val="00FB7355"/>
    <w:rsid w:val="00FC0D58"/>
    <w:rsid w:val="00FC114E"/>
    <w:rsid w:val="00FC2081"/>
    <w:rsid w:val="00FC4076"/>
    <w:rsid w:val="00FC49F4"/>
    <w:rsid w:val="00FC4CD2"/>
    <w:rsid w:val="00FC4CF0"/>
    <w:rsid w:val="00FC4EDF"/>
    <w:rsid w:val="00FC4F7E"/>
    <w:rsid w:val="00FC6530"/>
    <w:rsid w:val="00FC73A6"/>
    <w:rsid w:val="00FC7D15"/>
    <w:rsid w:val="00FC7DF0"/>
    <w:rsid w:val="00FD0226"/>
    <w:rsid w:val="00FD3C21"/>
    <w:rsid w:val="00FD3F05"/>
    <w:rsid w:val="00FD46EE"/>
    <w:rsid w:val="00FD65B4"/>
    <w:rsid w:val="00FD7247"/>
    <w:rsid w:val="00FD77E6"/>
    <w:rsid w:val="00FE0ACB"/>
    <w:rsid w:val="00FE0CFB"/>
    <w:rsid w:val="00FE12D5"/>
    <w:rsid w:val="00FE2CD2"/>
    <w:rsid w:val="00FE30F2"/>
    <w:rsid w:val="00FE32C3"/>
    <w:rsid w:val="00FE5F63"/>
    <w:rsid w:val="00FE6C0F"/>
    <w:rsid w:val="00FE7686"/>
    <w:rsid w:val="00FE7FA2"/>
    <w:rsid w:val="00FF0720"/>
    <w:rsid w:val="00FF13AD"/>
    <w:rsid w:val="00FF17E5"/>
    <w:rsid w:val="00FF1D39"/>
    <w:rsid w:val="00FF30FF"/>
    <w:rsid w:val="00FF3A69"/>
    <w:rsid w:val="00FF50AB"/>
    <w:rsid w:val="00FF5AD9"/>
    <w:rsid w:val="00FF603C"/>
    <w:rsid w:val="00FF6CB2"/>
    <w:rsid w:val="010C1112"/>
    <w:rsid w:val="029C2633"/>
    <w:rsid w:val="03532116"/>
    <w:rsid w:val="03E3A3E9"/>
    <w:rsid w:val="03F51677"/>
    <w:rsid w:val="03F69F1A"/>
    <w:rsid w:val="05919A2D"/>
    <w:rsid w:val="05E9152B"/>
    <w:rsid w:val="06379433"/>
    <w:rsid w:val="063D6843"/>
    <w:rsid w:val="066432AC"/>
    <w:rsid w:val="069B7ADC"/>
    <w:rsid w:val="06BE6BE2"/>
    <w:rsid w:val="06FE8B66"/>
    <w:rsid w:val="0739E6C6"/>
    <w:rsid w:val="0763136A"/>
    <w:rsid w:val="07A6191C"/>
    <w:rsid w:val="07ABBEBB"/>
    <w:rsid w:val="07BA705A"/>
    <w:rsid w:val="0907052C"/>
    <w:rsid w:val="098051AA"/>
    <w:rsid w:val="0A24B9C4"/>
    <w:rsid w:val="0A613950"/>
    <w:rsid w:val="0A700B55"/>
    <w:rsid w:val="0B0022D9"/>
    <w:rsid w:val="0B48D58A"/>
    <w:rsid w:val="0C5E71B7"/>
    <w:rsid w:val="0C689E27"/>
    <w:rsid w:val="0C6C4946"/>
    <w:rsid w:val="0C85BE5D"/>
    <w:rsid w:val="0C9FAC85"/>
    <w:rsid w:val="0CB1253A"/>
    <w:rsid w:val="0DCFF88F"/>
    <w:rsid w:val="0DE04A9F"/>
    <w:rsid w:val="0E6BB81D"/>
    <w:rsid w:val="0E967858"/>
    <w:rsid w:val="0F03D9E1"/>
    <w:rsid w:val="0F3B75E8"/>
    <w:rsid w:val="0F95990C"/>
    <w:rsid w:val="0FD4C9D7"/>
    <w:rsid w:val="102F500D"/>
    <w:rsid w:val="10A4A11E"/>
    <w:rsid w:val="10FB2C97"/>
    <w:rsid w:val="1112F309"/>
    <w:rsid w:val="1114BA4E"/>
    <w:rsid w:val="112C6B7A"/>
    <w:rsid w:val="1198BEFD"/>
    <w:rsid w:val="11DD2B83"/>
    <w:rsid w:val="12008149"/>
    <w:rsid w:val="123EFD2F"/>
    <w:rsid w:val="12F4B78A"/>
    <w:rsid w:val="1323E382"/>
    <w:rsid w:val="13A3A09E"/>
    <w:rsid w:val="13A79940"/>
    <w:rsid w:val="13E847AC"/>
    <w:rsid w:val="13F426FA"/>
    <w:rsid w:val="142D8494"/>
    <w:rsid w:val="1486A01F"/>
    <w:rsid w:val="15270E72"/>
    <w:rsid w:val="154090C5"/>
    <w:rsid w:val="1561100D"/>
    <w:rsid w:val="15A58401"/>
    <w:rsid w:val="16287004"/>
    <w:rsid w:val="166F4922"/>
    <w:rsid w:val="17131A31"/>
    <w:rsid w:val="17C27382"/>
    <w:rsid w:val="17DC55AF"/>
    <w:rsid w:val="17FEF9E5"/>
    <w:rsid w:val="18B57E3D"/>
    <w:rsid w:val="18CE3240"/>
    <w:rsid w:val="19667954"/>
    <w:rsid w:val="19DEEE96"/>
    <w:rsid w:val="19E6C14B"/>
    <w:rsid w:val="1A7FDCA6"/>
    <w:rsid w:val="1A9A6D24"/>
    <w:rsid w:val="1AC17C3A"/>
    <w:rsid w:val="1ADA31FC"/>
    <w:rsid w:val="1B284C5D"/>
    <w:rsid w:val="1B597A7E"/>
    <w:rsid w:val="1BB71A66"/>
    <w:rsid w:val="1BD611AD"/>
    <w:rsid w:val="1CE469A7"/>
    <w:rsid w:val="1D481232"/>
    <w:rsid w:val="1DD9EF3C"/>
    <w:rsid w:val="1DF69EC9"/>
    <w:rsid w:val="1E25FE9E"/>
    <w:rsid w:val="1EBF714E"/>
    <w:rsid w:val="1EE22F19"/>
    <w:rsid w:val="1F152BF5"/>
    <w:rsid w:val="1F6DAFD8"/>
    <w:rsid w:val="1F84CC11"/>
    <w:rsid w:val="20BD1B28"/>
    <w:rsid w:val="218F7423"/>
    <w:rsid w:val="21A055E4"/>
    <w:rsid w:val="21CD325D"/>
    <w:rsid w:val="21F176C3"/>
    <w:rsid w:val="22B2E273"/>
    <w:rsid w:val="235944A0"/>
    <w:rsid w:val="242A3B97"/>
    <w:rsid w:val="244B8BA3"/>
    <w:rsid w:val="247593E9"/>
    <w:rsid w:val="2482AB30"/>
    <w:rsid w:val="24866881"/>
    <w:rsid w:val="248FB11B"/>
    <w:rsid w:val="24CA6B4B"/>
    <w:rsid w:val="25167A99"/>
    <w:rsid w:val="256E7D1F"/>
    <w:rsid w:val="263C3F53"/>
    <w:rsid w:val="266D0E36"/>
    <w:rsid w:val="2705F438"/>
    <w:rsid w:val="286F61AF"/>
    <w:rsid w:val="29171280"/>
    <w:rsid w:val="291EB04C"/>
    <w:rsid w:val="29AF17E1"/>
    <w:rsid w:val="29E24B52"/>
    <w:rsid w:val="2AB2F450"/>
    <w:rsid w:val="2AB70C23"/>
    <w:rsid w:val="2AEB4A54"/>
    <w:rsid w:val="2B04FDB1"/>
    <w:rsid w:val="2B1AC7DC"/>
    <w:rsid w:val="2BEF2B23"/>
    <w:rsid w:val="2BF1899A"/>
    <w:rsid w:val="2C3D54C4"/>
    <w:rsid w:val="2CC507A0"/>
    <w:rsid w:val="2CE0FEC2"/>
    <w:rsid w:val="2CF1AE67"/>
    <w:rsid w:val="2D99E544"/>
    <w:rsid w:val="2DEB2C8A"/>
    <w:rsid w:val="2E2AB90F"/>
    <w:rsid w:val="2E3CCF42"/>
    <w:rsid w:val="2E8E4643"/>
    <w:rsid w:val="2E8E7D31"/>
    <w:rsid w:val="2EE8C294"/>
    <w:rsid w:val="2F7661F3"/>
    <w:rsid w:val="2FA6F2C0"/>
    <w:rsid w:val="30B89212"/>
    <w:rsid w:val="30EDBFC2"/>
    <w:rsid w:val="30FC3356"/>
    <w:rsid w:val="3192DD79"/>
    <w:rsid w:val="3205A40E"/>
    <w:rsid w:val="320BC70F"/>
    <w:rsid w:val="32158470"/>
    <w:rsid w:val="3268830B"/>
    <w:rsid w:val="32C1C859"/>
    <w:rsid w:val="32F6F98A"/>
    <w:rsid w:val="33059570"/>
    <w:rsid w:val="33985B12"/>
    <w:rsid w:val="33E5B4FB"/>
    <w:rsid w:val="34DFCB06"/>
    <w:rsid w:val="34E998B1"/>
    <w:rsid w:val="34F06E92"/>
    <w:rsid w:val="3518770D"/>
    <w:rsid w:val="351F2960"/>
    <w:rsid w:val="3569ECBC"/>
    <w:rsid w:val="35821FBB"/>
    <w:rsid w:val="358BCD3F"/>
    <w:rsid w:val="35A59737"/>
    <w:rsid w:val="3630E3D9"/>
    <w:rsid w:val="36C1AD60"/>
    <w:rsid w:val="36E718BD"/>
    <w:rsid w:val="372DFBD6"/>
    <w:rsid w:val="375E6B6B"/>
    <w:rsid w:val="3782F5BA"/>
    <w:rsid w:val="381054FE"/>
    <w:rsid w:val="382BB0E4"/>
    <w:rsid w:val="38303276"/>
    <w:rsid w:val="38D94B9A"/>
    <w:rsid w:val="39728167"/>
    <w:rsid w:val="397FF86C"/>
    <w:rsid w:val="39F787EA"/>
    <w:rsid w:val="3A1863B5"/>
    <w:rsid w:val="3A252E23"/>
    <w:rsid w:val="3AC975C0"/>
    <w:rsid w:val="3AE1C658"/>
    <w:rsid w:val="3AE87F4D"/>
    <w:rsid w:val="3B3759A5"/>
    <w:rsid w:val="3B799BCC"/>
    <w:rsid w:val="3B983095"/>
    <w:rsid w:val="3BBDEFDF"/>
    <w:rsid w:val="3C09902F"/>
    <w:rsid w:val="3C205190"/>
    <w:rsid w:val="3C415B41"/>
    <w:rsid w:val="3C637521"/>
    <w:rsid w:val="3D1B7E88"/>
    <w:rsid w:val="3D23032C"/>
    <w:rsid w:val="3DF4D5B1"/>
    <w:rsid w:val="3E0BD2A6"/>
    <w:rsid w:val="3E587F8E"/>
    <w:rsid w:val="3EEBE81C"/>
    <w:rsid w:val="3F8285E0"/>
    <w:rsid w:val="3FC738EB"/>
    <w:rsid w:val="3FF7CE88"/>
    <w:rsid w:val="404A42F7"/>
    <w:rsid w:val="405C61C0"/>
    <w:rsid w:val="40CDF8D1"/>
    <w:rsid w:val="4131F494"/>
    <w:rsid w:val="41531929"/>
    <w:rsid w:val="41B4A28C"/>
    <w:rsid w:val="4254DCC1"/>
    <w:rsid w:val="42EDEF6D"/>
    <w:rsid w:val="43768F17"/>
    <w:rsid w:val="451C38B0"/>
    <w:rsid w:val="45866D16"/>
    <w:rsid w:val="46186346"/>
    <w:rsid w:val="464F45A7"/>
    <w:rsid w:val="4660B91A"/>
    <w:rsid w:val="475F3A1A"/>
    <w:rsid w:val="47C26FF6"/>
    <w:rsid w:val="47CA3E1F"/>
    <w:rsid w:val="4816A654"/>
    <w:rsid w:val="481A0B18"/>
    <w:rsid w:val="48375772"/>
    <w:rsid w:val="487623C5"/>
    <w:rsid w:val="4909FF02"/>
    <w:rsid w:val="4936E5BF"/>
    <w:rsid w:val="4959E051"/>
    <w:rsid w:val="4A1DDAEB"/>
    <w:rsid w:val="4A4DD050"/>
    <w:rsid w:val="4AA1AE5E"/>
    <w:rsid w:val="4B71E956"/>
    <w:rsid w:val="4C05280B"/>
    <w:rsid w:val="4C2A1218"/>
    <w:rsid w:val="4C8918ED"/>
    <w:rsid w:val="4D05D725"/>
    <w:rsid w:val="4D0967CF"/>
    <w:rsid w:val="4D65BC3A"/>
    <w:rsid w:val="4D8EC441"/>
    <w:rsid w:val="4DBA415A"/>
    <w:rsid w:val="4DE0175B"/>
    <w:rsid w:val="4E12A658"/>
    <w:rsid w:val="4E2B0E51"/>
    <w:rsid w:val="4EDF1A41"/>
    <w:rsid w:val="4EF92727"/>
    <w:rsid w:val="4F9EA472"/>
    <w:rsid w:val="4FCC0AD1"/>
    <w:rsid w:val="5018C294"/>
    <w:rsid w:val="510D766F"/>
    <w:rsid w:val="51115786"/>
    <w:rsid w:val="5170D769"/>
    <w:rsid w:val="526362D6"/>
    <w:rsid w:val="527DC273"/>
    <w:rsid w:val="52CC3B59"/>
    <w:rsid w:val="5369F3F4"/>
    <w:rsid w:val="537A5530"/>
    <w:rsid w:val="537B7A8F"/>
    <w:rsid w:val="547A2D94"/>
    <w:rsid w:val="547CDDA0"/>
    <w:rsid w:val="54ACA371"/>
    <w:rsid w:val="550BC2F9"/>
    <w:rsid w:val="558BDF90"/>
    <w:rsid w:val="559D80A3"/>
    <w:rsid w:val="56F1BA1B"/>
    <w:rsid w:val="57821025"/>
    <w:rsid w:val="57CD894D"/>
    <w:rsid w:val="58532BE8"/>
    <w:rsid w:val="587E035A"/>
    <w:rsid w:val="58A84EEA"/>
    <w:rsid w:val="58E96E3A"/>
    <w:rsid w:val="593AC637"/>
    <w:rsid w:val="593E5738"/>
    <w:rsid w:val="594C7A0B"/>
    <w:rsid w:val="59C112C8"/>
    <w:rsid w:val="5A4CF6CC"/>
    <w:rsid w:val="5AF03726"/>
    <w:rsid w:val="5B545F6C"/>
    <w:rsid w:val="5B67C7D7"/>
    <w:rsid w:val="5C24D288"/>
    <w:rsid w:val="5C6F8BC2"/>
    <w:rsid w:val="5CE41D62"/>
    <w:rsid w:val="5CEFEC53"/>
    <w:rsid w:val="5DC4A04A"/>
    <w:rsid w:val="5DD4D7CF"/>
    <w:rsid w:val="5E4023AB"/>
    <w:rsid w:val="5E7D70E4"/>
    <w:rsid w:val="5E97B0CB"/>
    <w:rsid w:val="5F62B1B6"/>
    <w:rsid w:val="5FAE97D8"/>
    <w:rsid w:val="5FD35E9D"/>
    <w:rsid w:val="600DB829"/>
    <w:rsid w:val="6079877E"/>
    <w:rsid w:val="61EE564A"/>
    <w:rsid w:val="62456E77"/>
    <w:rsid w:val="62BE2085"/>
    <w:rsid w:val="62C9B2EA"/>
    <w:rsid w:val="631FEBCA"/>
    <w:rsid w:val="639E9B9B"/>
    <w:rsid w:val="63BEA325"/>
    <w:rsid w:val="6462B5A6"/>
    <w:rsid w:val="649087DC"/>
    <w:rsid w:val="649395FB"/>
    <w:rsid w:val="64A4B944"/>
    <w:rsid w:val="64F692D4"/>
    <w:rsid w:val="656A1E2D"/>
    <w:rsid w:val="65772A6C"/>
    <w:rsid w:val="65A72BA2"/>
    <w:rsid w:val="6654291A"/>
    <w:rsid w:val="66BD4B63"/>
    <w:rsid w:val="671C4404"/>
    <w:rsid w:val="67205E4B"/>
    <w:rsid w:val="67630FE3"/>
    <w:rsid w:val="67929FA3"/>
    <w:rsid w:val="67997BEE"/>
    <w:rsid w:val="67E5EF71"/>
    <w:rsid w:val="688EC8D6"/>
    <w:rsid w:val="68C2C5D5"/>
    <w:rsid w:val="68DB40FC"/>
    <w:rsid w:val="691A7037"/>
    <w:rsid w:val="6924D4D1"/>
    <w:rsid w:val="6987D822"/>
    <w:rsid w:val="6A0510BF"/>
    <w:rsid w:val="6A66705C"/>
    <w:rsid w:val="6AB03904"/>
    <w:rsid w:val="6ABC4D12"/>
    <w:rsid w:val="6B3C2582"/>
    <w:rsid w:val="6B5B80CE"/>
    <w:rsid w:val="6BF9886D"/>
    <w:rsid w:val="6C7E551B"/>
    <w:rsid w:val="6D488CFE"/>
    <w:rsid w:val="6D92290A"/>
    <w:rsid w:val="6DC8581C"/>
    <w:rsid w:val="6DE954D4"/>
    <w:rsid w:val="6E235B12"/>
    <w:rsid w:val="702EE3C2"/>
    <w:rsid w:val="70481CF2"/>
    <w:rsid w:val="70A625F7"/>
    <w:rsid w:val="70C006E6"/>
    <w:rsid w:val="7193A06A"/>
    <w:rsid w:val="71C31FE3"/>
    <w:rsid w:val="71E6426E"/>
    <w:rsid w:val="71F51864"/>
    <w:rsid w:val="724E9FAD"/>
    <w:rsid w:val="727A167A"/>
    <w:rsid w:val="72AFD5C4"/>
    <w:rsid w:val="72D168A5"/>
    <w:rsid w:val="72F6ECCE"/>
    <w:rsid w:val="730FCCFB"/>
    <w:rsid w:val="73BF3F6F"/>
    <w:rsid w:val="73C5D9BC"/>
    <w:rsid w:val="73F401F8"/>
    <w:rsid w:val="74B9DF17"/>
    <w:rsid w:val="74CD2655"/>
    <w:rsid w:val="75207B8F"/>
    <w:rsid w:val="75809766"/>
    <w:rsid w:val="75BE7B32"/>
    <w:rsid w:val="75E7E8C2"/>
    <w:rsid w:val="766E7AF6"/>
    <w:rsid w:val="76825172"/>
    <w:rsid w:val="76B67B90"/>
    <w:rsid w:val="77316144"/>
    <w:rsid w:val="77359BF2"/>
    <w:rsid w:val="77446A4A"/>
    <w:rsid w:val="777ECC86"/>
    <w:rsid w:val="77D2CA7A"/>
    <w:rsid w:val="78206F1E"/>
    <w:rsid w:val="784B72B7"/>
    <w:rsid w:val="785BA168"/>
    <w:rsid w:val="7929D98B"/>
    <w:rsid w:val="79B17F01"/>
    <w:rsid w:val="79BEC7F1"/>
    <w:rsid w:val="79CB34D5"/>
    <w:rsid w:val="7A6AF975"/>
    <w:rsid w:val="7A75D9C9"/>
    <w:rsid w:val="7B254AC1"/>
    <w:rsid w:val="7B51F349"/>
    <w:rsid w:val="7BAD7C19"/>
    <w:rsid w:val="7BEE4526"/>
    <w:rsid w:val="7BF38582"/>
    <w:rsid w:val="7C285CBA"/>
    <w:rsid w:val="7C297149"/>
    <w:rsid w:val="7C97CD75"/>
    <w:rsid w:val="7D073C85"/>
    <w:rsid w:val="7D0CF5E0"/>
    <w:rsid w:val="7DA9163B"/>
    <w:rsid w:val="7DEED1A8"/>
    <w:rsid w:val="7E030E9E"/>
    <w:rsid w:val="7E1955CF"/>
    <w:rsid w:val="7F17C408"/>
    <w:rsid w:val="7FA29CDC"/>
    <w:rsid w:val="7FD379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89E2"/>
  <w15:docId w15:val="{38D6A328-5785-4CB2-BD85-E77B7552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5A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155FE"/>
    <w:pPr>
      <w:tabs>
        <w:tab w:val="center" w:pos="4536"/>
        <w:tab w:val="right" w:pos="9072"/>
      </w:tabs>
      <w:spacing w:after="0" w:line="240" w:lineRule="auto"/>
    </w:pPr>
  </w:style>
  <w:style w:type="character" w:customStyle="1" w:styleId="lfejChar">
    <w:name w:val="Élőfej Char"/>
    <w:basedOn w:val="Bekezdsalapbettpusa"/>
    <w:link w:val="lfej"/>
    <w:uiPriority w:val="99"/>
    <w:rsid w:val="00B155FE"/>
  </w:style>
  <w:style w:type="paragraph" w:styleId="llb">
    <w:name w:val="footer"/>
    <w:basedOn w:val="Norml"/>
    <w:link w:val="llbChar"/>
    <w:uiPriority w:val="99"/>
    <w:unhideWhenUsed/>
    <w:rsid w:val="00B155FE"/>
    <w:pPr>
      <w:tabs>
        <w:tab w:val="center" w:pos="4536"/>
        <w:tab w:val="right" w:pos="9072"/>
      </w:tabs>
      <w:spacing w:after="0" w:line="240" w:lineRule="auto"/>
    </w:pPr>
  </w:style>
  <w:style w:type="character" w:customStyle="1" w:styleId="llbChar">
    <w:name w:val="Élőláb Char"/>
    <w:basedOn w:val="Bekezdsalapbettpusa"/>
    <w:link w:val="llb"/>
    <w:uiPriority w:val="99"/>
    <w:rsid w:val="00B155FE"/>
  </w:style>
  <w:style w:type="paragraph" w:styleId="Lbjegyzetszveg">
    <w:name w:val="footnote text"/>
    <w:basedOn w:val="Norml"/>
    <w:link w:val="LbjegyzetszvegChar"/>
    <w:uiPriority w:val="99"/>
    <w:semiHidden/>
    <w:unhideWhenUsed/>
    <w:rsid w:val="00B155F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155FE"/>
    <w:rPr>
      <w:sz w:val="20"/>
      <w:szCs w:val="20"/>
    </w:rPr>
  </w:style>
  <w:style w:type="character" w:styleId="Lbjegyzet-hivatkozs">
    <w:name w:val="footnote reference"/>
    <w:semiHidden/>
    <w:rsid w:val="00B155FE"/>
    <w:rPr>
      <w:vertAlign w:val="superscript"/>
    </w:rPr>
  </w:style>
  <w:style w:type="character" w:styleId="Oldalszm">
    <w:name w:val="page number"/>
    <w:basedOn w:val="Bekezdsalapbettpusa"/>
    <w:rsid w:val="00B155FE"/>
  </w:style>
  <w:style w:type="paragraph" w:styleId="Buborkszveg">
    <w:name w:val="Balloon Text"/>
    <w:basedOn w:val="Norml"/>
    <w:link w:val="BuborkszvegChar"/>
    <w:uiPriority w:val="99"/>
    <w:semiHidden/>
    <w:unhideWhenUsed/>
    <w:rsid w:val="0097327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7327C"/>
    <w:rPr>
      <w:rFonts w:ascii="Tahoma" w:hAnsi="Tahoma" w:cs="Tahoma"/>
      <w:sz w:val="16"/>
      <w:szCs w:val="16"/>
    </w:rPr>
  </w:style>
  <w:style w:type="paragraph" w:styleId="Listaszerbekezds">
    <w:name w:val="List Paragraph"/>
    <w:basedOn w:val="Norml"/>
    <w:uiPriority w:val="34"/>
    <w:qFormat/>
    <w:rsid w:val="00F71CAC"/>
    <w:pPr>
      <w:ind w:left="720"/>
      <w:contextualSpacing/>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D4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E165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Pr>
      <w:color w:val="0563C1" w:themeColor="hyperlink"/>
      <w:u w:val="single"/>
    </w:rPr>
  </w:style>
  <w:style w:type="table" w:styleId="Tblzatrcsos1vilgos1jellszn">
    <w:name w:val="Grid Table 1 Light Accent 1"/>
    <w:basedOn w:val="Normltblzat"/>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Megjegyzstrgya">
    <w:name w:val="annotation subject"/>
    <w:basedOn w:val="Jegyzetszveg"/>
    <w:next w:val="Jegyzetszveg"/>
    <w:link w:val="MegjegyzstrgyaChar"/>
    <w:uiPriority w:val="99"/>
    <w:semiHidden/>
    <w:unhideWhenUsed/>
    <w:rsid w:val="00C75D5A"/>
    <w:rPr>
      <w:b/>
      <w:bCs/>
    </w:rPr>
  </w:style>
  <w:style w:type="character" w:customStyle="1" w:styleId="MegjegyzstrgyaChar">
    <w:name w:val="Megjegyzés tárgya Char"/>
    <w:basedOn w:val="JegyzetszvegChar"/>
    <w:link w:val="Megjegyzstrgya"/>
    <w:uiPriority w:val="99"/>
    <w:semiHidden/>
    <w:rsid w:val="00C75D5A"/>
    <w:rPr>
      <w:b/>
      <w:bCs/>
      <w:sz w:val="20"/>
      <w:szCs w:val="20"/>
    </w:rPr>
  </w:style>
  <w:style w:type="paragraph" w:styleId="Vltozat">
    <w:name w:val="Revision"/>
    <w:hidden/>
    <w:uiPriority w:val="99"/>
    <w:semiHidden/>
    <w:rsid w:val="0016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1892">
      <w:bodyDiv w:val="1"/>
      <w:marLeft w:val="0"/>
      <w:marRight w:val="0"/>
      <w:marTop w:val="0"/>
      <w:marBottom w:val="0"/>
      <w:divBdr>
        <w:top w:val="none" w:sz="0" w:space="0" w:color="auto"/>
        <w:left w:val="none" w:sz="0" w:space="0" w:color="auto"/>
        <w:bottom w:val="none" w:sz="0" w:space="0" w:color="auto"/>
        <w:right w:val="none" w:sz="0" w:space="0" w:color="auto"/>
      </w:divBdr>
    </w:div>
    <w:div w:id="240256079">
      <w:bodyDiv w:val="1"/>
      <w:marLeft w:val="0"/>
      <w:marRight w:val="0"/>
      <w:marTop w:val="0"/>
      <w:marBottom w:val="0"/>
      <w:divBdr>
        <w:top w:val="none" w:sz="0" w:space="0" w:color="auto"/>
        <w:left w:val="none" w:sz="0" w:space="0" w:color="auto"/>
        <w:bottom w:val="none" w:sz="0" w:space="0" w:color="auto"/>
        <w:right w:val="none" w:sz="0" w:space="0" w:color="auto"/>
      </w:divBdr>
    </w:div>
    <w:div w:id="248008608">
      <w:bodyDiv w:val="1"/>
      <w:marLeft w:val="0"/>
      <w:marRight w:val="0"/>
      <w:marTop w:val="0"/>
      <w:marBottom w:val="0"/>
      <w:divBdr>
        <w:top w:val="none" w:sz="0" w:space="0" w:color="auto"/>
        <w:left w:val="none" w:sz="0" w:space="0" w:color="auto"/>
        <w:bottom w:val="none" w:sz="0" w:space="0" w:color="auto"/>
        <w:right w:val="none" w:sz="0" w:space="0" w:color="auto"/>
      </w:divBdr>
    </w:div>
    <w:div w:id="251550484">
      <w:bodyDiv w:val="1"/>
      <w:marLeft w:val="0"/>
      <w:marRight w:val="0"/>
      <w:marTop w:val="0"/>
      <w:marBottom w:val="0"/>
      <w:divBdr>
        <w:top w:val="none" w:sz="0" w:space="0" w:color="auto"/>
        <w:left w:val="none" w:sz="0" w:space="0" w:color="auto"/>
        <w:bottom w:val="none" w:sz="0" w:space="0" w:color="auto"/>
        <w:right w:val="none" w:sz="0" w:space="0" w:color="auto"/>
      </w:divBdr>
    </w:div>
    <w:div w:id="263924984">
      <w:bodyDiv w:val="1"/>
      <w:marLeft w:val="0"/>
      <w:marRight w:val="0"/>
      <w:marTop w:val="0"/>
      <w:marBottom w:val="0"/>
      <w:divBdr>
        <w:top w:val="none" w:sz="0" w:space="0" w:color="auto"/>
        <w:left w:val="none" w:sz="0" w:space="0" w:color="auto"/>
        <w:bottom w:val="none" w:sz="0" w:space="0" w:color="auto"/>
        <w:right w:val="none" w:sz="0" w:space="0" w:color="auto"/>
      </w:divBdr>
    </w:div>
    <w:div w:id="414713825">
      <w:bodyDiv w:val="1"/>
      <w:marLeft w:val="0"/>
      <w:marRight w:val="0"/>
      <w:marTop w:val="0"/>
      <w:marBottom w:val="0"/>
      <w:divBdr>
        <w:top w:val="none" w:sz="0" w:space="0" w:color="auto"/>
        <w:left w:val="none" w:sz="0" w:space="0" w:color="auto"/>
        <w:bottom w:val="none" w:sz="0" w:space="0" w:color="auto"/>
        <w:right w:val="none" w:sz="0" w:space="0" w:color="auto"/>
      </w:divBdr>
    </w:div>
    <w:div w:id="419377097">
      <w:bodyDiv w:val="1"/>
      <w:marLeft w:val="0"/>
      <w:marRight w:val="0"/>
      <w:marTop w:val="0"/>
      <w:marBottom w:val="0"/>
      <w:divBdr>
        <w:top w:val="none" w:sz="0" w:space="0" w:color="auto"/>
        <w:left w:val="none" w:sz="0" w:space="0" w:color="auto"/>
        <w:bottom w:val="none" w:sz="0" w:space="0" w:color="auto"/>
        <w:right w:val="none" w:sz="0" w:space="0" w:color="auto"/>
      </w:divBdr>
    </w:div>
    <w:div w:id="422839085">
      <w:bodyDiv w:val="1"/>
      <w:marLeft w:val="0"/>
      <w:marRight w:val="0"/>
      <w:marTop w:val="0"/>
      <w:marBottom w:val="0"/>
      <w:divBdr>
        <w:top w:val="none" w:sz="0" w:space="0" w:color="auto"/>
        <w:left w:val="none" w:sz="0" w:space="0" w:color="auto"/>
        <w:bottom w:val="none" w:sz="0" w:space="0" w:color="auto"/>
        <w:right w:val="none" w:sz="0" w:space="0" w:color="auto"/>
      </w:divBdr>
    </w:div>
    <w:div w:id="425614567">
      <w:bodyDiv w:val="1"/>
      <w:marLeft w:val="0"/>
      <w:marRight w:val="0"/>
      <w:marTop w:val="0"/>
      <w:marBottom w:val="0"/>
      <w:divBdr>
        <w:top w:val="none" w:sz="0" w:space="0" w:color="auto"/>
        <w:left w:val="none" w:sz="0" w:space="0" w:color="auto"/>
        <w:bottom w:val="none" w:sz="0" w:space="0" w:color="auto"/>
        <w:right w:val="none" w:sz="0" w:space="0" w:color="auto"/>
      </w:divBdr>
    </w:div>
    <w:div w:id="457265896">
      <w:bodyDiv w:val="1"/>
      <w:marLeft w:val="0"/>
      <w:marRight w:val="0"/>
      <w:marTop w:val="0"/>
      <w:marBottom w:val="0"/>
      <w:divBdr>
        <w:top w:val="none" w:sz="0" w:space="0" w:color="auto"/>
        <w:left w:val="none" w:sz="0" w:space="0" w:color="auto"/>
        <w:bottom w:val="none" w:sz="0" w:space="0" w:color="auto"/>
        <w:right w:val="none" w:sz="0" w:space="0" w:color="auto"/>
      </w:divBdr>
    </w:div>
    <w:div w:id="750005642">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1945513">
      <w:bodyDiv w:val="1"/>
      <w:marLeft w:val="0"/>
      <w:marRight w:val="0"/>
      <w:marTop w:val="0"/>
      <w:marBottom w:val="0"/>
      <w:divBdr>
        <w:top w:val="none" w:sz="0" w:space="0" w:color="auto"/>
        <w:left w:val="none" w:sz="0" w:space="0" w:color="auto"/>
        <w:bottom w:val="none" w:sz="0" w:space="0" w:color="auto"/>
        <w:right w:val="none" w:sz="0" w:space="0" w:color="auto"/>
      </w:divBdr>
    </w:div>
    <w:div w:id="955060427">
      <w:bodyDiv w:val="1"/>
      <w:marLeft w:val="0"/>
      <w:marRight w:val="0"/>
      <w:marTop w:val="0"/>
      <w:marBottom w:val="0"/>
      <w:divBdr>
        <w:top w:val="none" w:sz="0" w:space="0" w:color="auto"/>
        <w:left w:val="none" w:sz="0" w:space="0" w:color="auto"/>
        <w:bottom w:val="none" w:sz="0" w:space="0" w:color="auto"/>
        <w:right w:val="none" w:sz="0" w:space="0" w:color="auto"/>
      </w:divBdr>
    </w:div>
    <w:div w:id="1020281846">
      <w:bodyDiv w:val="1"/>
      <w:marLeft w:val="0"/>
      <w:marRight w:val="0"/>
      <w:marTop w:val="0"/>
      <w:marBottom w:val="0"/>
      <w:divBdr>
        <w:top w:val="none" w:sz="0" w:space="0" w:color="auto"/>
        <w:left w:val="none" w:sz="0" w:space="0" w:color="auto"/>
        <w:bottom w:val="none" w:sz="0" w:space="0" w:color="auto"/>
        <w:right w:val="none" w:sz="0" w:space="0" w:color="auto"/>
      </w:divBdr>
    </w:div>
    <w:div w:id="1137841753">
      <w:bodyDiv w:val="1"/>
      <w:marLeft w:val="0"/>
      <w:marRight w:val="0"/>
      <w:marTop w:val="0"/>
      <w:marBottom w:val="0"/>
      <w:divBdr>
        <w:top w:val="none" w:sz="0" w:space="0" w:color="auto"/>
        <w:left w:val="none" w:sz="0" w:space="0" w:color="auto"/>
        <w:bottom w:val="none" w:sz="0" w:space="0" w:color="auto"/>
        <w:right w:val="none" w:sz="0" w:space="0" w:color="auto"/>
      </w:divBdr>
    </w:div>
    <w:div w:id="1145925425">
      <w:bodyDiv w:val="1"/>
      <w:marLeft w:val="0"/>
      <w:marRight w:val="0"/>
      <w:marTop w:val="0"/>
      <w:marBottom w:val="0"/>
      <w:divBdr>
        <w:top w:val="none" w:sz="0" w:space="0" w:color="auto"/>
        <w:left w:val="none" w:sz="0" w:space="0" w:color="auto"/>
        <w:bottom w:val="none" w:sz="0" w:space="0" w:color="auto"/>
        <w:right w:val="none" w:sz="0" w:space="0" w:color="auto"/>
      </w:divBdr>
    </w:div>
    <w:div w:id="1154029676">
      <w:bodyDiv w:val="1"/>
      <w:marLeft w:val="0"/>
      <w:marRight w:val="0"/>
      <w:marTop w:val="0"/>
      <w:marBottom w:val="0"/>
      <w:divBdr>
        <w:top w:val="none" w:sz="0" w:space="0" w:color="auto"/>
        <w:left w:val="none" w:sz="0" w:space="0" w:color="auto"/>
        <w:bottom w:val="none" w:sz="0" w:space="0" w:color="auto"/>
        <w:right w:val="none" w:sz="0" w:space="0" w:color="auto"/>
      </w:divBdr>
    </w:div>
    <w:div w:id="1194074906">
      <w:bodyDiv w:val="1"/>
      <w:marLeft w:val="0"/>
      <w:marRight w:val="0"/>
      <w:marTop w:val="0"/>
      <w:marBottom w:val="0"/>
      <w:divBdr>
        <w:top w:val="none" w:sz="0" w:space="0" w:color="auto"/>
        <w:left w:val="none" w:sz="0" w:space="0" w:color="auto"/>
        <w:bottom w:val="none" w:sz="0" w:space="0" w:color="auto"/>
        <w:right w:val="none" w:sz="0" w:space="0" w:color="auto"/>
      </w:divBdr>
    </w:div>
    <w:div w:id="1262031817">
      <w:bodyDiv w:val="1"/>
      <w:marLeft w:val="0"/>
      <w:marRight w:val="0"/>
      <w:marTop w:val="0"/>
      <w:marBottom w:val="0"/>
      <w:divBdr>
        <w:top w:val="none" w:sz="0" w:space="0" w:color="auto"/>
        <w:left w:val="none" w:sz="0" w:space="0" w:color="auto"/>
        <w:bottom w:val="none" w:sz="0" w:space="0" w:color="auto"/>
        <w:right w:val="none" w:sz="0" w:space="0" w:color="auto"/>
      </w:divBdr>
    </w:div>
    <w:div w:id="1299650999">
      <w:bodyDiv w:val="1"/>
      <w:marLeft w:val="0"/>
      <w:marRight w:val="0"/>
      <w:marTop w:val="0"/>
      <w:marBottom w:val="0"/>
      <w:divBdr>
        <w:top w:val="none" w:sz="0" w:space="0" w:color="auto"/>
        <w:left w:val="none" w:sz="0" w:space="0" w:color="auto"/>
        <w:bottom w:val="none" w:sz="0" w:space="0" w:color="auto"/>
        <w:right w:val="none" w:sz="0" w:space="0" w:color="auto"/>
      </w:divBdr>
    </w:div>
    <w:div w:id="1332442699">
      <w:bodyDiv w:val="1"/>
      <w:marLeft w:val="0"/>
      <w:marRight w:val="0"/>
      <w:marTop w:val="0"/>
      <w:marBottom w:val="0"/>
      <w:divBdr>
        <w:top w:val="none" w:sz="0" w:space="0" w:color="auto"/>
        <w:left w:val="none" w:sz="0" w:space="0" w:color="auto"/>
        <w:bottom w:val="none" w:sz="0" w:space="0" w:color="auto"/>
        <w:right w:val="none" w:sz="0" w:space="0" w:color="auto"/>
      </w:divBdr>
    </w:div>
    <w:div w:id="1362433673">
      <w:bodyDiv w:val="1"/>
      <w:marLeft w:val="0"/>
      <w:marRight w:val="0"/>
      <w:marTop w:val="0"/>
      <w:marBottom w:val="0"/>
      <w:divBdr>
        <w:top w:val="none" w:sz="0" w:space="0" w:color="auto"/>
        <w:left w:val="none" w:sz="0" w:space="0" w:color="auto"/>
        <w:bottom w:val="none" w:sz="0" w:space="0" w:color="auto"/>
        <w:right w:val="none" w:sz="0" w:space="0" w:color="auto"/>
      </w:divBdr>
    </w:div>
    <w:div w:id="1369573113">
      <w:bodyDiv w:val="1"/>
      <w:marLeft w:val="0"/>
      <w:marRight w:val="0"/>
      <w:marTop w:val="0"/>
      <w:marBottom w:val="0"/>
      <w:divBdr>
        <w:top w:val="none" w:sz="0" w:space="0" w:color="auto"/>
        <w:left w:val="none" w:sz="0" w:space="0" w:color="auto"/>
        <w:bottom w:val="none" w:sz="0" w:space="0" w:color="auto"/>
        <w:right w:val="none" w:sz="0" w:space="0" w:color="auto"/>
      </w:divBdr>
    </w:div>
    <w:div w:id="1514765667">
      <w:bodyDiv w:val="1"/>
      <w:marLeft w:val="0"/>
      <w:marRight w:val="0"/>
      <w:marTop w:val="0"/>
      <w:marBottom w:val="0"/>
      <w:divBdr>
        <w:top w:val="none" w:sz="0" w:space="0" w:color="auto"/>
        <w:left w:val="none" w:sz="0" w:space="0" w:color="auto"/>
        <w:bottom w:val="none" w:sz="0" w:space="0" w:color="auto"/>
        <w:right w:val="none" w:sz="0" w:space="0" w:color="auto"/>
      </w:divBdr>
    </w:div>
    <w:div w:id="1527596982">
      <w:bodyDiv w:val="1"/>
      <w:marLeft w:val="0"/>
      <w:marRight w:val="0"/>
      <w:marTop w:val="0"/>
      <w:marBottom w:val="0"/>
      <w:divBdr>
        <w:top w:val="none" w:sz="0" w:space="0" w:color="auto"/>
        <w:left w:val="none" w:sz="0" w:space="0" w:color="auto"/>
        <w:bottom w:val="none" w:sz="0" w:space="0" w:color="auto"/>
        <w:right w:val="none" w:sz="0" w:space="0" w:color="auto"/>
      </w:divBdr>
    </w:div>
    <w:div w:id="1538201461">
      <w:bodyDiv w:val="1"/>
      <w:marLeft w:val="0"/>
      <w:marRight w:val="0"/>
      <w:marTop w:val="0"/>
      <w:marBottom w:val="0"/>
      <w:divBdr>
        <w:top w:val="none" w:sz="0" w:space="0" w:color="auto"/>
        <w:left w:val="none" w:sz="0" w:space="0" w:color="auto"/>
        <w:bottom w:val="none" w:sz="0" w:space="0" w:color="auto"/>
        <w:right w:val="none" w:sz="0" w:space="0" w:color="auto"/>
      </w:divBdr>
    </w:div>
    <w:div w:id="1587760903">
      <w:bodyDiv w:val="1"/>
      <w:marLeft w:val="0"/>
      <w:marRight w:val="0"/>
      <w:marTop w:val="0"/>
      <w:marBottom w:val="0"/>
      <w:divBdr>
        <w:top w:val="none" w:sz="0" w:space="0" w:color="auto"/>
        <w:left w:val="none" w:sz="0" w:space="0" w:color="auto"/>
        <w:bottom w:val="none" w:sz="0" w:space="0" w:color="auto"/>
        <w:right w:val="none" w:sz="0" w:space="0" w:color="auto"/>
      </w:divBdr>
    </w:div>
    <w:div w:id="1611275865">
      <w:bodyDiv w:val="1"/>
      <w:marLeft w:val="0"/>
      <w:marRight w:val="0"/>
      <w:marTop w:val="0"/>
      <w:marBottom w:val="0"/>
      <w:divBdr>
        <w:top w:val="none" w:sz="0" w:space="0" w:color="auto"/>
        <w:left w:val="none" w:sz="0" w:space="0" w:color="auto"/>
        <w:bottom w:val="none" w:sz="0" w:space="0" w:color="auto"/>
        <w:right w:val="none" w:sz="0" w:space="0" w:color="auto"/>
      </w:divBdr>
    </w:div>
    <w:div w:id="1633056647">
      <w:bodyDiv w:val="1"/>
      <w:marLeft w:val="0"/>
      <w:marRight w:val="0"/>
      <w:marTop w:val="0"/>
      <w:marBottom w:val="0"/>
      <w:divBdr>
        <w:top w:val="none" w:sz="0" w:space="0" w:color="auto"/>
        <w:left w:val="none" w:sz="0" w:space="0" w:color="auto"/>
        <w:bottom w:val="none" w:sz="0" w:space="0" w:color="auto"/>
        <w:right w:val="none" w:sz="0" w:space="0" w:color="auto"/>
      </w:divBdr>
    </w:div>
    <w:div w:id="1774401931">
      <w:bodyDiv w:val="1"/>
      <w:marLeft w:val="0"/>
      <w:marRight w:val="0"/>
      <w:marTop w:val="0"/>
      <w:marBottom w:val="0"/>
      <w:divBdr>
        <w:top w:val="none" w:sz="0" w:space="0" w:color="auto"/>
        <w:left w:val="none" w:sz="0" w:space="0" w:color="auto"/>
        <w:bottom w:val="none" w:sz="0" w:space="0" w:color="auto"/>
        <w:right w:val="none" w:sz="0" w:space="0" w:color="auto"/>
      </w:divBdr>
    </w:div>
    <w:div w:id="1891844003">
      <w:bodyDiv w:val="1"/>
      <w:marLeft w:val="0"/>
      <w:marRight w:val="0"/>
      <w:marTop w:val="0"/>
      <w:marBottom w:val="0"/>
      <w:divBdr>
        <w:top w:val="none" w:sz="0" w:space="0" w:color="auto"/>
        <w:left w:val="none" w:sz="0" w:space="0" w:color="auto"/>
        <w:bottom w:val="none" w:sz="0" w:space="0" w:color="auto"/>
        <w:right w:val="none" w:sz="0" w:space="0" w:color="auto"/>
      </w:divBdr>
    </w:div>
    <w:div w:id="2032297061">
      <w:bodyDiv w:val="1"/>
      <w:marLeft w:val="0"/>
      <w:marRight w:val="0"/>
      <w:marTop w:val="0"/>
      <w:marBottom w:val="0"/>
      <w:divBdr>
        <w:top w:val="none" w:sz="0" w:space="0" w:color="auto"/>
        <w:left w:val="none" w:sz="0" w:space="0" w:color="auto"/>
        <w:bottom w:val="none" w:sz="0" w:space="0" w:color="auto"/>
        <w:right w:val="none" w:sz="0" w:space="0" w:color="auto"/>
      </w:divBdr>
    </w:div>
    <w:div w:id="2069765688">
      <w:bodyDiv w:val="1"/>
      <w:marLeft w:val="0"/>
      <w:marRight w:val="0"/>
      <w:marTop w:val="0"/>
      <w:marBottom w:val="0"/>
      <w:divBdr>
        <w:top w:val="none" w:sz="0" w:space="0" w:color="auto"/>
        <w:left w:val="none" w:sz="0" w:space="0" w:color="auto"/>
        <w:bottom w:val="none" w:sz="0" w:space="0" w:color="auto"/>
        <w:right w:val="none" w:sz="0" w:space="0" w:color="auto"/>
      </w:divBdr>
    </w:div>
    <w:div w:id="208274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CDF1BD466E83E842902559549E0F08F2" ma:contentTypeVersion="5" ma:contentTypeDescription="Új dokumentum létrehozása." ma:contentTypeScope="" ma:versionID="4b44a68e156a5b79248640aeafc70798">
  <xsd:schema xmlns:xsd="http://www.w3.org/2001/XMLSchema" xmlns:xs="http://www.w3.org/2001/XMLSchema" xmlns:p="http://schemas.microsoft.com/office/2006/metadata/properties" xmlns:ns2="cb7eed14-1ed6-4f4f-9464-e9d73fc2f8e9" xmlns:ns3="9669010e-b829-4d86-87dd-cdce11b02043" targetNamespace="http://schemas.microsoft.com/office/2006/metadata/properties" ma:root="true" ma:fieldsID="bd0071a6f26b893e5271513f12c665f5" ns2:_="" ns3:_="">
    <xsd:import namespace="cb7eed14-1ed6-4f4f-9464-e9d73fc2f8e9"/>
    <xsd:import namespace="9669010e-b829-4d86-87dd-cdce11b02043"/>
    <xsd:element name="properties">
      <xsd:complexType>
        <xsd:sequence>
          <xsd:element name="documentManagement">
            <xsd:complexType>
              <xsd:all>
                <xsd:element ref="ns2:T_x00e9_ma" minOccurs="0"/>
                <xsd:element ref="ns2:_x00c9_v"/>
                <xsd:element ref="ns2:L_x00e1_that_x00f3_s_x00e1_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eed14-1ed6-4f4f-9464-e9d73fc2f8e9" elementFormDefault="qualified">
    <xsd:import namespace="http://schemas.microsoft.com/office/2006/documentManagement/types"/>
    <xsd:import namespace="http://schemas.microsoft.com/office/infopath/2007/PartnerControls"/>
    <xsd:element name="T_x00e9_ma" ma:index="2" nillable="true" ma:displayName="Téma" ma:format="Dropdown" ma:internalName="T_x00e9_ma">
      <xsd:simpleType>
        <xsd:restriction base="dms:Choice">
          <xsd:enumeration value="Tervezés"/>
          <xsd:enumeration value="Zárszámadás"/>
          <xsd:enumeration value="Törvénymódosítás"/>
          <xsd:enumeration value="ÁSZ ellenőrzés"/>
          <xsd:enumeration value="Gyorsjelentés"/>
          <xsd:enumeration value="Monitoring"/>
          <xsd:enumeration value="Tervezési tájékoztató"/>
          <xsd:enumeration value="Útmutató"/>
          <xsd:enumeration value="Munkaprogram"/>
          <xsd:enumeration value="Ütemterv"/>
          <xsd:enumeration value="Módosító"/>
          <xsd:enumeration value="Kormányülés"/>
          <xsd:enumeration value="Gazdasági kabinet"/>
          <xsd:enumeration value="Stratégiai kabinet"/>
          <xsd:enumeration value="IFMIS"/>
          <xsd:enumeration value="Fejezeten belüli átcsoportosítás"/>
          <xsd:enumeration value="Címlista"/>
          <xsd:enumeration value="BEÜ"/>
          <xsd:enumeration value="Koronavírus"/>
          <xsd:enumeration value="Tudásbázis"/>
          <xsd:enumeration value="Kiemelt fejlesztési igények"/>
          <xsd:enumeration value="Iktatás"/>
        </xsd:restriction>
      </xsd:simpleType>
    </xsd:element>
    <xsd:element name="_x00c9_v" ma:index="3" ma:displayName="Év" ma:default="2018" ma:format="Dropdown" ma:internalName="_x00c9_v">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restriction>
      </xsd:simpleType>
    </xsd:element>
    <xsd:element name="L_x00e1_that_x00f3_s_x00e1_g" ma:index="4" nillable="true" ma:displayName="Láthatóság" ma:default="Publikus" ma:format="Dropdown" ma:internalName="L_x00e1_that_x00f3_s_x00e1_g">
      <xsd:simpleType>
        <xsd:restriction base="dms:Choice">
          <xsd:enumeration value="Publikus"/>
          <xsd:enumeration value="Csak admin látja (verziókat tartalmaz)"/>
        </xsd:restriction>
      </xsd:simpleType>
    </xsd:element>
  </xsd:schema>
  <xsd:schema xmlns:xsd="http://www.w3.org/2001/XMLSchema" xmlns:xs="http://www.w3.org/2001/XMLSchema" xmlns:dms="http://schemas.microsoft.com/office/2006/documentManagement/types" xmlns:pc="http://schemas.microsoft.com/office/infopath/2007/PartnerControls" targetNamespace="9669010e-b829-4d86-87dd-cdce11b02043" elementFormDefault="qualified">
    <xsd:import namespace="http://schemas.microsoft.com/office/2006/documentManagement/types"/>
    <xsd:import namespace="http://schemas.microsoft.com/office/infopath/2007/PartnerControls"/>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9_v xmlns="cb7eed14-1ed6-4f4f-9464-e9d73fc2f8e9">2025</_x00c9_v>
    <T_x00e9_ma xmlns="cb7eed14-1ed6-4f4f-9464-e9d73fc2f8e9">Monitoring</T_x00e9_ma>
    <L_x00e1_that_x00f3_s_x00e1_g xmlns="cb7eed14-1ed6-4f4f-9464-e9d73fc2f8e9">Publikus</L_x00e1_that_x00f3_s_x00e1_g>
  </documentManagement>
</p:properties>
</file>

<file path=customXml/itemProps1.xml><?xml version="1.0" encoding="utf-8"?>
<ds:datastoreItem xmlns:ds="http://schemas.openxmlformats.org/officeDocument/2006/customXml" ds:itemID="{D45E50AF-6A38-4D56-A55D-D65BA869B7B4}">
  <ds:schemaRefs>
    <ds:schemaRef ds:uri="http://schemas.openxmlformats.org/officeDocument/2006/bibliography"/>
  </ds:schemaRefs>
</ds:datastoreItem>
</file>

<file path=customXml/itemProps2.xml><?xml version="1.0" encoding="utf-8"?>
<ds:datastoreItem xmlns:ds="http://schemas.openxmlformats.org/officeDocument/2006/customXml" ds:itemID="{1AAFD48C-7926-4BF1-87F7-A322FB81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eed14-1ed6-4f4f-9464-e9d73fc2f8e9"/>
    <ds:schemaRef ds:uri="9669010e-b829-4d86-87dd-cdce11b02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D0F6AD-19C0-4D6B-ABDF-2564A2CC5C1F}">
  <ds:schemaRefs>
    <ds:schemaRef ds:uri="http://schemas.microsoft.com/sharepoint/v3/contenttype/forms"/>
  </ds:schemaRefs>
</ds:datastoreItem>
</file>

<file path=customXml/itemProps4.xml><?xml version="1.0" encoding="utf-8"?>
<ds:datastoreItem xmlns:ds="http://schemas.openxmlformats.org/officeDocument/2006/customXml" ds:itemID="{C84C958D-48DC-4564-B24D-56E63215790F}">
  <ds:schemaRefs>
    <ds:schemaRef ds:uri="http://schemas.microsoft.com/office/2006/documentManagement/types"/>
    <ds:schemaRef ds:uri="http://purl.org/dc/elements/1.1/"/>
    <ds:schemaRef ds:uri="cb7eed14-1ed6-4f4f-9464-e9d73fc2f8e9"/>
    <ds:schemaRef ds:uri="http://schemas.microsoft.com/office/infopath/2007/PartnerControls"/>
    <ds:schemaRef ds:uri="http://schemas.openxmlformats.org/package/2006/metadata/core-properties"/>
    <ds:schemaRef ds:uri="9669010e-b829-4d86-87dd-cdce11b02043"/>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5031</Words>
  <Characters>34720</Characters>
  <DocSecurity>4</DocSecurity>
  <Lines>289</Lines>
  <Paragraphs>79</Paragraphs>
  <ScaleCrop>false</ScaleCrop>
  <HeadingPairs>
    <vt:vector size="2" baseType="variant">
      <vt:variant>
        <vt:lpstr>Cím</vt:lpstr>
      </vt:variant>
      <vt:variant>
        <vt:i4>1</vt:i4>
      </vt:variant>
    </vt:vector>
  </HeadingPairs>
  <TitlesOfParts>
    <vt:vector size="1" baseType="lpstr">
      <vt:lpstr>monitoring_2025_08</vt:lpstr>
    </vt:vector>
  </TitlesOfParts>
  <LinksUpToDate>false</LinksUpToDate>
  <CharactersWithSpaces>39672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2025-09-15T12:24:00Z</cp:lastPrinted>
  <dcterms:created xsi:type="dcterms:W3CDTF">2025-09-18T07:27:00Z</dcterms:created>
  <dcterms:modified xsi:type="dcterms:W3CDTF">2025-09-18T07:27:00Z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0x010100CDF1BD466E83E842902559549E0F08F2</vt:lpwstr>
  </property>
</Properties>
</file>