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77FA" w14:textId="77777777" w:rsidR="00A94EFE" w:rsidRPr="00377D59" w:rsidRDefault="00A94EFE" w:rsidP="00A94EFE">
      <w:pPr>
        <w:tabs>
          <w:tab w:val="center" w:pos="4536"/>
        </w:tabs>
        <w:bidi/>
        <w:spacing w:after="120" w:line="240" w:lineRule="auto"/>
        <w:ind w:left="-142" w:right="-1" w:firstLine="142"/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hu-HU"/>
        </w:rPr>
      </w:pPr>
      <w:r w:rsidRPr="7C285CBA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hu-HU"/>
        </w:rPr>
        <w:t>Nemzetgazdasági Minisztérium</w:t>
      </w:r>
    </w:p>
    <w:p w14:paraId="36F33C9C" w14:textId="77777777" w:rsidR="001E689B" w:rsidRPr="00377D59" w:rsidRDefault="001E689B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5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6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7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8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9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26"/>
          <w:szCs w:val="26"/>
          <w:lang w:eastAsia="hu-HU"/>
        </w:rPr>
      </w:pPr>
    </w:p>
    <w:p w14:paraId="7B7689EB" w14:textId="74BA5630" w:rsidR="00B155FE" w:rsidRDefault="00B155FE" w:rsidP="000A4839">
      <w:pPr>
        <w:keepNext/>
        <w:widowControl w:val="0"/>
        <w:tabs>
          <w:tab w:val="left" w:pos="1995"/>
        </w:tabs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4EE6826E" w14:textId="77777777" w:rsidR="000A4839" w:rsidRPr="00377D59" w:rsidRDefault="000A4839" w:rsidP="000A4839">
      <w:pPr>
        <w:keepNext/>
        <w:widowControl w:val="0"/>
        <w:tabs>
          <w:tab w:val="left" w:pos="1995"/>
        </w:tabs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C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D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E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F" w14:textId="77777777" w:rsidR="00B155FE" w:rsidRPr="00377D59" w:rsidRDefault="00B155FE" w:rsidP="716D41F4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hu-HU"/>
        </w:rPr>
      </w:pPr>
      <w:r w:rsidRPr="00377D59">
        <w:rPr>
          <w:rFonts w:ascii="Times New Roman" w:eastAsia="Times New Roman" w:hAnsi="Times New Roman" w:cs="Times New Roman"/>
          <w:b/>
          <w:bCs/>
          <w:caps/>
          <w:spacing w:val="60"/>
          <w:sz w:val="32"/>
          <w:szCs w:val="32"/>
          <w:lang w:eastAsia="hu-HU"/>
        </w:rPr>
        <w:t>Tájékoztató</w:t>
      </w:r>
    </w:p>
    <w:p w14:paraId="5AE02B14" w14:textId="3594D3B7" w:rsidR="00B94CCA" w:rsidRPr="00377D59" w:rsidRDefault="716D41F4" w:rsidP="716D41F4">
      <w:pPr>
        <w:keepNext/>
        <w:tabs>
          <w:tab w:val="left" w:pos="2694"/>
        </w:tabs>
        <w:spacing w:after="12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az államháztartás központi alrendszerének</w:t>
      </w:r>
      <w:r w:rsidR="6AC31E23">
        <w:br/>
      </w:r>
      <w:r w:rsidRPr="716D41F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2025. szeptember végi helyzetéről</w:t>
      </w:r>
    </w:p>
    <w:p w14:paraId="7B7689F2" w14:textId="2D4563EC" w:rsidR="00B155FE" w:rsidRPr="00377D59" w:rsidRDefault="00B155FE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A2F8C9F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D327E5D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5267E04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BD3D31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6E13D32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9F56A13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B7689F4" w14:textId="77777777" w:rsidR="00B155FE" w:rsidRPr="00377D59" w:rsidRDefault="00B155FE" w:rsidP="00B155FE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6" w14:textId="77777777" w:rsidR="00B155FE" w:rsidRPr="00377D59" w:rsidRDefault="00B155FE" w:rsidP="00B155FE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7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8" w14:textId="7C3BEFF0" w:rsidR="00B155FE" w:rsidRPr="00377D59" w:rsidRDefault="00B155FE" w:rsidP="00EA1F58">
      <w:pPr>
        <w:tabs>
          <w:tab w:val="left" w:pos="568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9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A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B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1CF999E6" w14:textId="03C0A86D" w:rsidR="00E97147" w:rsidRPr="00377D59" w:rsidRDefault="00B155FE" w:rsidP="716D41F4">
      <w:pPr>
        <w:tabs>
          <w:tab w:val="left" w:pos="269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  <w:sectPr w:rsidR="00E97147" w:rsidRPr="00377D59" w:rsidSect="007449BF">
          <w:headerReference w:type="default" r:id="rId11"/>
          <w:footerReference w:type="default" r:id="rId12"/>
          <w:footerReference w:type="first" r:id="rId13"/>
          <w:footnotePr>
            <w:numRestart w:val="eachPage"/>
          </w:footnotePr>
          <w:pgSz w:w="11907" w:h="16840" w:code="9"/>
          <w:pgMar w:top="1134" w:right="1134" w:bottom="1418" w:left="1418" w:header="709" w:footer="709" w:gutter="0"/>
          <w:pgNumType w:fmt="numberInDash" w:start="0"/>
          <w:cols w:space="708"/>
          <w:docGrid w:linePitch="354"/>
        </w:sectPr>
      </w:pPr>
      <w:r w:rsidRPr="00377D59">
        <w:rPr>
          <w:rFonts w:ascii="Times New Roman" w:eastAsia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68C6C" wp14:editId="7B768C6D">
                <wp:simplePos x="0" y="0"/>
                <wp:positionH relativeFrom="column">
                  <wp:posOffset>2336732</wp:posOffset>
                </wp:positionH>
                <wp:positionV relativeFrom="paragraph">
                  <wp:posOffset>980217</wp:posOffset>
                </wp:positionV>
                <wp:extent cx="971550" cy="393065"/>
                <wp:effectExtent l="0" t="0" r="0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87395B">
              <v:rect id="Rectangle 2" style="position:absolute;margin-left:184pt;margin-top:77.2pt;width:76.5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7986F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zDew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"/>
            </w:pict>
          </mc:Fallback>
        </mc:AlternateContent>
      </w:r>
      <w:r w:rsidRPr="00377D59">
        <w:rPr>
          <w:rFonts w:ascii="Times New Roman" w:eastAsia="Times New Roman" w:hAnsi="Times New Roman" w:cs="Times New Roman"/>
          <w:b/>
          <w:bCs/>
          <w:lang w:eastAsia="hu-HU"/>
        </w:rPr>
        <w:t>202</w:t>
      </w:r>
      <w:r w:rsidR="002107FF">
        <w:rPr>
          <w:rFonts w:ascii="Times New Roman" w:eastAsia="Times New Roman" w:hAnsi="Times New Roman" w:cs="Times New Roman"/>
          <w:b/>
          <w:bCs/>
          <w:lang w:eastAsia="hu-HU"/>
        </w:rPr>
        <w:t>5</w:t>
      </w:r>
      <w:r w:rsidRPr="00377D59"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="00D6549E">
        <w:rPr>
          <w:rFonts w:ascii="Times New Roman" w:eastAsia="Times New Roman" w:hAnsi="Times New Roman" w:cs="Times New Roman"/>
          <w:b/>
          <w:bCs/>
          <w:lang w:eastAsia="hu-HU"/>
        </w:rPr>
        <w:t>október</w:t>
      </w:r>
    </w:p>
    <w:p w14:paraId="7B7689FF" w14:textId="77777777" w:rsidR="00B155FE" w:rsidRPr="00377D59" w:rsidRDefault="716D41F4" w:rsidP="716D41F4">
      <w:pPr>
        <w:keepNext/>
        <w:spacing w:before="240" w:after="120" w:line="360" w:lineRule="auto"/>
        <w:ind w:left="425" w:hanging="425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eastAsia="hu-HU"/>
        </w:rPr>
        <w:lastRenderedPageBreak/>
        <w:t>Összefoglalás</w:t>
      </w:r>
    </w:p>
    <w:p w14:paraId="17CD294F" w14:textId="4781AB36" w:rsidR="009F665B" w:rsidRPr="009F665B" w:rsidRDefault="009F665B" w:rsidP="009F665B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</w:pPr>
      <w:r w:rsidRPr="009F665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Magyarország pénzügyei rendezettek, a költségvetés stabil, így képes a Kormány családokat, nyugdíjasokat és vállalkozásokat támogató intézkedéseihez szükséges forrásokat biztosítani.</w:t>
      </w:r>
    </w:p>
    <w:p w14:paraId="562FDEE1" w14:textId="549210E8" w:rsidR="009F665B" w:rsidRPr="009F665B" w:rsidRDefault="009F665B" w:rsidP="009F665B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</w:pPr>
      <w:r w:rsidRPr="009F665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A Kormány Európa legnagyobb adócsökkentési programját hajtja végre, miközben négy szabályt tart szem előtt a fiskális fegyelem megőrzése érdekében: 1. A hiánynak évről évre csökkennie kell. 2. Az államadósságnak fenntartható pályán kell maradnia. 3. Nem szabad visszakerülni a túlzottdeficit-eljárás alá. 4. Az elsődleges egyenlegnek pedig nullaközeli szinten kell maradnia. Mindezzel összhangban, az év kilencedik hónapjában magasabban teljesültek az adó- és járulékbevételek, és a pénzforgalmi hiány is az időarányosnál kedvezőbb lett.</w:t>
      </w:r>
    </w:p>
    <w:p w14:paraId="0C3995F9" w14:textId="2A1659F0" w:rsidR="009F665B" w:rsidRPr="009F665B" w:rsidRDefault="009F665B" w:rsidP="009F665B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.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 szeptember végéig az államháztartás központi alrendszere 3328,7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forintos hiánnyal zárt. Ezen belül a központi költségvetés 3267,4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forintos hiányt, az elkülönített állami pénzalapok 101,3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forintos többletet, a társadalombiztosítás pénzügyi alapjai pedig 162,6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forintos hiányt mutattak. Az éves várható pénzforgalmi hiány 4774,0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forint, ennek az első kilenc havi hiány a 69,7%-a, vagyis az időarányosnál (75%) kedvezőbb.</w:t>
      </w:r>
    </w:p>
    <w:p w14:paraId="2E444AAC" w14:textId="3C0DCD61" w:rsidR="009F665B" w:rsidRPr="009F665B" w:rsidRDefault="009F665B" w:rsidP="009F665B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 központi alrendszer adó- és járulékbevételei az előző év azonos időszakához viszonyítva 8,1%-kal magasabban alakultak. Ezen belül a fogyasztáshoz kapcsolódó adók esetében 9%-os növekedés történt.</w:t>
      </w:r>
    </w:p>
    <w:p w14:paraId="26ABCCA3" w14:textId="481F4008" w:rsidR="009F665B" w:rsidRPr="009F665B" w:rsidRDefault="009F665B" w:rsidP="009F665B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Szeptember végéig 3101,4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 kamatkifizetést teljesített a költségvetés, ami 489,8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forinttal magasabb az előző évi azonos időszaki teljesítésnél. Ezt egyes lejáratok eltérő kamatfizetési időpontja, valamint az államadósság eltérő szerkezete okozza.</w:t>
      </w:r>
    </w:p>
    <w:p w14:paraId="665DE4DC" w14:textId="2D4F1231" w:rsidR="009F665B" w:rsidRPr="009F665B" w:rsidRDefault="009F665B" w:rsidP="009F665B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Az állami közlekedési és közüzemi szolgáltatásokra fordított, összesen 1950,7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 kifizetés 341,4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forinttal magasabb az előző év azonos időszakánál. A kiadásokon belül nagyságrendileg az úthálózat felújítási és karbantartási munkákkal kapcsolatos kifizetések, a lakossági energia - rezsivédelmi szolgáltatás, valamint a Víziközmű-fejlesztési és Ellentételezési Alap kiadásai alakultak magasabb összegben.</w:t>
      </w:r>
    </w:p>
    <w:p w14:paraId="18229603" w14:textId="10EDA5DB" w:rsidR="009F665B" w:rsidRPr="009F665B" w:rsidRDefault="009F665B" w:rsidP="009F665B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Meghaladták a tavalyi összeget a nyugellátásokra és gyógyító-megelőző ellátásokra fordított kiadások is. Szeptember végéig – a 13. havi nyugdíjjal és ellátással együtt – nyugellátásokra és nyugdíjszerű ellátásokra összesen 5510,2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forint, míg gyógyító-megelőző ellátásokra 2201,0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 kifizetése történt meg.</w:t>
      </w:r>
    </w:p>
    <w:p w14:paraId="7B768A0B" w14:textId="5D4DDED7" w:rsidR="005171E0" w:rsidRDefault="009F665B" w:rsidP="009F665B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Szeptemberben, egy hónap alatt, a központi alrendszer 303,2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 hiánnyal zárt, szemben az előző évi azonos havi 234,2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forintos többlettel. Az eltérés leginkább a közüzemi szolgáltatások támogatása előirányzat magasabb kifizetéseiből adódik, amelyen belül a lakossági energia - rezsivédelmi szolgáltatásokat a tavalyi évtől eltérő ütemben fizették ki.</w:t>
      </w:r>
      <w:r w:rsidR="00920F4D">
        <w:rPr>
          <w:rFonts w:ascii="Times New Roman" w:eastAsia="Times New Roman" w:hAnsi="Times New Roman" w:cs="Times New Roman"/>
          <w:sz w:val="26"/>
          <w:szCs w:val="26"/>
          <w:lang w:eastAsia="hu-HU"/>
        </w:rPr>
        <w:br w:type="column"/>
      </w:r>
      <w:r w:rsidR="639E9B9B" w:rsidRPr="639E9B9B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Az államháztartás központi alrendszerének 202</w:t>
      </w:r>
      <w:r w:rsidR="005171E0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="639E9B9B" w:rsidRPr="639E9B9B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A673CC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="00AB3A4C">
        <w:rPr>
          <w:rFonts w:ascii="Times New Roman" w:eastAsia="Times New Roman" w:hAnsi="Times New Roman" w:cs="Times New Roman"/>
          <w:sz w:val="26"/>
          <w:szCs w:val="26"/>
          <w:lang w:eastAsia="hu-HU"/>
        </w:rPr>
        <w:t>szeptember</w:t>
      </w:r>
      <w:r w:rsidR="00A673CC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="639E9B9B" w:rsidRPr="639E9B9B">
        <w:rPr>
          <w:rFonts w:ascii="Times New Roman" w:eastAsia="Times New Roman" w:hAnsi="Times New Roman" w:cs="Times New Roman"/>
          <w:sz w:val="26"/>
          <w:szCs w:val="26"/>
          <w:lang w:eastAsia="hu-HU"/>
        </w:rPr>
        <w:t>végi főbb pé</w:t>
      </w:r>
      <w:r w:rsidR="006D5492">
        <w:rPr>
          <w:rFonts w:ascii="Times New Roman" w:eastAsia="Times New Roman" w:hAnsi="Times New Roman" w:cs="Times New Roman"/>
          <w:sz w:val="26"/>
          <w:szCs w:val="26"/>
          <w:lang w:eastAsia="hu-HU"/>
        </w:rPr>
        <w:t>nzforgalmi adatai a következők:</w:t>
      </w:r>
    </w:p>
    <w:tbl>
      <w:tblPr>
        <w:tblW w:w="100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067"/>
        <w:gridCol w:w="1276"/>
        <w:gridCol w:w="1075"/>
        <w:gridCol w:w="1103"/>
        <w:gridCol w:w="1224"/>
        <w:gridCol w:w="1159"/>
        <w:gridCol w:w="1113"/>
      </w:tblGrid>
      <w:tr w:rsidR="00935118" w:rsidRPr="003D514A" w14:paraId="7C2CBF88" w14:textId="77777777" w:rsidTr="565C7792">
        <w:trPr>
          <w:trHeight w:val="144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6847C39" w14:textId="77777777" w:rsidR="00935118" w:rsidRPr="00602E3C" w:rsidRDefault="565C7792" w:rsidP="565C7792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A30138" w14:textId="11322A85" w:rsidR="00B6763B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2024. évi 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tény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103DF983" w14:textId="77777777" w:rsidR="009F665B" w:rsidRPr="00602E3C" w:rsidRDefault="009F665B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5C342" w14:textId="76728DC5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DF4E03" w14:textId="17941C77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2024. I-I</w:t>
            </w:r>
            <w:r w:rsidR="00AB3A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hó tény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547D8DD1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A44C1" w14:textId="4CBA2534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E2A84F" w14:textId="3C939362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éves tény=100%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03379603" w14:textId="77777777" w:rsidR="00CD1AD4" w:rsidRDefault="00CD1AD4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F2388" w14:textId="77777777" w:rsidR="009F665B" w:rsidRPr="00602E3C" w:rsidRDefault="009F665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042FF" w14:textId="50D239CD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(2/1)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1E5557" w14:textId="77777777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2025. évi előirányzat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6FB67AB7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7F662" w14:textId="5B799A38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D4190CD" w14:textId="76A475C0" w:rsidR="00B6763B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2025. I-I</w:t>
            </w:r>
            <w:r w:rsidR="00AB3A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hó tény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15A457DF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73C3C" w14:textId="075CFEB7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CBD1FD" w14:textId="77777777" w:rsidR="00B6763B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előirányzat=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4AEEBB44" w14:textId="77777777" w:rsidR="00B6763B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C63D7" w14:textId="77777777" w:rsidR="00602E3C" w:rsidRPr="00602E3C" w:rsidRDefault="00602E3C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6B04A" w14:textId="0682B2A8" w:rsidR="00935118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(4/3)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392F559" w14:textId="77777777" w:rsidR="00B6763B" w:rsidRPr="00602E3C" w:rsidRDefault="716D41F4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előző év=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6AC31E23">
              <w:br/>
            </w: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2CC3F023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4C741" w14:textId="77DB2268" w:rsidR="00935118" w:rsidRPr="00602E3C" w:rsidRDefault="00935118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="716D41F4" w:rsidRPr="716D41F4">
              <w:rPr>
                <w:rFonts w:ascii="Times New Roman" w:hAnsi="Times New Roman" w:cs="Times New Roman"/>
                <w:sz w:val="20"/>
                <w:szCs w:val="20"/>
              </w:rPr>
              <w:t>(4/2)</w:t>
            </w:r>
          </w:p>
        </w:tc>
      </w:tr>
      <w:tr w:rsidR="00AB3A4C" w:rsidRPr="003D514A" w14:paraId="272C1797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A14" w14:textId="77777777" w:rsidR="00AB3A4C" w:rsidRPr="00602E3C" w:rsidRDefault="00AB3A4C" w:rsidP="00AB3A4C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Központi költségvetés egyenlege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3CE6" w14:textId="53D6857C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C6F">
              <w:rPr>
                <w:rFonts w:ascii="Garamond" w:hAnsi="Garamond"/>
                <w:b/>
                <w:bCs/>
                <w:color w:val="000000"/>
              </w:rPr>
              <w:t>-3 856,9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4960" w14:textId="12A38A11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680">
              <w:rPr>
                <w:rFonts w:ascii="Garamond" w:hAnsi="Garamond"/>
                <w:b/>
                <w:bCs/>
              </w:rPr>
              <w:t>-2 607,9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D199" w14:textId="07AC5CD8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67,6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BFBC" w14:textId="1698701B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FB">
              <w:rPr>
                <w:rFonts w:ascii="Garamond" w:hAnsi="Garamond"/>
                <w:b/>
                <w:bCs/>
                <w:szCs w:val="20"/>
              </w:rPr>
              <w:t>-4 211,6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7161" w14:textId="44AD97C7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205">
              <w:rPr>
                <w:rFonts w:ascii="Garamond" w:hAnsi="Garamond"/>
                <w:b/>
                <w:bCs/>
                <w:szCs w:val="20"/>
              </w:rPr>
              <w:t>-3 267,4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672A" w14:textId="0DAFEBB7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77,6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7053" w14:textId="6372FDDD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125,3</w:t>
            </w:r>
          </w:p>
        </w:tc>
      </w:tr>
      <w:tr w:rsidR="00AB3A4C" w:rsidRPr="003D514A" w14:paraId="43DB1C6B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C3DC" w14:textId="77777777" w:rsidR="00AB3A4C" w:rsidRPr="00602E3C" w:rsidRDefault="00AB3A4C" w:rsidP="00AB3A4C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BE1E" w14:textId="0AC8D8C0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26 708,8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4DA8" w14:textId="068B63AA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0680">
              <w:rPr>
                <w:rFonts w:ascii="Garamond" w:hAnsi="Garamond"/>
              </w:rPr>
              <w:t>18 968,4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E7D2" w14:textId="08780283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71,0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2934" w14:textId="7ECCA01B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FFB">
              <w:rPr>
                <w:rFonts w:ascii="Garamond" w:hAnsi="Garamond"/>
                <w:szCs w:val="20"/>
              </w:rPr>
              <w:t>26 622,0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5A8F" w14:textId="76E1D714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205">
              <w:rPr>
                <w:rFonts w:ascii="Garamond" w:hAnsi="Garamond"/>
                <w:szCs w:val="20"/>
              </w:rPr>
              <w:t>20 050,6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1E05" w14:textId="49CCF6D3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75,3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5DA4" w14:textId="60749F06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105,7</w:t>
            </w:r>
          </w:p>
        </w:tc>
      </w:tr>
      <w:tr w:rsidR="00AB3A4C" w:rsidRPr="003D514A" w14:paraId="576245F4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56B" w14:textId="77777777" w:rsidR="00AB3A4C" w:rsidRPr="00602E3C" w:rsidRDefault="00AB3A4C" w:rsidP="00AB3A4C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BDD4" w14:textId="7109F6C5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30 565,7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2D54" w14:textId="6A9D7E6C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0680">
              <w:rPr>
                <w:rFonts w:ascii="Garamond" w:hAnsi="Garamond"/>
              </w:rPr>
              <w:t>21 576,3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DC03" w14:textId="426074E9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70,6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3988" w14:textId="70BD1C8E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FFB">
              <w:rPr>
                <w:rFonts w:ascii="Garamond" w:hAnsi="Garamond"/>
                <w:szCs w:val="20"/>
              </w:rPr>
              <w:t>30 833,5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D31A" w14:textId="1056207B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205">
              <w:rPr>
                <w:rFonts w:ascii="Garamond" w:hAnsi="Garamond"/>
                <w:szCs w:val="20"/>
              </w:rPr>
              <w:t>23 318,0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44DE" w14:textId="5CA21C98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75,6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C9DE" w14:textId="0EBAEB8C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108,1</w:t>
            </w:r>
          </w:p>
        </w:tc>
      </w:tr>
      <w:tr w:rsidR="00AB3A4C" w:rsidRPr="003D514A" w14:paraId="5D1AF47D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88AA" w14:textId="77777777" w:rsidR="00AB3A4C" w:rsidRPr="00602E3C" w:rsidRDefault="00AB3A4C" w:rsidP="00AB3A4C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Elkülönített állami pénzalapok egyenlege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D897" w14:textId="5C6582A9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C6F">
              <w:rPr>
                <w:rFonts w:ascii="Garamond" w:hAnsi="Garamond"/>
                <w:b/>
                <w:bCs/>
                <w:color w:val="000000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1C5B" w14:textId="2100EFEC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680">
              <w:rPr>
                <w:rFonts w:ascii="Garamond" w:hAnsi="Garamond"/>
                <w:b/>
                <w:bCs/>
              </w:rPr>
              <w:t>186,8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A081" w14:textId="0CF7327C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135,3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5FB6" w14:textId="18A993C6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FB">
              <w:rPr>
                <w:rFonts w:ascii="Garamond" w:hAnsi="Garamond"/>
                <w:b/>
                <w:bCs/>
                <w:szCs w:val="20"/>
              </w:rPr>
              <w:t>88,6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A3B4" w14:textId="00B37C09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205">
              <w:rPr>
                <w:rFonts w:ascii="Garamond" w:hAnsi="Garamond"/>
                <w:b/>
                <w:bCs/>
                <w:szCs w:val="20"/>
              </w:rPr>
              <w:t>101,3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2161" w14:textId="192521D2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114,3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8325" w14:textId="50AC9FD5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54,2</w:t>
            </w:r>
          </w:p>
        </w:tc>
      </w:tr>
      <w:tr w:rsidR="00AB3A4C" w:rsidRPr="003D514A" w14:paraId="28F7F28C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3547" w14:textId="77777777" w:rsidR="00AB3A4C" w:rsidRPr="00602E3C" w:rsidRDefault="00AB3A4C" w:rsidP="00AB3A4C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C4C7" w14:textId="08044F38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856,3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D3FF" w14:textId="7F89F9B9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0680">
              <w:rPr>
                <w:rFonts w:ascii="Garamond" w:hAnsi="Garamond"/>
              </w:rPr>
              <w:t>658,2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9EFA" w14:textId="4A9E6E71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76,9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9F49" w14:textId="009B7EE2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FFB">
              <w:rPr>
                <w:rFonts w:ascii="Garamond" w:hAnsi="Garamond"/>
                <w:szCs w:val="20"/>
              </w:rPr>
              <w:t>845,7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6B6B" w14:textId="2C92DBBC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205">
              <w:rPr>
                <w:rFonts w:ascii="Garamond" w:hAnsi="Garamond"/>
                <w:szCs w:val="20"/>
              </w:rPr>
              <w:t>642,0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AEAF" w14:textId="5C2E3BAD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75,9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15A4" w14:textId="41260AFB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97,5</w:t>
            </w:r>
          </w:p>
        </w:tc>
      </w:tr>
      <w:tr w:rsidR="00AB3A4C" w:rsidRPr="00190176" w14:paraId="1E40C612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A0A7" w14:textId="77777777" w:rsidR="00AB3A4C" w:rsidRPr="00602E3C" w:rsidRDefault="00AB3A4C" w:rsidP="00AB3A4C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FE8F" w14:textId="2A4D23E0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718,3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9044" w14:textId="201CA4A1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0680">
              <w:rPr>
                <w:rFonts w:ascii="Garamond" w:hAnsi="Garamond"/>
              </w:rPr>
              <w:t>471,4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2BC9" w14:textId="2652C1F5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65,6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A8DE" w14:textId="01DD78FF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FFB">
              <w:rPr>
                <w:rFonts w:ascii="Garamond" w:hAnsi="Garamond"/>
                <w:szCs w:val="20"/>
              </w:rPr>
              <w:t>757,2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273D" w14:textId="0A4075CD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205">
              <w:rPr>
                <w:rFonts w:ascii="Garamond" w:hAnsi="Garamond"/>
                <w:szCs w:val="20"/>
              </w:rPr>
              <w:t>540,7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19CB" w14:textId="5AF84AE3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71,4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30EE" w14:textId="627358D3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114,7</w:t>
            </w:r>
          </w:p>
        </w:tc>
      </w:tr>
      <w:tr w:rsidR="00AB3A4C" w:rsidRPr="003D514A" w14:paraId="76328518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6F71" w14:textId="77777777" w:rsidR="00AB3A4C" w:rsidRPr="00602E3C" w:rsidRDefault="00AB3A4C" w:rsidP="00AB3A4C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Társadalombiztosítás pénzügyi alapjainak egyenlege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FFCC" w14:textId="32B34286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C6F">
              <w:rPr>
                <w:rFonts w:ascii="Garamond" w:hAnsi="Garamond"/>
                <w:b/>
                <w:bCs/>
                <w:color w:val="000000"/>
              </w:rPr>
              <w:t>-229,5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DC00" w14:textId="3D378FC0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680">
              <w:rPr>
                <w:rFonts w:ascii="Garamond" w:hAnsi="Garamond"/>
                <w:b/>
                <w:bCs/>
              </w:rPr>
              <w:t>-202,4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A9E4" w14:textId="69CCE208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88,2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6B04" w14:textId="789235BE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FB">
              <w:rPr>
                <w:rFonts w:ascii="Garamond" w:hAnsi="Garamond"/>
                <w:b/>
                <w:bCs/>
                <w:szCs w:val="20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5478" w14:textId="498483BF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205">
              <w:rPr>
                <w:rFonts w:ascii="Garamond" w:hAnsi="Garamond"/>
                <w:b/>
                <w:bCs/>
                <w:szCs w:val="20"/>
              </w:rPr>
              <w:t>-162,6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352A" w14:textId="6BCFF363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8797" w14:textId="0CE92BAB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80,3</w:t>
            </w:r>
          </w:p>
        </w:tc>
      </w:tr>
      <w:tr w:rsidR="00AB3A4C" w:rsidRPr="003D514A" w14:paraId="019242A3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060" w14:textId="77777777" w:rsidR="00AB3A4C" w:rsidRPr="00602E3C" w:rsidRDefault="00AB3A4C" w:rsidP="00AB3A4C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A0A8" w14:textId="0627FE44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10 526,1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2633" w14:textId="355721D3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0680">
              <w:rPr>
                <w:rFonts w:ascii="Garamond" w:hAnsi="Garamond"/>
              </w:rPr>
              <w:t>7 936,9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2BD9" w14:textId="66E31FB2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75,4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FBF3" w14:textId="6F81B56B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FFB">
              <w:rPr>
                <w:rFonts w:ascii="Garamond" w:hAnsi="Garamond"/>
                <w:szCs w:val="20"/>
              </w:rPr>
              <w:t>11 261,1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86421" w14:textId="1C3985CC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205">
              <w:rPr>
                <w:rFonts w:ascii="Garamond" w:hAnsi="Garamond"/>
                <w:szCs w:val="20"/>
              </w:rPr>
              <w:t>8 524,4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3170" w14:textId="4114EE6F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75,7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5B4C" w14:textId="71A705D6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107,4</w:t>
            </w:r>
          </w:p>
        </w:tc>
      </w:tr>
      <w:tr w:rsidR="00AB3A4C" w:rsidRPr="003D514A" w14:paraId="57754C66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1A64" w14:textId="77777777" w:rsidR="00AB3A4C" w:rsidRPr="00602E3C" w:rsidRDefault="00AB3A4C" w:rsidP="00AB3A4C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4A7D" w14:textId="6EF8E61B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10 755,5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92BF" w14:textId="74E25B2D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0680">
              <w:rPr>
                <w:rFonts w:ascii="Garamond" w:hAnsi="Garamond"/>
              </w:rPr>
              <w:t>8 139,3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949B" w14:textId="26D212E7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75,7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FBBD" w14:textId="01CEA065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FFB">
              <w:rPr>
                <w:rFonts w:ascii="Garamond" w:hAnsi="Garamond"/>
                <w:szCs w:val="20"/>
              </w:rPr>
              <w:t>11 261,1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5E32" w14:textId="6A89A13D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205">
              <w:rPr>
                <w:rFonts w:ascii="Garamond" w:hAnsi="Garamond"/>
                <w:szCs w:val="20"/>
              </w:rPr>
              <w:t>8 687,0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18A84" w14:textId="175CB8A8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77,1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C871" w14:textId="2CAA0F2C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106,7</w:t>
            </w:r>
          </w:p>
        </w:tc>
      </w:tr>
      <w:tr w:rsidR="00AB3A4C" w:rsidRPr="003D514A" w14:paraId="0BB4AC6A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B7B" w14:textId="77777777" w:rsidR="00AB3A4C" w:rsidRPr="00602E3C" w:rsidRDefault="00AB3A4C" w:rsidP="00AB3A4C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Egyenleg összesen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1324" w14:textId="23450835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C6F">
              <w:rPr>
                <w:rFonts w:ascii="Garamond" w:hAnsi="Garamond"/>
                <w:b/>
                <w:bCs/>
                <w:color w:val="000000"/>
              </w:rPr>
              <w:t>-3 948,3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FD4E" w14:textId="235225A4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680">
              <w:rPr>
                <w:rFonts w:ascii="Garamond" w:hAnsi="Garamond"/>
                <w:b/>
                <w:bCs/>
              </w:rPr>
              <w:t>-2 623,5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8024" w14:textId="7E2CE926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66,4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BA0A5" w14:textId="45EDCC19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FB">
              <w:rPr>
                <w:rFonts w:ascii="Garamond" w:hAnsi="Garamond"/>
                <w:b/>
                <w:bCs/>
                <w:szCs w:val="20"/>
              </w:rPr>
              <w:t>-4 123,0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C34A" w14:textId="1004CB56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205">
              <w:rPr>
                <w:rFonts w:ascii="Garamond" w:hAnsi="Garamond"/>
                <w:b/>
                <w:bCs/>
                <w:szCs w:val="20"/>
              </w:rPr>
              <w:t>-3 328,7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D6B4" w14:textId="518E2EB2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80,7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BC04" w14:textId="2C8169CD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126,9</w:t>
            </w:r>
          </w:p>
        </w:tc>
      </w:tr>
      <w:tr w:rsidR="00AB3A4C" w:rsidRPr="003D514A" w14:paraId="54A89CE6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1282" w14:textId="77777777" w:rsidR="00AB3A4C" w:rsidRPr="00602E3C" w:rsidRDefault="00AB3A4C" w:rsidP="00AB3A4C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E151" w14:textId="3FD6E1FE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38 091,2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9CF8" w14:textId="2C81E7D5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53F">
              <w:rPr>
                <w:rFonts w:ascii="Garamond" w:hAnsi="Garamond"/>
              </w:rPr>
              <w:t>27 563,5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A6F0" w14:textId="4F0109F8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72,4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4504" w14:textId="6A685453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FFB">
              <w:rPr>
                <w:rFonts w:ascii="Garamond" w:hAnsi="Garamond"/>
                <w:szCs w:val="20"/>
              </w:rPr>
              <w:t>38 728,8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7FCC" w14:textId="730C5099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205">
              <w:rPr>
                <w:rFonts w:ascii="Garamond" w:hAnsi="Garamond"/>
                <w:szCs w:val="20"/>
              </w:rPr>
              <w:t>29 217,0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8AAD" w14:textId="64A5C1DB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75,4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F952" w14:textId="296B8390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106,0</w:t>
            </w:r>
          </w:p>
        </w:tc>
      </w:tr>
      <w:tr w:rsidR="00AB3A4C" w:rsidRPr="0096527E" w14:paraId="7BAEDA41" w14:textId="77777777" w:rsidTr="565C7792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02C9" w14:textId="77777777" w:rsidR="00AB3A4C" w:rsidRPr="00602E3C" w:rsidRDefault="00AB3A4C" w:rsidP="00AB3A4C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D40D" w14:textId="2FDC5676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42 039,5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DA4D" w14:textId="641B5FE2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453F">
              <w:rPr>
                <w:rFonts w:ascii="Garamond" w:hAnsi="Garamond"/>
              </w:rPr>
              <w:t>30 187,0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A52D" w14:textId="1F6BE23E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C6F">
              <w:rPr>
                <w:rFonts w:ascii="Garamond" w:hAnsi="Garamond"/>
                <w:color w:val="000000"/>
              </w:rPr>
              <w:t>71,8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63B9" w14:textId="292C3D0E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FFB">
              <w:rPr>
                <w:rFonts w:ascii="Garamond" w:hAnsi="Garamond"/>
                <w:szCs w:val="20"/>
              </w:rPr>
              <w:t>42 851,8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88C5" w14:textId="26E4C98E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205">
              <w:rPr>
                <w:rFonts w:ascii="Garamond" w:hAnsi="Garamond"/>
                <w:szCs w:val="20"/>
              </w:rPr>
              <w:t>32 545,7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E23B" w14:textId="703957B9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75,9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C43A" w14:textId="5FC93006" w:rsidR="00AB3A4C" w:rsidRPr="007007A3" w:rsidRDefault="00AB3A4C" w:rsidP="00AB3A4C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0929">
              <w:rPr>
                <w:rFonts w:ascii="Garamond" w:hAnsi="Garamond"/>
                <w:szCs w:val="20"/>
              </w:rPr>
              <w:t>107,8</w:t>
            </w:r>
          </w:p>
        </w:tc>
      </w:tr>
    </w:tbl>
    <w:p w14:paraId="651BA2DD" w14:textId="77777777" w:rsidR="005171E0" w:rsidRDefault="005171E0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530C941" w14:textId="77777777" w:rsidR="00794A5E" w:rsidRDefault="00794A5E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7665E44" w14:textId="77777777" w:rsidR="00794A5E" w:rsidRPr="00377D59" w:rsidRDefault="716D41F4" w:rsidP="716D41F4">
      <w:pPr>
        <w:keepNext/>
        <w:spacing w:line="240" w:lineRule="auto"/>
        <w:ind w:left="425" w:hanging="425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Az államháztartás központi alrendszerének HIÁNYA</w:t>
      </w:r>
    </w:p>
    <w:p w14:paraId="48257848" w14:textId="0CD4A871" w:rsidR="00794A5E" w:rsidRPr="00794A5E" w:rsidRDefault="716D41F4" w:rsidP="716D41F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Az államháztartás központi alrendszerének az elfogadott költségvetési törvényben szereplő 3,7%-os ESA-hiányhoz tartozó pénzforgalmi hiánya 4123,0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forint.</w:t>
      </w:r>
    </w:p>
    <w:p w14:paraId="60844057" w14:textId="4735A01A" w:rsidR="00794A5E" w:rsidRPr="00794A5E" w:rsidRDefault="716D41F4" w:rsidP="716D41F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 várható ESA-hiányhoz tartozó várható éves pénzforgalmi hiány ugyanakkor 4774,0</w:t>
      </w:r>
      <w:r w:rsidR="00AB3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milliárd forint. A központi alrendszer </w:t>
      </w:r>
      <w:r w:rsid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szeptember </w:t>
      </w:r>
      <w:r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végi hiánya (</w:t>
      </w:r>
      <w:r w:rsidR="00AB3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3328,7</w:t>
      </w:r>
      <w:r w:rsidR="00A673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forint) ennek 6</w:t>
      </w:r>
      <w:r w:rsidR="00AB3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9</w:t>
      </w:r>
      <w:r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,</w:t>
      </w:r>
      <w:r w:rsidR="00AB3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7</w:t>
      </w:r>
      <w:r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%-a.</w:t>
      </w:r>
    </w:p>
    <w:p w14:paraId="1A0A9898" w14:textId="77777777" w:rsidR="00794A5E" w:rsidRDefault="00794A5E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1371788" w14:textId="77777777" w:rsidR="00BA38F7" w:rsidRDefault="00BA38F7" w:rsidP="716D41F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63F1B9B" w14:textId="77777777" w:rsidR="00BA38F7" w:rsidRDefault="00BA38F7" w:rsidP="716D41F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B768A93" w14:textId="398E617F" w:rsidR="00B155FE" w:rsidRPr="00377D59" w:rsidRDefault="716D41F4" w:rsidP="716D41F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I.</w:t>
      </w:r>
    </w:p>
    <w:p w14:paraId="7B768A94" w14:textId="77777777" w:rsidR="00B155FE" w:rsidRPr="00377D59" w:rsidRDefault="716D41F4" w:rsidP="716D41F4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 xml:space="preserve">A központi alrendszer pénzügyi folyamatainak </w:t>
      </w:r>
      <w:r w:rsidR="6AC31E23">
        <w:br/>
      </w:r>
      <w:r w:rsidRPr="716D41F4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alakulása</w:t>
      </w:r>
    </w:p>
    <w:p w14:paraId="6D461365" w14:textId="08DC9FC2" w:rsidR="0004032B" w:rsidRPr="00377D59" w:rsidRDefault="716D41F4" w:rsidP="716D41F4">
      <w:pPr>
        <w:keepNext/>
        <w:numPr>
          <w:ilvl w:val="0"/>
          <w:numId w:val="3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t>A főbb bevételek</w:t>
      </w:r>
    </w:p>
    <w:p w14:paraId="1618CD2C" w14:textId="0EFFC3BD" w:rsidR="00C561BC" w:rsidRDefault="716D41F4" w:rsidP="716D41F4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 központi alrendszer </w:t>
      </w:r>
      <w:r w:rsidR="00AB3A4C" w:rsidRPr="00AB3A4C">
        <w:rPr>
          <w:rFonts w:ascii="Times New Roman" w:eastAsia="Times New Roman" w:hAnsi="Times New Roman" w:cs="Times New Roman"/>
          <w:b/>
          <w:bCs/>
          <w:sz w:val="26"/>
          <w:szCs w:val="26"/>
        </w:rPr>
        <w:t>szeptember végi 29</w:t>
      </w:r>
      <w:r w:rsidR="00AB3A4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AB3A4C" w:rsidRPr="00AB3A4C">
        <w:rPr>
          <w:rFonts w:ascii="Times New Roman" w:eastAsia="Times New Roman" w:hAnsi="Times New Roman" w:cs="Times New Roman"/>
          <w:b/>
          <w:bCs/>
          <w:sz w:val="26"/>
          <w:szCs w:val="26"/>
        </w:rPr>
        <w:t>217,0 milliárd forint összegű bevételei az előző év azonos időszakához képest 1</w:t>
      </w:r>
      <w:r w:rsidR="002C630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AB3A4C" w:rsidRPr="00AB3A4C">
        <w:rPr>
          <w:rFonts w:ascii="Times New Roman" w:eastAsia="Times New Roman" w:hAnsi="Times New Roman" w:cs="Times New Roman"/>
          <w:b/>
          <w:bCs/>
          <w:sz w:val="26"/>
          <w:szCs w:val="26"/>
        </w:rPr>
        <w:t>653,5 milliárd forinttal, 6,0%-kal magasabb összegben alakultak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6BBE59DE" w14:textId="197F3657" w:rsidR="00CF551C" w:rsidRDefault="00AB3A4C" w:rsidP="00C11940">
      <w:pPr>
        <w:pStyle w:val="NormlWeb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4054784E" wp14:editId="4861DD58">
            <wp:extent cx="5940425" cy="2367915"/>
            <wp:effectExtent l="0" t="0" r="3175" b="0"/>
            <wp:docPr id="2107341059" name="Kép 1" descr="A képen diagram, szöveg, képernyőkép, kö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41059" name="Kép 1" descr="A képen diagram, szöveg, képernyőkép, kör látható&#10;&#10;Előfordulhat, hogy a mesterséges intelligencia által létrehozott tartalom helytele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C17F5" w14:textId="4ADC6B04" w:rsidR="00C07E8E" w:rsidRPr="00C07E8E" w:rsidRDefault="00C07E8E" w:rsidP="009F665B">
      <w:pPr>
        <w:jc w:val="both"/>
        <w:rPr>
          <w:rFonts w:ascii="Times New Roman" w:eastAsia="Times New Roman" w:hAnsi="Times New Roman" w:cs="Times New Roman"/>
          <w:sz w:val="26"/>
          <w:szCs w:val="20"/>
          <w:highlight w:val="yellow"/>
          <w:lang w:eastAsia="hu-HU"/>
        </w:rPr>
      </w:pPr>
      <w:r w:rsidRPr="00C07E8E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Társasági adó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jogcímen a 2025. év első kilenc hónapjában 767,7 milliárd forint realizálódott, amely az előző év egyenlegétől 40,1 milliárd forinttal maradt el. A</w:t>
      </w:r>
      <w:r w:rsidR="00AB3A4C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bázisévhez viszonyítva az eltérést az előlegfizetések előző évinél alacsonyabb szintje magyarázza, amelyet az egyéb kiutalások és a sport felajánlások jogszabályváltozás miatti megnövekedett mértéke rontanak.</w:t>
      </w:r>
    </w:p>
    <w:p w14:paraId="156FEE3F" w14:textId="5842D4D4" w:rsidR="00C07E8E" w:rsidRPr="00C07E8E" w:rsidRDefault="00C07E8E" w:rsidP="009F665B">
      <w:pPr>
        <w:jc w:val="both"/>
        <w:rPr>
          <w:rFonts w:ascii="Times New Roman" w:eastAsia="Times New Roman" w:hAnsi="Times New Roman" w:cs="Times New Roman"/>
          <w:sz w:val="26"/>
          <w:szCs w:val="20"/>
          <w:highlight w:val="yellow"/>
          <w:lang w:eastAsia="hu-HU"/>
        </w:rPr>
      </w:pPr>
      <w:r w:rsidRPr="00C07E8E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pénzügyi szervezetek befizetései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mérlegsoron a 2025. év első kilenc hónapjában 249,3 milliárd forint teljesült, amely az előző év egyenlegét 46,3 milliárd forinttal haladja meg. Ennek oka az előírt magasabb előlegkötelezettségek a pénzügyi szervezetek különadója esetén</w:t>
      </w:r>
      <w:r w:rsidR="00D25B6E">
        <w:rPr>
          <w:rFonts w:ascii="Times New Roman" w:eastAsia="Times New Roman" w:hAnsi="Times New Roman" w:cs="Times New Roman"/>
          <w:sz w:val="26"/>
          <w:szCs w:val="20"/>
          <w:lang w:eastAsia="hu-HU"/>
        </w:rPr>
        <w:t>, valamint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a magasabb hitelintézeti extraprofitadó bevétel.</w:t>
      </w:r>
    </w:p>
    <w:p w14:paraId="02139964" w14:textId="77777777" w:rsidR="00C07E8E" w:rsidRPr="00C07E8E" w:rsidRDefault="00C07E8E" w:rsidP="009F665B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C07E8E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kisadózók tételes adójából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2025 első kilenc hónapjában a költségvetésnek 52,6 milliárd forint bevétele keletkezett, amely 2,5 milliárd forinttal több az egy évvel korábbinál. Ennek oka az adónemet választók magasabb létszáma.</w:t>
      </w:r>
    </w:p>
    <w:p w14:paraId="2B763A6A" w14:textId="7C483160" w:rsidR="006A6F7F" w:rsidRPr="002A41A8" w:rsidRDefault="00C07E8E" w:rsidP="009F665B">
      <w:pPr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hu-HU"/>
        </w:rPr>
      </w:pPr>
      <w:r w:rsidRPr="00C07E8E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kisvállalati adóból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származó bevétel a 2025. év első kilenc hónapjában 189,8 milliárd forint volt, amely 22,1</w:t>
      </w:r>
      <w:r w:rsidR="004C2BB5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milliárd forinttal magasabb az előző év egyenlegénél. Ennek oka az adóalanyok számának jelentős mértékű bővülése. </w:t>
      </w:r>
      <w:r w:rsidR="004C2BB5">
        <w:rPr>
          <w:rFonts w:ascii="Times New Roman" w:eastAsia="Times New Roman" w:hAnsi="Times New Roman" w:cs="Times New Roman"/>
          <w:sz w:val="26"/>
          <w:szCs w:val="20"/>
          <w:lang w:eastAsia="hu-HU"/>
        </w:rPr>
        <w:br/>
        <w:t>2025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szeptember</w:t>
      </w:r>
      <w:r w:rsidR="004C2BB5">
        <w:rPr>
          <w:rFonts w:ascii="Times New Roman" w:eastAsia="Times New Roman" w:hAnsi="Times New Roman" w:cs="Times New Roman"/>
          <w:sz w:val="26"/>
          <w:szCs w:val="20"/>
          <w:lang w:eastAsia="hu-HU"/>
        </w:rPr>
        <w:t>ében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a KIVA alanyok száma 99,1 ezer</w:t>
      </w:r>
      <w:r w:rsidR="001F0233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volt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.</w:t>
      </w:r>
    </w:p>
    <w:p w14:paraId="05A0FCFD" w14:textId="4BE46F26" w:rsidR="00640595" w:rsidRDefault="565C7792" w:rsidP="009F665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565C7792">
        <w:rPr>
          <w:rFonts w:ascii="Times New Roman" w:eastAsia="Times New Roman" w:hAnsi="Times New Roman" w:cs="Times New Roman"/>
          <w:b/>
          <w:bCs/>
          <w:sz w:val="26"/>
          <w:szCs w:val="26"/>
        </w:rPr>
        <w:t>bányajáradék-bevétel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 2025 első kilenc hónapjában 86,5 milliárd forint volt, amely 1,9 milliárd</w:t>
      </w:r>
      <w:r w:rsidR="00A673C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forinttal teljesült alacsonyabban az előző év azonos időszakához képest, amelynek fő oka a számítási szabályok év eleji kisebb változása és a bányajáradék számításához kapcsolódó </w:t>
      </w:r>
      <w:proofErr w:type="spellStart"/>
      <w:r w:rsidRPr="565C7792">
        <w:rPr>
          <w:rFonts w:ascii="Times New Roman" w:eastAsia="Times New Roman" w:hAnsi="Times New Roman" w:cs="Times New Roman"/>
          <w:sz w:val="26"/>
          <w:szCs w:val="26"/>
        </w:rPr>
        <w:t>makroparaméterek</w:t>
      </w:r>
      <w:proofErr w:type="spellEnd"/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 (olajár, </w:t>
      </w:r>
      <w:proofErr w:type="spellStart"/>
      <w:r w:rsidRPr="565C7792">
        <w:rPr>
          <w:rFonts w:ascii="Times New Roman" w:eastAsia="Times New Roman" w:hAnsi="Times New Roman" w:cs="Times New Roman"/>
          <w:sz w:val="26"/>
          <w:szCs w:val="26"/>
        </w:rPr>
        <w:t>gázár</w:t>
      </w:r>
      <w:proofErr w:type="spellEnd"/>
      <w:r w:rsidRPr="565C7792">
        <w:rPr>
          <w:rFonts w:ascii="Times New Roman" w:eastAsia="Times New Roman" w:hAnsi="Times New Roman" w:cs="Times New Roman"/>
          <w:sz w:val="26"/>
          <w:szCs w:val="26"/>
        </w:rPr>
        <w:t>, árfolyamok) alakulásának együttes eredője.</w:t>
      </w:r>
    </w:p>
    <w:p w14:paraId="5322C39E" w14:textId="241287E6" w:rsidR="72AFD5C4" w:rsidRPr="00377D59" w:rsidRDefault="716D41F4" w:rsidP="009F665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útdíjakból származó bevétel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2024-től külön mérlegsoron jelenik meg, mely az elektronikus útdíj rendszer és az időalapú útdíj rendszer bevételeinek együttes összegét tartalmazza. Az útdíjakból 2025 szeptemberéig 468,9</w:t>
      </w:r>
      <w:r w:rsidR="00FB4A1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FB4A1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forint költségvetési bevétel teljesült ezen a mérlegsoron, amely 21,5 milliárd</w:t>
      </w:r>
      <w:r w:rsidR="00FB4A1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forinttal magasabb az előző év azonos időszakához viszonyítva. A magasabb teljesülést alapvetően a forgalmi viszonyok, valamint a díjrendszereket érintő jogszabályi keretek változása okozza.</w:t>
      </w:r>
    </w:p>
    <w:p w14:paraId="685BE235" w14:textId="6B2D82C0" w:rsidR="008A66DB" w:rsidRDefault="051ACFCD" w:rsidP="009F665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Egyéb központosított bevételekből 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az év első kilenc hónapjában 139,7 milliárd</w:t>
      </w:r>
      <w:r w:rsidR="00FB4A1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forint bevétel teljesült, amely a törvényi előirányzat 76,9%-ának felel meg. Ezen belül kiemelkedő </w:t>
      </w:r>
      <w:r w:rsidRPr="008E232B">
        <w:rPr>
          <w:rFonts w:ascii="Times New Roman" w:eastAsia="Times New Roman" w:hAnsi="Times New Roman" w:cs="Times New Roman"/>
          <w:sz w:val="26"/>
          <w:szCs w:val="26"/>
        </w:rPr>
        <w:t>a bírságbevételekből befolyt 75,3 milliárd</w:t>
      </w:r>
      <w:r w:rsidR="00FB4A1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E232B">
        <w:rPr>
          <w:rFonts w:ascii="Times New Roman" w:eastAsia="Times New Roman" w:hAnsi="Times New Roman" w:cs="Times New Roman"/>
          <w:sz w:val="26"/>
          <w:szCs w:val="26"/>
        </w:rPr>
        <w:t>forint.</w:t>
      </w:r>
    </w:p>
    <w:p w14:paraId="0798AF0D" w14:textId="0884BD60" w:rsidR="00C07E8E" w:rsidRPr="00C07E8E" w:rsidRDefault="00C07E8E" w:rsidP="009F665B">
      <w:pPr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</w:pP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Az</w:t>
      </w:r>
      <w:r w:rsidRPr="00C07E8E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 energia ágazat befizetései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jogcímen </w:t>
      </w:r>
      <w:r w:rsidR="00BA38F7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2025. év első kilenc hónapjában 177,6 milliárd forint pénzforgalom teljesült, amely az előző év egyenlegétől 42,6 milliárd forinttal maradt el. A bázisévhez viszonyított eltérés oka az Ural-</w:t>
      </w:r>
      <w:proofErr w:type="spellStart"/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Brent</w:t>
      </w:r>
      <w:proofErr w:type="spellEnd"/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proofErr w:type="spellStart"/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spread</w:t>
      </w:r>
      <w:proofErr w:type="spellEnd"/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különadó </w:t>
      </w:r>
      <w:r w:rsidR="00BA38F7" w:rsidRPr="00BA38F7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alacsonyabb mértékű teljesüléséhez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köthető.</w:t>
      </w:r>
    </w:p>
    <w:p w14:paraId="0780415F" w14:textId="1E3E03DD" w:rsidR="00C07E8E" w:rsidRPr="00C07E8E" w:rsidRDefault="00C07E8E" w:rsidP="009F665B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C07E8E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>K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iskereskedelmi adó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jogcímen a 2025. év első kilenc hónapjában 158,5</w:t>
      </w:r>
      <w:r w:rsidR="00BA38F7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 bevétel teljesült, amely a 2024. évi egyenlegénél 6,7 milliárd</w:t>
      </w:r>
      <w:r w:rsidR="00BA38F7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forinttal magasabb. A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bevételek alakulásának hátterében az első előlegfizetés, valamint az elszámolásokhoz köthető befizetések állnak.</w:t>
      </w:r>
    </w:p>
    <w:p w14:paraId="5E587D1A" w14:textId="4760596F" w:rsidR="00C07E8E" w:rsidRPr="00C07E8E" w:rsidRDefault="00C07E8E" w:rsidP="009F665B">
      <w:pPr>
        <w:jc w:val="both"/>
        <w:rPr>
          <w:rFonts w:ascii="Times New Roman" w:eastAsia="Times New Roman" w:hAnsi="Times New Roman" w:cs="Times New Roman"/>
          <w:b/>
          <w:sz w:val="26"/>
          <w:szCs w:val="20"/>
          <w:highlight w:val="yellow"/>
          <w:lang w:eastAsia="hu-HU"/>
        </w:rPr>
      </w:pPr>
      <w:r w:rsidRPr="00C07E8E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Gyógyszergyártói adó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jogcímen </w:t>
      </w:r>
      <w:r w:rsidR="00BA38F7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2025. év első kilenc hónapjában 4,2</w:t>
      </w:r>
      <w:r w:rsidR="00BA38F7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 forint pénzforgalom teljesült, amely 12,5</w:t>
      </w:r>
      <w:r w:rsidR="00BA38F7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 forinttal maradt el az előző év azonos időszakához képest. Ennek oka, hogy az adónem a 2025. évben megszűnt, a befizetés eltérő üzleti évhez kötődik.</w:t>
      </w:r>
    </w:p>
    <w:p w14:paraId="03C43301" w14:textId="77777777" w:rsidR="00C07E8E" w:rsidRPr="00C07E8E" w:rsidRDefault="00C07E8E" w:rsidP="009F665B">
      <w:pPr>
        <w:widowControl w:val="0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rehabilitációs hozzájárulásból </w:t>
      </w:r>
      <w:r w:rsidRPr="00C07E8E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származó bevétel az év első kilenc hónapjában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148,4 milliárd forint volt, amely 12,8 milliárd forinttal magasabb az egy évvel korábbi összegnél. Ennek oka a minimálbérnek, így az adó mértékének az emelkedése.</w:t>
      </w:r>
    </w:p>
    <w:p w14:paraId="54046E48" w14:textId="17DFB508" w:rsidR="006330AD" w:rsidRDefault="00C07E8E" w:rsidP="009F665B">
      <w:pPr>
        <w:widowControl w:val="0"/>
        <w:tabs>
          <w:tab w:val="left" w:pos="3105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A</w:t>
      </w:r>
      <w:r w:rsidR="00BA38F7">
        <w:rPr>
          <w:rFonts w:ascii="Times New Roman" w:eastAsia="Times New Roman" w:hAnsi="Times New Roman" w:cs="Times New Roman"/>
          <w:sz w:val="26"/>
          <w:szCs w:val="20"/>
          <w:lang w:eastAsia="hu-HU"/>
        </w:rPr>
        <w:t>z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év első kilenc hónapjában az 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>általános forgalmi adóból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6080,2</w:t>
      </w: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 bevétele keletkezett a költségvetésnek, ami az egy évvel korábbi bevételt 646,9</w:t>
      </w: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forinttal haladja meg.</w:t>
      </w:r>
    </w:p>
    <w:tbl>
      <w:tblPr>
        <w:tblW w:w="6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724"/>
        <w:gridCol w:w="1700"/>
        <w:gridCol w:w="993"/>
        <w:gridCol w:w="951"/>
      </w:tblGrid>
      <w:tr w:rsidR="00C07E8E" w:rsidRPr="00C07E8E" w14:paraId="7FBCCCD4" w14:textId="77777777" w:rsidTr="00A82694">
        <w:trPr>
          <w:trHeight w:val="255"/>
          <w:jc w:val="center"/>
        </w:trPr>
        <w:tc>
          <w:tcPr>
            <w:tcW w:w="69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F1BE" w14:textId="77777777" w:rsidR="00C07E8E" w:rsidRPr="00C07E8E" w:rsidRDefault="00C07E8E" w:rsidP="00C07E8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Általános forgalmi adó bevétel alakulása (milliárd forint) </w:t>
            </w:r>
          </w:p>
        </w:tc>
      </w:tr>
      <w:tr w:rsidR="00C07E8E" w:rsidRPr="00C07E8E" w14:paraId="6C58153B" w14:textId="77777777" w:rsidTr="009F665B">
        <w:trPr>
          <w:trHeight w:val="34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90AD3CF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F6C6A29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2024.</w:t>
            </w:r>
          </w:p>
          <w:p w14:paraId="7D31AF69" w14:textId="23DA42F4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I-IX. hó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234D8C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</w:p>
          <w:p w14:paraId="4362DE2F" w14:textId="6DEDB981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I-IX. hó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2F28153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C07E8E" w:rsidRPr="00C07E8E" w14:paraId="1E7E29D1" w14:textId="77777777" w:rsidTr="009F665B">
        <w:trPr>
          <w:trHeight w:val="34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A336E99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26A84A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130E60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61B5D82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2DEF587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C07E8E" w:rsidRPr="00C07E8E" w14:paraId="71E75445" w14:textId="77777777" w:rsidTr="00A82694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EE5F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Befizetés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9C3D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9 560,6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D8EF2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10 144,1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E25D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583,5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B46C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106,1</w:t>
            </w:r>
          </w:p>
        </w:tc>
      </w:tr>
      <w:tr w:rsidR="00C07E8E" w:rsidRPr="00C07E8E" w14:paraId="7259243E" w14:textId="77777777" w:rsidTr="00A82694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D9E2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Kiutalás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8A3E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4 127,3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4FE2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4 063,9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3F07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-63,4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FD02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98,5</w:t>
            </w:r>
          </w:p>
        </w:tc>
      </w:tr>
      <w:tr w:rsidR="00C07E8E" w:rsidRPr="00C07E8E" w14:paraId="152136C7" w14:textId="77777777" w:rsidTr="00A82694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5BA7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Egyenleg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FCB2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5 433,3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0923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6 080,2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60B4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646,9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9CD4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111,9</w:t>
            </w:r>
          </w:p>
        </w:tc>
      </w:tr>
    </w:tbl>
    <w:p w14:paraId="7BD8A1E9" w14:textId="31E0D9DE" w:rsidR="002A41A8" w:rsidRDefault="00C07E8E" w:rsidP="00807A87">
      <w:pPr>
        <w:spacing w:before="48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A belföldi befizetések és az import utáni áfabevételek növekedtek, ugyanakkor a dohány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-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termékek utáni áfabevétel csökkent. A belföldi befizetések növekedése elsősorban a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kereskedelem ágazathoz köthető. Az import utáni befizetések növekedése hátterében a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forgalom alakulása áll. A dohánytermékek utáni bevételek alacsonyabb teljesülését a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2025. januári jövedéki adómérték-emelésre adott piaci reakció, a készletezési hatás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,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lastRenderedPageBreak/>
        <w:t>valamint az ízesített, hevített dohánytermékekre vonatkozó jogszabályváltozás miatti 2024. júliusi készletezés együttes hatása magyarázza. A kiutalások alakulását a köztes ágazatok befizetése befolyásolja</w:t>
      </w:r>
      <w:r w:rsidR="716D41F4"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A4419C7" w14:textId="383275F0" w:rsidR="00CF551C" w:rsidRPr="00945E04" w:rsidRDefault="00AB3A4C" w:rsidP="004C0575">
      <w:pPr>
        <w:pStyle w:val="NormlWeb"/>
        <w:spacing w:before="0" w:beforeAutospacing="0" w:after="0" w:afterAutospacing="0"/>
        <w:jc w:val="center"/>
        <w:rPr>
          <w:sz w:val="22"/>
        </w:rPr>
      </w:pPr>
      <w:r>
        <w:rPr>
          <w:noProof/>
        </w:rPr>
        <w:drawing>
          <wp:inline distT="0" distB="0" distL="0" distR="0" wp14:anchorId="02E34119" wp14:editId="7D65F7BE">
            <wp:extent cx="5313680" cy="3513106"/>
            <wp:effectExtent l="0" t="0" r="1270" b="0"/>
            <wp:docPr id="1689825293" name="Kép 1" descr="A képen szöveg, Diagram, sor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25293" name="Kép 1" descr="A képen szöveg, Diagram, sor, képernyőkép látható&#10;&#10;Előfordulhat, hogy a mesterséges intelligencia által létrehozott tartalom helytele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3484" cy="351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B7672" w14:textId="54B7D975" w:rsidR="00AE4815" w:rsidRDefault="00C07E8E" w:rsidP="00577309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C07E8E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>jövedéki adóból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származó bevétel a 2025. év első kilenc hónapjában 1184,1</w:t>
      </w: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forintot tett ki, amely 23,6 milliárd forinttal alacsonyabb az egy évvel korábbi bevételnél. Az üzemanyagok utáni bevételek növekedését a 2025. január 1-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jé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től hatályos magasabb adómértékek magyarázzák. A dohánytermékek utáni bevételek csökkenésének hátterében a 2025. januári adómérték-emelésből fakadó készletezési hatás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,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valamint az ízesített, hevített dohánytermékekre vonatkozó jogszabályváltozásra adott piaci reakció, a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2024.</w:t>
      </w:r>
      <w:r w:rsidR="00577309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júliusi készletezés együttes hatása áll. A szeszesitalok és egyéb termékek esetében a bevételek csökkenését az alacsonyabb forgalom indokolja. Az energiaadó</w:t>
      </w:r>
      <w:r w:rsidR="007B18F1">
        <w:rPr>
          <w:rFonts w:ascii="Times New Roman" w:eastAsia="Times New Roman" w:hAnsi="Times New Roman" w:cs="Times New Roman"/>
          <w:sz w:val="26"/>
          <w:szCs w:val="20"/>
          <w:lang w:eastAsia="hu-HU"/>
        </w:rPr>
        <w:t>-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bevételek növekedésének hátterében a 2025. januári jövedéki adómérték-emelés áll</w:t>
      </w:r>
      <w:r w:rsidR="716D41F4"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tbl>
      <w:tblPr>
        <w:tblW w:w="8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594"/>
        <w:gridCol w:w="1061"/>
        <w:gridCol w:w="1135"/>
      </w:tblGrid>
      <w:tr w:rsidR="00C07E8E" w:rsidRPr="00C07E8E" w14:paraId="6FB11F5D" w14:textId="77777777" w:rsidTr="00A82694">
        <w:trPr>
          <w:trHeight w:val="255"/>
          <w:jc w:val="center"/>
        </w:trPr>
        <w:tc>
          <w:tcPr>
            <w:tcW w:w="8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C9D73" w14:textId="77777777" w:rsidR="00C07E8E" w:rsidRPr="00C07E8E" w:rsidRDefault="00C07E8E" w:rsidP="00C07E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Jövedéki adó bevétel alakulása (milliárd forint)</w:t>
            </w:r>
          </w:p>
        </w:tc>
      </w:tr>
      <w:tr w:rsidR="00C07E8E" w:rsidRPr="00C07E8E" w14:paraId="3E280AF8" w14:textId="77777777" w:rsidTr="009F665B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90D23C6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8225FD7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2024.</w:t>
            </w:r>
          </w:p>
          <w:p w14:paraId="29C366CA" w14:textId="769A3588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I-IX. hó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4B2940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</w:p>
          <w:p w14:paraId="067A5C3D" w14:textId="6C73602E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I-IX. hó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F31376D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C07E8E" w:rsidRPr="00C07E8E" w14:paraId="3E5EEC50" w14:textId="77777777" w:rsidTr="009F665B">
        <w:trPr>
          <w:trHeight w:val="34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3992AE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BCD4BC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39FAA0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E50AD29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80FB9FC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C07E8E" w:rsidRPr="00C07E8E" w14:paraId="5980B95B" w14:textId="77777777" w:rsidTr="00A8269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84E3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Üzemanyag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F1C6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661,7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15B1" w14:textId="1DBF8255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696,</w:t>
            </w:r>
            <w:r w:rsidR="007B18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FC31" w14:textId="6A3651AA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35,</w:t>
            </w:r>
            <w:r w:rsidR="007B18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DC49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105,3</w:t>
            </w:r>
          </w:p>
        </w:tc>
      </w:tr>
      <w:tr w:rsidR="00C07E8E" w:rsidRPr="00C07E8E" w14:paraId="46999D68" w14:textId="77777777" w:rsidTr="00A8269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B3EC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Dohánygyártmány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32BC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432,2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3382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373,6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DA92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-58,6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CC6F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86,4</w:t>
            </w:r>
          </w:p>
        </w:tc>
      </w:tr>
      <w:tr w:rsidR="00C07E8E" w:rsidRPr="00C07E8E" w14:paraId="09F66F09" w14:textId="77777777" w:rsidTr="00A8269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8BE1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Egyéb termék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FC33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98,0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F29C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96,4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52D0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F769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98,4</w:t>
            </w:r>
          </w:p>
        </w:tc>
      </w:tr>
      <w:tr w:rsidR="00C07E8E" w:rsidRPr="00C07E8E" w14:paraId="751AAEDD" w14:textId="77777777" w:rsidTr="00A8269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515C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Import jövedéki adó és energiaadó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0CE4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15,8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51D5" w14:textId="7A6B4765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17,</w:t>
            </w:r>
            <w:r w:rsidR="007B18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2B65" w14:textId="17139C5E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1,</w:t>
            </w:r>
            <w:r w:rsidR="007B18F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CBC8" w14:textId="1A1AC2CC" w:rsidR="00C07E8E" w:rsidRPr="00C07E8E" w:rsidRDefault="007B18F1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109,5</w:t>
            </w:r>
          </w:p>
        </w:tc>
      </w:tr>
      <w:tr w:rsidR="00C07E8E" w:rsidRPr="00C07E8E" w14:paraId="01A558F0" w14:textId="77777777" w:rsidTr="00A8269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41E" w14:textId="77777777" w:rsidR="00C07E8E" w:rsidRPr="00C07E8E" w:rsidRDefault="00C07E8E" w:rsidP="00C07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Jövedéki adók összesen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B1E1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1 207,7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DA4E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1 184,1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CCCF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-23,6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FF4F" w14:textId="77777777" w:rsidR="00C07E8E" w:rsidRPr="00C07E8E" w:rsidRDefault="00C07E8E" w:rsidP="00C07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98,0</w:t>
            </w:r>
          </w:p>
        </w:tc>
      </w:tr>
    </w:tbl>
    <w:p w14:paraId="0684CA02" w14:textId="7E7447B7" w:rsidR="00C07E8E" w:rsidRPr="00C07E8E" w:rsidRDefault="00E86C99" w:rsidP="007B18F1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br w:type="column"/>
      </w:r>
      <w:r w:rsidR="00C07E8E" w:rsidRPr="00C07E8E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lastRenderedPageBreak/>
        <w:t>Pénzügyi tranzakciós illetékből</w:t>
      </w:r>
      <w:r w:rsidR="00C07E8E"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2025 első kilenc hónapjában 432,2 milliárd</w:t>
      </w:r>
      <w:r w:rsidR="007B18F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="00C07E8E"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forint bevétele keletkezett a költségvetésnek, ami 159,8 milliárd forinttal haladta meg az egy évvel korábbi összeget. A bevételek növekedésének hátterében a 2024. augusztus 1-</w:t>
      </w:r>
      <w:r w:rsidR="007B18F1">
        <w:rPr>
          <w:rFonts w:ascii="Times New Roman" w:eastAsia="Times New Roman" w:hAnsi="Times New Roman" w:cs="Times New Roman"/>
          <w:sz w:val="26"/>
          <w:szCs w:val="20"/>
          <w:lang w:eastAsia="hu-HU"/>
        </w:rPr>
        <w:t>jé</w:t>
      </w:r>
      <w:r w:rsidR="00C07E8E"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től hatályos megemelt adómértékek, valamint a 2024. október elsejétől az adó hatálya alá tartozó konverziót tartalmazó műveletek állnak.</w:t>
      </w:r>
    </w:p>
    <w:p w14:paraId="2F4651F2" w14:textId="15D201ED" w:rsidR="00C07E8E" w:rsidRPr="00C07E8E" w:rsidRDefault="00C07E8E" w:rsidP="007B18F1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C07E8E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biztosítási adóból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származó bevétel </w:t>
      </w:r>
      <w:r w:rsidR="007B18F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az 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év első kilenc hónapjában 133,9 milliárd forintot tett ki, amely 65,9 milliárd forinttal alacsonyabb az egy évvel korábbi bevételnél. A</w:t>
      </w:r>
      <w:r w:rsidR="007B18F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bevételek előző évhez viszonyított alacsonyabb teljesülését egyrészt a 2023. évi biztosítási pótadó-kötelezettség 2024. januári és júliusi elszámolásából fakadó többletbevétel, másrészt a 2024. évi pótadóelőleg első, 2024</w:t>
      </w:r>
      <w:r w:rsidR="00155BD4">
        <w:rPr>
          <w:rFonts w:ascii="Times New Roman" w:eastAsia="Times New Roman" w:hAnsi="Times New Roman" w:cs="Times New Roman"/>
          <w:sz w:val="26"/>
          <w:szCs w:val="20"/>
          <w:lang w:eastAsia="hu-HU"/>
        </w:rPr>
        <w:t>.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május havi befizetése magyarázza.</w:t>
      </w:r>
    </w:p>
    <w:p w14:paraId="68EDBC78" w14:textId="68A0484C" w:rsidR="006330AD" w:rsidRPr="006330AD" w:rsidRDefault="00C07E8E" w:rsidP="007B18F1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 xml:space="preserve">A </w:t>
      </w:r>
      <w:r w:rsidRPr="00C07E8E">
        <w:rPr>
          <w:rFonts w:ascii="Times New Roman" w:eastAsia="Times New Roman" w:hAnsi="Times New Roman" w:cs="Times New Roman"/>
          <w:b/>
          <w:bCs/>
          <w:color w:val="000000"/>
          <w:sz w:val="26"/>
          <w:szCs w:val="20"/>
          <w:lang w:eastAsia="hu-HU"/>
        </w:rPr>
        <w:t>személyi jövedelemadó</w:t>
      </w: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 xml:space="preserve"> bevétele 2025 első kilenc hónapjában 3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628,4 </w:t>
      </w: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forint volt, amely 299,5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forinttal magasabb az egy évvel korábbi összegnél. Ennek oka a bértömeg növekedése</w:t>
      </w:r>
      <w:r w:rsidR="716D41F4" w:rsidRPr="716D41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.</w:t>
      </w:r>
    </w:p>
    <w:p w14:paraId="4AD2F5D6" w14:textId="3FECE57E" w:rsidR="00085C37" w:rsidRPr="005861AE" w:rsidRDefault="716D41F4" w:rsidP="716D41F4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716D41F4">
        <w:rPr>
          <w:rFonts w:ascii="Times New Roman" w:hAnsi="Times New Roman" w:cs="Times New Roman"/>
          <w:b/>
          <w:bCs/>
        </w:rPr>
        <w:t>Személyi jövedelemadó bevétel alakulása (milliárd forint)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645"/>
        <w:gridCol w:w="1701"/>
        <w:gridCol w:w="992"/>
        <w:gridCol w:w="992"/>
      </w:tblGrid>
      <w:tr w:rsidR="00C07E8E" w:rsidRPr="00C07E8E" w14:paraId="138CF7B8" w14:textId="77777777" w:rsidTr="007B18F1">
        <w:trPr>
          <w:trHeight w:val="283"/>
          <w:jc w:val="center"/>
        </w:trPr>
        <w:tc>
          <w:tcPr>
            <w:tcW w:w="1469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3C09CE5D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645" w:type="dxa"/>
            <w:vMerge w:val="restart"/>
            <w:shd w:val="clear" w:color="auto" w:fill="BDD6EE" w:themeFill="accent1" w:themeFillTint="66"/>
            <w:vAlign w:val="center"/>
            <w:hideMark/>
          </w:tcPr>
          <w:p w14:paraId="5F3EA4CB" w14:textId="0EC077F5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2024. </w:t>
            </w: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br/>
              <w:t>I-IX. hó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  <w:hideMark/>
          </w:tcPr>
          <w:p w14:paraId="0144E5E1" w14:textId="23E7B4FA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br/>
              <w:t>I-IX. hó</w:t>
            </w:r>
          </w:p>
        </w:tc>
        <w:tc>
          <w:tcPr>
            <w:tcW w:w="1984" w:type="dxa"/>
            <w:gridSpan w:val="2"/>
            <w:shd w:val="clear" w:color="auto" w:fill="BDD6EE" w:themeFill="accent1" w:themeFillTint="66"/>
            <w:vAlign w:val="center"/>
            <w:hideMark/>
          </w:tcPr>
          <w:p w14:paraId="4B338BF4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C07E8E" w:rsidRPr="00C07E8E" w14:paraId="01B55F4B" w14:textId="77777777" w:rsidTr="007B18F1">
        <w:trPr>
          <w:trHeight w:val="283"/>
          <w:jc w:val="center"/>
        </w:trPr>
        <w:tc>
          <w:tcPr>
            <w:tcW w:w="1469" w:type="dxa"/>
            <w:vMerge/>
            <w:shd w:val="clear" w:color="auto" w:fill="BDD6EE" w:themeFill="accent1" w:themeFillTint="66"/>
            <w:noWrap/>
            <w:vAlign w:val="center"/>
          </w:tcPr>
          <w:p w14:paraId="22081840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645" w:type="dxa"/>
            <w:vMerge/>
            <w:shd w:val="clear" w:color="auto" w:fill="BDD6EE" w:themeFill="accent1" w:themeFillTint="66"/>
            <w:vAlign w:val="center"/>
          </w:tcPr>
          <w:p w14:paraId="2B9710E4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  <w:vAlign w:val="center"/>
          </w:tcPr>
          <w:p w14:paraId="5D6FB2CC" w14:textId="77777777" w:rsidR="00C07E8E" w:rsidRPr="00C07E8E" w:rsidRDefault="00C07E8E" w:rsidP="00C0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212B3040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10E6CF8F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C07E8E" w:rsidRPr="00C07E8E" w14:paraId="0F06DB8A" w14:textId="77777777" w:rsidTr="00A82694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26157885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Befizetés</w:t>
            </w:r>
          </w:p>
        </w:tc>
        <w:tc>
          <w:tcPr>
            <w:tcW w:w="1645" w:type="dxa"/>
            <w:noWrap/>
            <w:vAlign w:val="center"/>
          </w:tcPr>
          <w:p w14:paraId="20BD499B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3 559,0</w:t>
            </w:r>
          </w:p>
        </w:tc>
        <w:tc>
          <w:tcPr>
            <w:tcW w:w="1701" w:type="dxa"/>
            <w:noWrap/>
            <w:vAlign w:val="center"/>
          </w:tcPr>
          <w:p w14:paraId="18BD8E23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3 877,9</w:t>
            </w:r>
          </w:p>
        </w:tc>
        <w:tc>
          <w:tcPr>
            <w:tcW w:w="992" w:type="dxa"/>
            <w:noWrap/>
            <w:vAlign w:val="center"/>
          </w:tcPr>
          <w:p w14:paraId="3B028B7D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318,9</w:t>
            </w:r>
          </w:p>
        </w:tc>
        <w:tc>
          <w:tcPr>
            <w:tcW w:w="992" w:type="dxa"/>
            <w:vAlign w:val="center"/>
          </w:tcPr>
          <w:p w14:paraId="6BAE0BC8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109,0</w:t>
            </w:r>
          </w:p>
        </w:tc>
      </w:tr>
      <w:tr w:rsidR="00C07E8E" w:rsidRPr="00C07E8E" w14:paraId="6DF28553" w14:textId="77777777" w:rsidTr="00A82694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1520F58F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Kiutalás</w:t>
            </w:r>
          </w:p>
        </w:tc>
        <w:tc>
          <w:tcPr>
            <w:tcW w:w="1645" w:type="dxa"/>
            <w:noWrap/>
            <w:vAlign w:val="center"/>
          </w:tcPr>
          <w:p w14:paraId="2C7919CF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230,1</w:t>
            </w:r>
          </w:p>
        </w:tc>
        <w:tc>
          <w:tcPr>
            <w:tcW w:w="1701" w:type="dxa"/>
            <w:noWrap/>
            <w:vAlign w:val="center"/>
          </w:tcPr>
          <w:p w14:paraId="3CDFF024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249,5</w:t>
            </w:r>
          </w:p>
        </w:tc>
        <w:tc>
          <w:tcPr>
            <w:tcW w:w="992" w:type="dxa"/>
            <w:noWrap/>
            <w:vAlign w:val="center"/>
          </w:tcPr>
          <w:p w14:paraId="760C7C07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19,4</w:t>
            </w:r>
          </w:p>
        </w:tc>
        <w:tc>
          <w:tcPr>
            <w:tcW w:w="992" w:type="dxa"/>
            <w:vAlign w:val="center"/>
          </w:tcPr>
          <w:p w14:paraId="57FF0869" w14:textId="77777777" w:rsidR="00C07E8E" w:rsidRPr="00C07E8E" w:rsidRDefault="00C07E8E" w:rsidP="00C07E8E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108,4</w:t>
            </w:r>
          </w:p>
        </w:tc>
      </w:tr>
      <w:tr w:rsidR="00C07E8E" w:rsidRPr="00C07E8E" w14:paraId="50BBA4FE" w14:textId="77777777" w:rsidTr="00A82694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0BF1B18C" w14:textId="77777777" w:rsidR="00C07E8E" w:rsidRPr="00C07E8E" w:rsidRDefault="00C07E8E" w:rsidP="00C07E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Egyenleg</w:t>
            </w:r>
          </w:p>
        </w:tc>
        <w:tc>
          <w:tcPr>
            <w:tcW w:w="1645" w:type="dxa"/>
            <w:noWrap/>
            <w:vAlign w:val="center"/>
          </w:tcPr>
          <w:p w14:paraId="52350D04" w14:textId="77777777" w:rsidR="00C07E8E" w:rsidRPr="00C07E8E" w:rsidRDefault="00C07E8E" w:rsidP="00C07E8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3 328,9</w:t>
            </w:r>
          </w:p>
        </w:tc>
        <w:tc>
          <w:tcPr>
            <w:tcW w:w="1701" w:type="dxa"/>
            <w:noWrap/>
            <w:vAlign w:val="center"/>
          </w:tcPr>
          <w:p w14:paraId="58414564" w14:textId="77777777" w:rsidR="00C07E8E" w:rsidRPr="00C07E8E" w:rsidRDefault="00C07E8E" w:rsidP="00C07E8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3 628,4</w:t>
            </w:r>
          </w:p>
        </w:tc>
        <w:tc>
          <w:tcPr>
            <w:tcW w:w="992" w:type="dxa"/>
            <w:noWrap/>
            <w:vAlign w:val="center"/>
          </w:tcPr>
          <w:p w14:paraId="5B0FFF98" w14:textId="77777777" w:rsidR="00C07E8E" w:rsidRPr="00C07E8E" w:rsidRDefault="00C07E8E" w:rsidP="00C07E8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299,5</w:t>
            </w:r>
          </w:p>
        </w:tc>
        <w:tc>
          <w:tcPr>
            <w:tcW w:w="992" w:type="dxa"/>
            <w:vAlign w:val="center"/>
          </w:tcPr>
          <w:p w14:paraId="0FCD4423" w14:textId="77777777" w:rsidR="00C07E8E" w:rsidRPr="00C07E8E" w:rsidRDefault="00C07E8E" w:rsidP="00C07E8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C07E8E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109,0</w:t>
            </w:r>
          </w:p>
        </w:tc>
      </w:tr>
    </w:tbl>
    <w:p w14:paraId="54234F12" w14:textId="6D2F069A" w:rsidR="123EFD2F" w:rsidRPr="00381A54" w:rsidRDefault="716D41F4" w:rsidP="716D41F4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Központi Maradványelszámolási Alapba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történő befizetések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mérlegsorra az év első kilenc hónapjában 333,1 milliárd forint maradvány került befizetésre, szemben az előző év azonos időszakában befolyt 167,2 milliárd forintos összeggel.</w:t>
      </w:r>
    </w:p>
    <w:p w14:paraId="25C427CE" w14:textId="4461B982" w:rsidR="029C2633" w:rsidRPr="00381A54" w:rsidRDefault="716D41F4" w:rsidP="716D41F4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állami vagyonnal kapcsolatos befizetések 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2025 első kilenchavi összege 657,</w:t>
      </w:r>
      <w:r w:rsidR="00250E1F">
        <w:rPr>
          <w:rFonts w:ascii="Times New Roman" w:eastAsia="Times New Roman" w:hAnsi="Times New Roman" w:cs="Times New Roman"/>
          <w:sz w:val="26"/>
          <w:szCs w:val="26"/>
        </w:rPr>
        <w:t>7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 milliárd forint, amelynek meghatározó tétele az osztalékbefizetés volt.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D0F2783" w14:textId="41FBE330" w:rsidR="009D55B4" w:rsidRPr="00377D59" w:rsidRDefault="00AB3A4C" w:rsidP="009D55B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7477BAE" wp14:editId="68454F40">
            <wp:extent cx="5200244" cy="3027871"/>
            <wp:effectExtent l="0" t="0" r="635" b="1270"/>
            <wp:docPr id="1808343808" name="Kép 1" descr="A képen szöveg, képernyőkép, Diagram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43808" name="Kép 1" descr="A képen szöveg, képernyőkép, Diagram, diagram látható&#10;&#10;Előfordulhat, hogy a mesterséges intelligencia által létrehozott tartalom helytele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6382" cy="30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3F4E" w14:textId="37A0CB38" w:rsidR="5B67C7D7" w:rsidRPr="00920F4D" w:rsidRDefault="716D41F4" w:rsidP="00250E1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 költségvetés XLV.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Állami beruházások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fejezetének bevételei 2025. szeptember végéig 167,9 milliárd forintot tettek ki.</w:t>
      </w:r>
    </w:p>
    <w:p w14:paraId="4BE4CA6A" w14:textId="7EF78DD2" w:rsidR="39728167" w:rsidRPr="00377D59" w:rsidRDefault="565C7792" w:rsidP="00250E1F">
      <w:pPr>
        <w:jc w:val="both"/>
        <w:rPr>
          <w:rFonts w:ascii="Times New Roman" w:hAnsi="Times New Roman" w:cs="Times New Roman"/>
        </w:rPr>
      </w:pPr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Az uniós bevételek főszabály szerint a XLII. A költségvetés közvetlen bevételei és kiadásai fejezetbe érkeznek, ezek kimutatására szolgálnak az </w:t>
      </w:r>
      <w:r w:rsidRPr="565C7792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bevételei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, valamint az </w:t>
      </w:r>
      <w:r w:rsidRPr="565C7792">
        <w:rPr>
          <w:rFonts w:ascii="Times New Roman" w:eastAsia="Times New Roman" w:hAnsi="Times New Roman" w:cs="Times New Roman"/>
          <w:b/>
          <w:bCs/>
          <w:sz w:val="26"/>
          <w:szCs w:val="26"/>
        </w:rPr>
        <w:t>Egyéb uniós bevételek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 mérlegsorok.</w:t>
      </w:r>
    </w:p>
    <w:p w14:paraId="3C3A66C8" w14:textId="060A838D" w:rsidR="74B9DF17" w:rsidRDefault="716D41F4" w:rsidP="00250E1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bevételei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mérlegsoron 2025. szeptember végéig 507,7</w:t>
      </w:r>
      <w:r w:rsidR="00D615E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 forint bevétel keletkezett. Ez az összeg a törvényi előirányzat (2235,9</w:t>
      </w:r>
      <w:r w:rsidR="00D615E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D615E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forint) 22,7%-át teszi ki. A teljesült bevételből 437,4</w:t>
      </w:r>
      <w:r w:rsidR="00D615E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 forint az uniós</w:t>
      </w:r>
      <w:r w:rsidR="00D615EC">
        <w:rPr>
          <w:rFonts w:ascii="Times New Roman" w:eastAsia="Times New Roman" w:hAnsi="Times New Roman" w:cs="Times New Roman"/>
          <w:sz w:val="26"/>
          <w:szCs w:val="26"/>
        </w:rPr>
        <w:t>,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és 70,3</w:t>
      </w:r>
      <w:r w:rsidR="00D615E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D615E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forint az egyéb bevételekhez tartozik.</w:t>
      </w:r>
    </w:p>
    <w:p w14:paraId="040E2327" w14:textId="5A9000CC" w:rsidR="74B9DF17" w:rsidRPr="00FE12D5" w:rsidRDefault="7C285CBA" w:rsidP="00250E1F">
      <w:pPr>
        <w:jc w:val="both"/>
        <w:rPr>
          <w:rFonts w:ascii="Times New Roman" w:hAnsi="Times New Roman" w:cs="Times New Roman"/>
        </w:rPr>
      </w:pPr>
      <w:r w:rsidRPr="7C285CBA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C285C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Egyéb uniós bevételek </w:t>
      </w:r>
      <w:r w:rsidRPr="7C285CBA">
        <w:rPr>
          <w:rFonts w:ascii="Times New Roman" w:eastAsia="Times New Roman" w:hAnsi="Times New Roman" w:cs="Times New Roman"/>
          <w:sz w:val="26"/>
          <w:szCs w:val="26"/>
        </w:rPr>
        <w:t xml:space="preserve">soron a vámbeszedési költség megtérítése jelenik meg, mely </w:t>
      </w:r>
      <w:r w:rsidR="1CAE500B" w:rsidRPr="1CAE500B">
        <w:rPr>
          <w:rFonts w:ascii="Times New Roman" w:eastAsia="Times New Roman" w:hAnsi="Times New Roman" w:cs="Times New Roman"/>
          <w:sz w:val="26"/>
          <w:szCs w:val="26"/>
        </w:rPr>
        <w:t>26,7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="1CAE500B" w:rsidRPr="1CAE500B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="1CAE500B" w:rsidRPr="1CAE500B">
        <w:rPr>
          <w:rFonts w:ascii="Times New Roman" w:eastAsia="Times New Roman" w:hAnsi="Times New Roman" w:cs="Times New Roman"/>
          <w:sz w:val="26"/>
          <w:szCs w:val="26"/>
        </w:rPr>
        <w:t>forintot tett ki 2025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="1CAE500B" w:rsidRPr="1CAE500B">
        <w:rPr>
          <w:rFonts w:ascii="Times New Roman" w:eastAsia="Times New Roman" w:hAnsi="Times New Roman" w:cs="Times New Roman"/>
          <w:sz w:val="26"/>
          <w:szCs w:val="26"/>
        </w:rPr>
        <w:t>szeptemberéig. Ez az összeg a törvényi előirányzat 84,2%-a</w:t>
      </w:r>
      <w:r w:rsidR="00250E1F">
        <w:rPr>
          <w:rFonts w:ascii="Times New Roman" w:eastAsia="Times New Roman" w:hAnsi="Times New Roman" w:cs="Times New Roman"/>
          <w:sz w:val="26"/>
          <w:szCs w:val="26"/>
        </w:rPr>
        <w:t>,</w:t>
      </w:r>
      <w:r w:rsidR="1CAE500B" w:rsidRPr="1CAE500B">
        <w:rPr>
          <w:rFonts w:ascii="Times New Roman" w:eastAsia="Times New Roman" w:hAnsi="Times New Roman" w:cs="Times New Roman"/>
          <w:sz w:val="26"/>
          <w:szCs w:val="26"/>
        </w:rPr>
        <w:t xml:space="preserve"> és 4,2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="1CAE500B" w:rsidRPr="1CAE500B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="1CAE500B" w:rsidRPr="1CAE500B">
        <w:rPr>
          <w:rFonts w:ascii="Times New Roman" w:eastAsia="Times New Roman" w:hAnsi="Times New Roman" w:cs="Times New Roman"/>
          <w:sz w:val="26"/>
          <w:szCs w:val="26"/>
        </w:rPr>
        <w:t>forinttal haladja meg a 2024. év azonos időszakában keletkezett bevételt</w:t>
      </w:r>
      <w:r w:rsidRPr="7C285CB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A3C580" w14:textId="5B2A89EF" w:rsidR="00C07E8E" w:rsidRPr="00C07E8E" w:rsidRDefault="00C07E8E" w:rsidP="00250E1F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A befizetett társadalombiztosítási járulék 8,1%-át az állami adóhatóság a foglalkoztatási programokkal kapcsolatos elkülönített állami pénzalapnak utalja át. 2025.</w:t>
      </w:r>
      <w:r w:rsidR="00FF7D48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szeptember végéig a </w:t>
      </w:r>
      <w:r w:rsidRPr="00C07E8E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 xml:space="preserve">társadalombiztosítási járulék 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Nemzeti Foglalkoztatási </w:t>
      </w:r>
      <w:r w:rsidRPr="00C07E8E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 xml:space="preserve">Alapot megillető része </w:t>
      </w:r>
      <w:r w:rsidRPr="00C07E8E">
        <w:rPr>
          <w:rFonts w:ascii="Times New Roman" w:eastAsia="Calibri" w:hAnsi="Times New Roman" w:cs="Times New Roman"/>
          <w:bCs/>
          <w:sz w:val="26"/>
          <w:szCs w:val="26"/>
          <w:lang w:eastAsia="hu-HU"/>
        </w:rPr>
        <w:t>324,7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 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forintban teljesült, amely az előző év azonos időszakában befolyt bevételt 26,9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forinttal haladta meg. A bevételnövekedés oka a járulékköteles jövedelmek növekedése.</w:t>
      </w:r>
    </w:p>
    <w:p w14:paraId="37DC887C" w14:textId="16E92918" w:rsidR="00C07E8E" w:rsidRPr="00C07E8E" w:rsidRDefault="00C07E8E" w:rsidP="00250E1F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2025-ben a szociális hozzájárulási adó megfizetett összegének 86,96%-a </w:t>
      </w:r>
      <w:proofErr w:type="spellStart"/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spellEnd"/>
      <w:r w:rsidR="00D41A00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Nyugdíjbiztosítási Alapot illeti meg. A 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szociális hozzájárulási adó Nyugdíjbiztosítási Alapot megillető része </w:t>
      </w:r>
      <w:r w:rsidRPr="00C07E8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2025 első kilenc hónapjában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2162,4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forintban teljesült, amely 153,4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forinttal haladta meg az előző év azonos időszakában befolyt bevételt. A bevétel változása az adóköteles jövedelmek növekedésével és az alapok közötti megoszlási arány változásával magyarázható.</w:t>
      </w:r>
    </w:p>
    <w:p w14:paraId="14944D8E" w14:textId="226CBBC4" w:rsidR="002A41A8" w:rsidRDefault="00C07E8E" w:rsidP="00250E1F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befizetett társadalombiztosítási járulék 54%-át az állami adóhatóság a Nyugdíjbiztosítási Alapnak utalja át. 2025. szeptember végéig a </w:t>
      </w:r>
      <w:r w:rsidRPr="00C07E8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társadalombiztosítási járulék Nyugdíjbiztosítási Alapot megillető része és nyugdíjjárulék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2208,4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forintban teljesült, amely az előző év azonos időszakában befolyt bevételt 180,3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forinttal haladta meg. 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A bevételnövekedés oka a járulékköteles jövedelmek növekedése</w:t>
      </w:r>
      <w:r w:rsidR="716D41F4" w:rsidRPr="716D41F4">
        <w:rPr>
          <w:rFonts w:ascii="Times New Roman" w:eastAsia="Calibri" w:hAnsi="Times New Roman" w:cs="Times New Roman"/>
          <w:sz w:val="26"/>
          <w:szCs w:val="26"/>
          <w:lang w:eastAsia="hu-HU"/>
        </w:rPr>
        <w:t>.</w:t>
      </w:r>
    </w:p>
    <w:p w14:paraId="6512C1A9" w14:textId="3ABCEF0B" w:rsidR="00462EDD" w:rsidRPr="00462EDD" w:rsidRDefault="716D41F4" w:rsidP="00250E1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Nyugdíjbiztosítási Alap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2025. évi költségvetése az ellátási kiadások támogatására 564,5 milliárd forint központi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költségvetési hozzájárulást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tartalmaz</w:t>
      </w:r>
      <w:r w:rsidR="000017B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B9C4A3C" w14:textId="19DB75C2" w:rsidR="00462EDD" w:rsidRPr="00462EDD" w:rsidRDefault="716D41F4" w:rsidP="00250E1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>A központi költségvetés 77,4 milliárd forintot biztosít az Alap részére pénzeszközátadás útján, míg további 487,1 milliárd forintot – a 13. havi nyugdíj és a nyugdíjprémium fedezeteként – címzett támogatás formájában. A 13. havi nyugdíj és a nyugdíjprémium támogatásának előirányzatai év közben előirányzat-módosítás nélkül túlléphetők.</w:t>
      </w:r>
    </w:p>
    <w:p w14:paraId="2CBF9A93" w14:textId="5FEE2BBD" w:rsidR="19667954" w:rsidRDefault="716D41F4" w:rsidP="00250E1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Magyar Államkincstár az ellátási kiadások támogatására a Nyugdíjbiztosítási Alap részére 2025. szeptember végéig 58,1 milliárd forint központi támogatást utalt át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pénzeszköz-átadás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jogcímen, ami 11,</w:t>
      </w:r>
      <w:r w:rsidR="00A069FE">
        <w:rPr>
          <w:rFonts w:ascii="Times New Roman" w:eastAsia="Times New Roman" w:hAnsi="Times New Roman" w:cs="Times New Roman"/>
          <w:sz w:val="26"/>
          <w:szCs w:val="26"/>
        </w:rPr>
        <w:t>7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 milliárd forinttal magasabb az előző év azonos 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lastRenderedPageBreak/>
        <w:t>időszakában nyújtott támogatás összegénél. A pénzeszköz-átadás a Nyugdíjbiztosítási Alap költségvetési egyensúlyának biztosítását szolgálja.</w:t>
      </w:r>
    </w:p>
    <w:p w14:paraId="6BF2F156" w14:textId="4BC83F57" w:rsidR="00A76FE3" w:rsidRDefault="716D41F4" w:rsidP="00250E1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13. havi nyugdíj kifizetésének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támogatására február hónapban 487,1 milliárd forint került átutalásra a Nyugdíjbiztosítási Alap részére, ami 38,1 milliárd forinttal haladja meg az előző év azonos időszakában ugyanezen a jogcímen nyújtott támogatás összegét.</w:t>
      </w:r>
    </w:p>
    <w:p w14:paraId="1E5039D7" w14:textId="717DE2E4" w:rsidR="475F3A1A" w:rsidRDefault="00AB3A4C" w:rsidP="005861A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5762736" wp14:editId="6BA16D31">
            <wp:extent cx="5768032" cy="2479853"/>
            <wp:effectExtent l="0" t="0" r="4445" b="0"/>
            <wp:docPr id="1012984882" name="Kép 1" descr="A képen szöveg, képernyőkép, diagram, kö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84882" name="Kép 1" descr="A képen szöveg, képernyőkép, diagram, kör látható&#10;&#10;Előfordulhat, hogy a mesterséges intelligencia által létrehozott tartalom helytele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3445" cy="249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A07AC" w14:textId="5DFF6857" w:rsidR="00C07E8E" w:rsidRPr="00C07E8E" w:rsidRDefault="00C07E8E" w:rsidP="00A069F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2025-ben a szociális hozzájárulási adó megfizetett összegének 13,04%-a az</w:t>
      </w:r>
      <w:r w:rsidR="000017BD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Egészségbiztosítási Alapot illeti meg. 2025 első kilenc hónapjában a </w:t>
      </w:r>
      <w:r w:rsidRPr="00C07E8E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szociális hozzájárulási adó Egészségbiztosítási Alapot megillető része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324,2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forintban teljesült, amely 79,5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forinttal 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haladta meg az előző év azonos időszakában befolyt bevételt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. 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A bevétel változása az adóköteles jövedelmek növekedésével és az alapok közötti megoszlási arány változásának együttes hatásával magyarázható.</w:t>
      </w:r>
    </w:p>
    <w:p w14:paraId="0BFBC401" w14:textId="560C5878" w:rsidR="002A41A8" w:rsidRDefault="00C07E8E" w:rsidP="00A069FE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A befizetett társadalombiztosítási járulék 37,9%-át az állami adóhatóság az</w:t>
      </w:r>
      <w:r w:rsidR="000017BD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Egészségbiztosítási Alapnak utalja át. 2025. szeptember végéig a</w:t>
      </w:r>
      <w:r w:rsidR="000017BD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C07E8E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társadalombiztosítási járulék Egészségbiztosítási Alapot megillető része és</w:t>
      </w:r>
      <w:r w:rsidR="000017BD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 </w:t>
      </w:r>
      <w:r w:rsidRPr="00C07E8E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egészségbiztosítási járulék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1505,5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forintban teljesült, </w:t>
      </w:r>
      <w:r w:rsidRPr="00C07E8E">
        <w:rPr>
          <w:rFonts w:ascii="Times New Roman" w:eastAsia="Times New Roman" w:hAnsi="Times New Roman" w:cs="Times New Roman"/>
          <w:sz w:val="26"/>
          <w:szCs w:val="26"/>
          <w:lang w:eastAsia="hu-HU"/>
        </w:rPr>
        <w:t>amely az előző év azonos időszakában befolyt bevételt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122,9 milliárd</w:t>
      </w:r>
      <w:r w:rsidRPr="00C07E8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forinttal haladta meg. A</w:t>
      </w:r>
      <w:r w:rsidR="000017BD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C07E8E">
        <w:rPr>
          <w:rFonts w:ascii="Times New Roman" w:eastAsia="Calibri" w:hAnsi="Times New Roman" w:cs="Times New Roman"/>
          <w:sz w:val="26"/>
          <w:szCs w:val="26"/>
          <w:lang w:eastAsia="hu-HU"/>
        </w:rPr>
        <w:t>bevételnövekedés oka a járulékköteles jövedelmek növekedése</w:t>
      </w:r>
      <w:r w:rsidR="716D41F4" w:rsidRPr="716D41F4">
        <w:rPr>
          <w:rFonts w:ascii="Times New Roman" w:eastAsia="Calibri" w:hAnsi="Times New Roman" w:cs="Times New Roman"/>
          <w:sz w:val="26"/>
          <w:szCs w:val="26"/>
          <w:lang w:eastAsia="hu-HU"/>
        </w:rPr>
        <w:t>.</w:t>
      </w:r>
    </w:p>
    <w:p w14:paraId="754C440E" w14:textId="1780886C" w:rsidR="00AB3A4C" w:rsidRDefault="051ACFCD" w:rsidP="00A069FE">
      <w:pPr>
        <w:jc w:val="both"/>
        <w:rPr>
          <w:rFonts w:ascii="Times New Roman" w:hAnsi="Times New Roman" w:cs="Times New Roman"/>
          <w:sz w:val="26"/>
          <w:szCs w:val="26"/>
        </w:rPr>
      </w:pPr>
      <w:r w:rsidRPr="051ACFCD">
        <w:rPr>
          <w:rFonts w:ascii="Times New Roman" w:hAnsi="Times New Roman" w:cs="Times New Roman"/>
          <w:sz w:val="26"/>
          <w:szCs w:val="26"/>
        </w:rPr>
        <w:t xml:space="preserve">Az </w:t>
      </w:r>
      <w:r w:rsidRPr="051ACFCD">
        <w:rPr>
          <w:rFonts w:ascii="Times New Roman" w:hAnsi="Times New Roman" w:cs="Times New Roman"/>
          <w:b/>
          <w:bCs/>
          <w:sz w:val="26"/>
          <w:szCs w:val="26"/>
        </w:rPr>
        <w:t>Egészségbiztosítási Alap költségvetési hozzájárulásai</w:t>
      </w:r>
      <w:r w:rsidRPr="051ACFCD">
        <w:rPr>
          <w:rFonts w:ascii="Times New Roman" w:hAnsi="Times New Roman" w:cs="Times New Roman"/>
          <w:sz w:val="26"/>
          <w:szCs w:val="26"/>
        </w:rPr>
        <w:t xml:space="preserve"> 2025 első kilenc hónapjában összesen 1416,9 milliárd forintot tettek ki, amely 1,4 milliárd forinttal alacsonyabb, mint az előző év azonos időszakában átutalt összeg. 2025</w:t>
      </w:r>
      <w:r w:rsidR="000017BD">
        <w:rPr>
          <w:rFonts w:ascii="Times New Roman" w:hAnsi="Times New Roman" w:cs="Times New Roman"/>
          <w:sz w:val="26"/>
          <w:szCs w:val="26"/>
        </w:rPr>
        <w:t>. </w:t>
      </w:r>
      <w:r w:rsidRPr="051ACFCD">
        <w:rPr>
          <w:rFonts w:ascii="Times New Roman" w:hAnsi="Times New Roman" w:cs="Times New Roman"/>
          <w:sz w:val="26"/>
          <w:szCs w:val="26"/>
        </w:rPr>
        <w:t>szeptember</w:t>
      </w:r>
      <w:r w:rsidR="000017BD">
        <w:rPr>
          <w:rFonts w:ascii="Times New Roman" w:hAnsi="Times New Roman" w:cs="Times New Roman"/>
          <w:sz w:val="26"/>
          <w:szCs w:val="26"/>
        </w:rPr>
        <w:t> </w:t>
      </w:r>
      <w:r w:rsidRPr="051ACFCD">
        <w:rPr>
          <w:rFonts w:ascii="Times New Roman" w:hAnsi="Times New Roman" w:cs="Times New Roman"/>
          <w:sz w:val="26"/>
          <w:szCs w:val="26"/>
        </w:rPr>
        <w:t>végéig az Egészségbiztosítási Alap járulék címen átvett pénzeszközként 519,2 milliárd forint támogatást kapott, szemben a tavalyi év azonos időszakában átutalt 489,7 milliárd forint összeggel. Az alap kiadásainak támogatására szolgáló tervezett pénzeszköz-átvétel és</w:t>
      </w:r>
      <w:r w:rsidR="000017BD">
        <w:rPr>
          <w:rFonts w:ascii="Times New Roman" w:hAnsi="Times New Roman" w:cs="Times New Roman"/>
          <w:sz w:val="26"/>
          <w:szCs w:val="26"/>
        </w:rPr>
        <w:t> </w:t>
      </w:r>
      <w:r w:rsidRPr="051ACFCD">
        <w:rPr>
          <w:rFonts w:ascii="Times New Roman" w:hAnsi="Times New Roman" w:cs="Times New Roman"/>
          <w:sz w:val="26"/>
          <w:szCs w:val="26"/>
        </w:rPr>
        <w:t>az</w:t>
      </w:r>
      <w:r w:rsidR="000017BD">
        <w:rPr>
          <w:rFonts w:ascii="Times New Roman" w:hAnsi="Times New Roman" w:cs="Times New Roman"/>
          <w:sz w:val="26"/>
          <w:szCs w:val="26"/>
        </w:rPr>
        <w:t> </w:t>
      </w:r>
      <w:r w:rsidRPr="051ACFCD">
        <w:rPr>
          <w:rFonts w:ascii="Times New Roman" w:hAnsi="Times New Roman" w:cs="Times New Roman"/>
          <w:sz w:val="26"/>
          <w:szCs w:val="26"/>
        </w:rPr>
        <w:t>egészségügyi feladatok ellátásával kapcsolatos hozzájárulás együttes összege 2025. szeptember végéig 897,7 milliárd forintot tett ki, amely 30,9 milliárd forinttal elmarad a tavalyi év ugyanezen időszakában átutalt összegtől.</w:t>
      </w:r>
    </w:p>
    <w:p w14:paraId="51F08DF7" w14:textId="6FA8B559" w:rsidR="009E34AE" w:rsidRPr="00377D59" w:rsidRDefault="716D41F4" w:rsidP="716D41F4">
      <w:pPr>
        <w:keepNext/>
        <w:numPr>
          <w:ilvl w:val="0"/>
          <w:numId w:val="3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lastRenderedPageBreak/>
        <w:t xml:space="preserve">A főbb kiadások </w:t>
      </w:r>
    </w:p>
    <w:p w14:paraId="7D3725C8" w14:textId="24A35DCB" w:rsidR="003415FE" w:rsidRPr="00AA3374" w:rsidRDefault="003415FE" w:rsidP="003415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központi alrendszer szeptember végi 32</w:t>
      </w:r>
      <w:r w:rsidR="00AA3374"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545,7 milliárd forint összegű kiadásai 2358,7 milliárd forinttal, 7,8%-kal haladták meg az előző év azonos időszaki adatát. </w:t>
      </w:r>
    </w:p>
    <w:p w14:paraId="47B16A75" w14:textId="7055188F" w:rsidR="003415FE" w:rsidRPr="00AA3374" w:rsidRDefault="003415FE" w:rsidP="003415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Magasabban teljesültek az egy évvel korábbihoz képest többek között az állami közlekedési és közüzemi szolgáltatások, a babaváró támogatások, a költségvetési szervek kiadásai, a szakmai fejezeti kezelésű előirányzatok kiadásai, a kamatkiadások és a helyi önkormányzatok támogatásai.</w:t>
      </w:r>
    </w:p>
    <w:p w14:paraId="1660E392" w14:textId="089B8717" w:rsidR="00F46F72" w:rsidRPr="00AA3374" w:rsidRDefault="003415FE" w:rsidP="003415F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Meghaladták az egy évvel korábbi kifizetést a nyugellátásokra és a gyógyító-megelőző ellátásra fordított összegek is. Nyugellátásokra </w:t>
      </w:r>
      <w:r w:rsidR="007D43AE"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és nyugdíjszerű ellátásokra </w:t>
      </w:r>
      <w:r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5</w:t>
      </w:r>
      <w:r w:rsidR="00AA3374"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510,2 </w:t>
      </w:r>
      <w:r w:rsidRPr="00AA337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milliárd forint, míg a gyógyító-megelőző ellátásra 2201,0 milliárd forint került kifizetésre szeptember végéig</w:t>
      </w:r>
      <w:r w:rsidR="051ACFCD" w:rsidRPr="00AA337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1AFDEF8" w14:textId="67937C71" w:rsidR="00C35E13" w:rsidRDefault="003415FE" w:rsidP="003415FE">
      <w:pPr>
        <w:pStyle w:val="NormlWeb"/>
        <w:spacing w:after="0" w:afterAutospacing="0"/>
        <w:jc w:val="center"/>
      </w:pPr>
      <w:r>
        <w:rPr>
          <w:noProof/>
        </w:rPr>
        <w:drawing>
          <wp:inline distT="0" distB="0" distL="0" distR="0" wp14:anchorId="2019F915" wp14:editId="748B563E">
            <wp:extent cx="5940425" cy="2230120"/>
            <wp:effectExtent l="0" t="0" r="3175" b="0"/>
            <wp:docPr id="1617436429" name="Kép 1" descr="A képen diagram, szöveg, képernyőkép, kör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36429" name="Kép 1" descr="A képen diagram, szöveg, képernyőkép, kör látható"/>
                    <pic:cNvPicPr/>
                  </pic:nvPicPr>
                  <pic:blipFill rotWithShape="1">
                    <a:blip r:embed="rId18"/>
                    <a:srcRect b="8201"/>
                    <a:stretch/>
                  </pic:blipFill>
                  <pic:spPr bwMode="auto">
                    <a:xfrm>
                      <a:off x="0" y="0"/>
                      <a:ext cx="5940425" cy="223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5588D" w14:textId="17411AB5" w:rsidR="6D5E2B53" w:rsidRDefault="716D41F4" w:rsidP="003415FE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úthálózat rendelkezésre állási díjak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mérlegsor tartalmazza az M5, M6 autópálya rendelkezésre állási díjak, valamint a gyorsforgalmi úthálózat rendelkezésre állási díj előirányzatok kiadásait, amelynek összege 2025. szeptember végéig 452,3</w:t>
      </w:r>
      <w:r w:rsidR="00D55A7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D55A7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forint volt, ami 153,9</w:t>
      </w:r>
      <w:r w:rsidR="00D55A7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D55A7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forinttal magasabban alakult a 2024. év azonos időszakához képest. </w:t>
      </w:r>
      <w:r w:rsidR="00D55A78" w:rsidRPr="00D55A78">
        <w:rPr>
          <w:rFonts w:ascii="Times New Roman" w:eastAsia="Times New Roman" w:hAnsi="Times New Roman" w:cs="Times New Roman"/>
          <w:sz w:val="26"/>
          <w:szCs w:val="26"/>
        </w:rPr>
        <w:t>Az eltérést egyrészt a gyorsforgalmi úthálózat rendelkezésre állási díjának szerződésből fakadó változása, másrészt egyedi elemként egyes felújítási munkákból és</w:t>
      </w:r>
      <w:r w:rsidR="00F67501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55A78" w:rsidRPr="00D55A78">
        <w:rPr>
          <w:rFonts w:ascii="Times New Roman" w:eastAsia="Times New Roman" w:hAnsi="Times New Roman" w:cs="Times New Roman"/>
          <w:sz w:val="26"/>
          <w:szCs w:val="26"/>
        </w:rPr>
        <w:t>nagykarbantartási munkákból történő kifizetések magyarázzák.</w:t>
      </w:r>
    </w:p>
    <w:p w14:paraId="182A3A7A" w14:textId="58E1FF4F" w:rsidR="1EBF714E" w:rsidRPr="003772C6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közösségi közlekedés költségtérítés és támogatás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7501">
        <w:rPr>
          <w:rFonts w:ascii="Times New Roman" w:eastAsia="Times New Roman" w:hAnsi="Times New Roman" w:cs="Times New Roman"/>
          <w:sz w:val="26"/>
          <w:szCs w:val="26"/>
        </w:rPr>
        <w:t>mérlegsor kiadásai 2025. szeptember végéig 674,1 milliárd forintot tettek ki, amelyből a szociálpolitikai menetdíj támogatás 124,0 milliárd forint. Az összes</w:t>
      </w:r>
      <w:r w:rsidR="00D55A78" w:rsidRPr="00F675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7501">
        <w:rPr>
          <w:rFonts w:ascii="Times New Roman" w:eastAsia="Times New Roman" w:hAnsi="Times New Roman" w:cs="Times New Roman"/>
          <w:sz w:val="26"/>
          <w:szCs w:val="26"/>
        </w:rPr>
        <w:t>kiadás 42,6 milliárd forinttal több, mint a megelőző év azonos időszaki teljesítése, amit részben a kifizetések lehívásának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éven belüli időbeli eltérése, részben az új típusú autóbuszos szolgáltatásnak a korábbiaktól eltérő finanszírozási rendszere okoz.</w:t>
      </w:r>
    </w:p>
    <w:p w14:paraId="3B52873E" w14:textId="39000126" w:rsidR="008D3E76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közüzemi szolgáltatások támogatása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mérlegsor tartalmazza a lakossági energia rezsivédelmi szolgáltatás, a rezsivédelmi készletezési szolgáltatás és a távhőszolgáltatók kompenzációjával kapcsolatos kiadásokat, valamint a Víziközmű-fejlesztési és</w:t>
      </w:r>
      <w:r w:rsidR="00F6750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Ellentételezési Alap kiadásait is. A közüzemi szolgáltatások támogatására fordított kiadások 2025. szeptember végéig 824,3 milliárd forintot tettek ki. A mérlegsor jelenlegi 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lastRenderedPageBreak/>
        <w:t>teljesítése 144,9 milliárd forinttal magasabb, mint a 2024. év azonos időszakában a</w:t>
      </w:r>
      <w:r w:rsidR="00990E4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közüzemi szolgáltatások teljesítésére fordított 679,4 milliárd forint, amely a Víziközmű-fejlesztési és Ellentételezési Alapból a víziközmű-szolgáltatók részére történt megnövekedett kifizetési igényekből adód</w:t>
      </w:r>
      <w:r w:rsidR="00D55A78">
        <w:rPr>
          <w:rFonts w:ascii="Times New Roman" w:eastAsia="Times New Roman" w:hAnsi="Times New Roman" w:cs="Times New Roman"/>
          <w:sz w:val="26"/>
          <w:szCs w:val="26"/>
        </w:rPr>
        <w:t>ott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, valamint a lakossági energia rezsivédelmi szolgáltatás esetében a kifizetések eltérő ütemezéséből fakadt</w:t>
      </w:r>
      <w:r w:rsidR="00D55A7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E44A54" w14:textId="149B4217" w:rsidR="0F03D9E1" w:rsidRDefault="051ACFCD" w:rsidP="051ACFC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Lakástámogatásokra 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fordított kiadások összege szeptember végéig 123,9 milliárd forint volt, mely az előző év azonos időszakához viszonyítva 1,</w:t>
      </w:r>
      <w:r w:rsidR="00D55A7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 milliárd forinttal teljesült alacsonyabban.</w:t>
      </w:r>
    </w:p>
    <w:p w14:paraId="33223970" w14:textId="25DDB887" w:rsidR="0F03D9E1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Nemzeti Család- és Szociálpolitikai Alap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a családi támogatásokat, a korhatár alatti ellátásokat, a jövedelempótló és jövedelemkiegészítő szociális támogatásokat, valamint a különféle jogcímen adott térítéseket tartalmazza. A főbb támogatásokat a következő táblázat részletezi:</w:t>
      </w:r>
    </w:p>
    <w:p w14:paraId="46398944" w14:textId="2D482933" w:rsidR="00621840" w:rsidRPr="00B32682" w:rsidRDefault="716D41F4" w:rsidP="716D41F4">
      <w:pPr>
        <w:spacing w:after="0"/>
        <w:jc w:val="center"/>
        <w:rPr>
          <w:rFonts w:ascii="Times New Roman" w:eastAsia="Times New Roman" w:hAnsi="Times New Roman" w:cs="Times New Roman"/>
        </w:rPr>
      </w:pPr>
      <w:r w:rsidRPr="716D41F4">
        <w:rPr>
          <w:rFonts w:ascii="Times New Roman" w:hAnsi="Times New Roman" w:cs="Times New Roman"/>
          <w:b/>
          <w:bCs/>
          <w:color w:val="000000" w:themeColor="text1"/>
        </w:rPr>
        <w:t>A Nemzeti Család- és Szociálpolitikai Alap kiadásainak alakulása (milliárd forint)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134"/>
        <w:gridCol w:w="1134"/>
        <w:gridCol w:w="850"/>
        <w:gridCol w:w="709"/>
      </w:tblGrid>
      <w:tr w:rsidR="006068B4" w:rsidRPr="00B32682" w14:paraId="2A7C74BD" w14:textId="77777777" w:rsidTr="051ACFCD">
        <w:trPr>
          <w:trHeight w:hRule="exact" w:val="284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FCBDC" w14:textId="77777777" w:rsidR="006068B4" w:rsidRPr="00B32682" w:rsidRDefault="006068B4" w:rsidP="000C11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81A16" w:rsidRPr="006068B4" w14:paraId="485D9574" w14:textId="77777777" w:rsidTr="051ACFCD">
        <w:trPr>
          <w:trHeight w:hRule="exact" w:val="284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3974AE3" w14:textId="77777777" w:rsidR="00081A16" w:rsidRPr="00DD7FD1" w:rsidRDefault="716D41F4" w:rsidP="716D4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Megnevezés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119955B" w14:textId="30BE9847" w:rsidR="00081A16" w:rsidRPr="00DD7FD1" w:rsidRDefault="565C7792" w:rsidP="565C7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565C779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2024. </w:t>
            </w:r>
          </w:p>
          <w:p w14:paraId="5E208842" w14:textId="46188445" w:rsidR="00081A16" w:rsidRPr="00DD7FD1" w:rsidRDefault="051ACFCD" w:rsidP="051AC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51ACFC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I-IX. hó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515045" w14:textId="76BFE4BD" w:rsidR="00081A16" w:rsidRPr="00DD7FD1" w:rsidRDefault="565C7792" w:rsidP="565C7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565C779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2025. </w:t>
            </w:r>
          </w:p>
          <w:p w14:paraId="211822BF" w14:textId="06AA1463" w:rsidR="00081A16" w:rsidRPr="00DD7FD1" w:rsidRDefault="051ACFCD" w:rsidP="051AC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51ACFC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I-IX. hó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35F9B9E7" w14:textId="77777777" w:rsidR="00081A16" w:rsidRPr="00DD7FD1" w:rsidRDefault="716D41F4" w:rsidP="716D41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Eltérés</w:t>
            </w:r>
          </w:p>
        </w:tc>
      </w:tr>
      <w:tr w:rsidR="006068B4" w:rsidRPr="006068B4" w14:paraId="2BEB1728" w14:textId="77777777" w:rsidTr="051ACFCD">
        <w:trPr>
          <w:trHeight w:hRule="exact" w:val="569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3B685E" w14:textId="77777777" w:rsidR="006068B4" w:rsidRPr="00DD7FD1" w:rsidRDefault="006068B4" w:rsidP="000C110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1FC734" w14:textId="77777777" w:rsidR="006068B4" w:rsidRPr="00DD7FD1" w:rsidRDefault="006068B4" w:rsidP="000C110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9BC54" w14:textId="77777777" w:rsidR="006068B4" w:rsidRPr="00DD7FD1" w:rsidRDefault="006068B4" w:rsidP="000C110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12AC354" w14:textId="77777777" w:rsidR="006068B4" w:rsidRPr="00DD7FD1" w:rsidRDefault="716D41F4" w:rsidP="716D41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Mrd Ft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09414B4" w14:textId="77777777" w:rsidR="006068B4" w:rsidRPr="00DD7FD1" w:rsidRDefault="716D41F4" w:rsidP="716D41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</w:t>
            </w:r>
          </w:p>
        </w:tc>
      </w:tr>
      <w:tr w:rsidR="00DA488F" w:rsidRPr="006068B4" w14:paraId="49EB33A2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2FB2" w14:textId="77777777" w:rsidR="00DA488F" w:rsidRPr="006068B4" w:rsidRDefault="716D41F4" w:rsidP="716D41F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Családi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6BB85" w14:textId="50BF8D35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284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284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4C0E6" w14:textId="77B06B83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8FA78" w14:textId="47193727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D88F1" w14:textId="42C60A7A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95,1</w:t>
            </w:r>
          </w:p>
        </w:tc>
      </w:tr>
      <w:tr w:rsidR="00DA488F" w:rsidRPr="006068B4" w14:paraId="18F11EAE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9C86" w14:textId="77777777" w:rsidR="00DA488F" w:rsidRPr="006068B4" w:rsidRDefault="716D41F4" w:rsidP="716D41F4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Ebből: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9B63E" w14:textId="38F34D08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14223" w14:textId="68DF0F09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31BD9" w14:textId="5050B205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0134C" w14:textId="42CA5D48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88F" w:rsidRPr="006068B4" w14:paraId="177E3B96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CB68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családi pótlék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3896" w14:textId="3528FCC2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229,3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1AA3C" w14:textId="397CDAE8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227,1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C8E2D" w14:textId="4C59EDBA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07AD" w14:textId="2E2E810B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DA488F" w:rsidRPr="006068B4" w14:paraId="750E94DE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A4C2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anyasági támogatás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D9A51" w14:textId="00B3BF0D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E839" w14:textId="70F950D9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AA189" w14:textId="3356B002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3BB8B" w14:textId="73FEAA72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</w:tr>
      <w:tr w:rsidR="00DA488F" w:rsidRPr="006068B4" w14:paraId="723C4BB5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C87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gyermekgondozást segítő ellátás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BD5D3" w14:textId="61D836D5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6F73D" w14:textId="5C7C99F6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7B51A" w14:textId="6D9E43E6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B8D65" w14:textId="3AA480FB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DA488F" w:rsidRPr="006068B4" w14:paraId="4C1A9EFC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4DCD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gyermeknevelési támogatás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26C72" w14:textId="553E06A8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0304" w14:textId="3B7C861E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93BB" w14:textId="5440D059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F609F" w14:textId="5E09724C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</w:tr>
      <w:tr w:rsidR="00DA488F" w:rsidRPr="006068B4" w14:paraId="49AE6306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00B1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gyermekek születésével kapcsolatos szabadság megtérítése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1434B" w14:textId="2D900EB2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F688A" w14:textId="281C34D7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A5D3B" w14:textId="15066C9F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9E3D" w14:textId="379BFE57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</w:tr>
      <w:tr w:rsidR="00DA488F" w:rsidRPr="006068B4" w14:paraId="31537421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C75A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életkezdési támogatás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1B04B" w14:textId="2720D99A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51CF7" w14:textId="1520D954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502FA" w14:textId="2F771087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-12,8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00317" w14:textId="4D41A1C0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</w:tr>
      <w:tr w:rsidR="00DA488F" w:rsidRPr="006068B4" w14:paraId="7D88A7FB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E9AE" w14:textId="77777777" w:rsidR="00DA488F" w:rsidRPr="006068B4" w:rsidRDefault="716D41F4" w:rsidP="716D41F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Korhatár alatti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3B44A" w14:textId="4F235B30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8734A" w14:textId="4B65DC59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BDA2F" w14:textId="1BDBC41C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4A63" w14:textId="72CF0923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96,1</w:t>
            </w:r>
          </w:p>
        </w:tc>
      </w:tr>
      <w:tr w:rsidR="00DA488F" w:rsidRPr="006068B4" w14:paraId="2D32D206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3739" w14:textId="77777777" w:rsidR="00DA488F" w:rsidRPr="006068B4" w:rsidRDefault="716D41F4" w:rsidP="716D41F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Jövedelempótló és jövedelemkiegészítő szociális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8D68" w14:textId="48019635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D8076" w14:textId="25BDB5A8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5F2C2" w14:textId="35D10726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E9F51" w14:textId="387BCA19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108,8</w:t>
            </w:r>
          </w:p>
        </w:tc>
      </w:tr>
      <w:tr w:rsidR="00DA488F" w:rsidRPr="006068B4" w14:paraId="5788F37E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03BA" w14:textId="77777777" w:rsidR="00DA488F" w:rsidRPr="006068B4" w:rsidRDefault="716D41F4" w:rsidP="716D41F4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Ebből: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BBE5A" w14:textId="2B3F6537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25CFD" w14:textId="3A1AADC5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604AB" w14:textId="2C8940A6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D4C8" w14:textId="2881F13B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488F" w:rsidRPr="006068B4" w14:paraId="2B9D2C3D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05E9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Jövedelempótló és jövedelemkiegészítő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98D04" w14:textId="684B4E9F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3B656" w14:textId="5E35EF37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6B997" w14:textId="61B6BC53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A01B" w14:textId="3F1075FB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DA488F" w:rsidRPr="006068B4" w14:paraId="65888AD0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E086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Járási szociális feladatok ellátása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04FA4" w14:textId="71403352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C340C" w14:textId="466EEB1F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598A8" w14:textId="35F48665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E5F3D" w14:textId="4E0C90EC" w:rsidR="00DA488F" w:rsidRPr="00DA488F" w:rsidRDefault="565C7792" w:rsidP="565C779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565C7792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</w:tr>
      <w:tr w:rsidR="00DA488F" w:rsidRPr="006068B4" w14:paraId="030B4DBA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3DBB" w14:textId="77777777" w:rsidR="00DA488F" w:rsidRPr="006068B4" w:rsidRDefault="716D41F4" w:rsidP="716D41F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Különféle jogcímen adott térítések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7058E" w14:textId="701E7693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CCB29" w14:textId="074B8A86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AD509" w14:textId="5DD86F25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BB5D3" w14:textId="5968E95B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96,6</w:t>
            </w:r>
          </w:p>
        </w:tc>
      </w:tr>
      <w:tr w:rsidR="00DA488F" w:rsidRPr="006068B4" w14:paraId="217EDD81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8587" w14:textId="77777777" w:rsidR="00DA488F" w:rsidRPr="006068B4" w:rsidRDefault="716D41F4" w:rsidP="716D41F4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Ebből: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C6549" w14:textId="55BA2136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678CF" w14:textId="6098F400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58E7D" w14:textId="66D5869B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843D4" w14:textId="2899C3A6" w:rsidR="00DA488F" w:rsidRPr="00DA488F" w:rsidRDefault="00DA488F" w:rsidP="00DA488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88F" w:rsidRPr="006068B4" w14:paraId="166A0870" w14:textId="77777777" w:rsidTr="051ACFCD">
        <w:trPr>
          <w:trHeight w:hRule="exact"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6E44" w14:textId="77777777" w:rsidR="00DA488F" w:rsidRPr="006068B4" w:rsidRDefault="716D41F4" w:rsidP="716D41F4">
            <w:pPr>
              <w:spacing w:line="240" w:lineRule="auto"/>
              <w:ind w:firstLineChars="320" w:firstLine="64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közgyógyellátás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6D65C" w14:textId="7DD09B4C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A4EFA" w14:textId="1B81203A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4B891" w14:textId="5F40D106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97428" w14:textId="3EBED88C" w:rsidR="00DA488F" w:rsidRPr="00DA488F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</w:tr>
      <w:tr w:rsidR="00DA488F" w:rsidRPr="006068B4" w14:paraId="393A56CC" w14:textId="77777777" w:rsidTr="051ACFCD">
        <w:trPr>
          <w:trHeight w:hRule="exact" w:val="2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655C" w14:textId="70EB1855" w:rsidR="00DA488F" w:rsidRPr="005710F5" w:rsidRDefault="716D41F4" w:rsidP="716D41F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16D41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Összesen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6EDD" w14:textId="71DE1B64" w:rsidR="00DA488F" w:rsidRPr="005710F5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4D241" w14:textId="638CDA3A" w:rsidR="00DA488F" w:rsidRPr="005710F5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2C368" w14:textId="609E576F" w:rsidR="00DA488F" w:rsidRPr="005710F5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F44AB" w14:textId="69900739" w:rsidR="00DA488F" w:rsidRPr="005710F5" w:rsidRDefault="051ACFCD" w:rsidP="051ACFC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51AC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99,0</w:t>
            </w:r>
          </w:p>
        </w:tc>
      </w:tr>
    </w:tbl>
    <w:p w14:paraId="08F8FA86" w14:textId="6696772D" w:rsidR="051ACFCD" w:rsidRDefault="051ACFCD" w:rsidP="00284631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</w:rPr>
        <w:t>családi támogatásokra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2025 első kilenc hónapjában összesen 294,6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 forintot fizettek ki, amely 15,2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 forinttal volt alacsonyabb az előző évi teljesítésnél. Az</w:t>
      </w:r>
      <w:r w:rsidR="003415F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eltérés elsősorban a Családi támogatások 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alcímhez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tartozó Életkezdési támogatás előirányzat kiadásai csökkenésének következménye, ami 12,8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 forinttal volt alacsonyabb előző év azonos időszakához képest. Ennek oka, hogy 2025-ben az</w:t>
      </w:r>
      <w:r w:rsidR="003415F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életkezdési letéti számlákon nyilvántartott követelés összegére tekintettel fizetett kamat mértéke 3,7% volt (a 2024. évi infláció mértékének megfelelően), ami jelentősen alacsonyabb a 2024-ben fizetett kamat mértékénél (17,6%).</w:t>
      </w:r>
    </w:p>
    <w:p w14:paraId="104E1353" w14:textId="77777777" w:rsidR="004C6BF5" w:rsidRDefault="004C6BF5" w:rsidP="00284631">
      <w:pPr>
        <w:spacing w:before="240"/>
        <w:jc w:val="both"/>
      </w:pPr>
    </w:p>
    <w:p w14:paraId="66EEAF8E" w14:textId="6D30AB15" w:rsidR="051ACFCD" w:rsidRDefault="051ACFCD" w:rsidP="00284631">
      <w:pPr>
        <w:jc w:val="both"/>
      </w:pPr>
      <w:r w:rsidRPr="051ACFC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 </w:t>
      </w: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</w:rPr>
        <w:t>korhatár alatti ellátások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esetében a kiadás 3,8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 forinttal alacsonyabb volt az</w:t>
      </w:r>
      <w:r w:rsidR="00B3469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előző év azonos időszakához képest. A csökkenést az okozza, hogy a jogosultak elérik az öregségi nyugdíjkorhatárt, és nyugellátásra válnak jogosulttá, létszámuk folyamatosan csökken. Januárban sor került az ellátások 3,2%-os emelésére is, valamint a 13. havi nyugdíjhoz hasonlóan februárban a korhatár előtti ellátásban részesülő személyek is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részesültek 13. havi ellátásban.</w:t>
      </w:r>
    </w:p>
    <w:p w14:paraId="23F838AB" w14:textId="26939BA6" w:rsidR="051ACFCD" w:rsidRDefault="051ACFCD" w:rsidP="00284631">
      <w:pPr>
        <w:jc w:val="both"/>
      </w:pP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2025 szeptemberéig a </w:t>
      </w:r>
      <w:r w:rsidRPr="00284631">
        <w:rPr>
          <w:rFonts w:ascii="Times New Roman" w:eastAsia="Times New Roman" w:hAnsi="Times New Roman" w:cs="Times New Roman"/>
          <w:b/>
          <w:bCs/>
          <w:sz w:val="26"/>
          <w:szCs w:val="26"/>
        </w:rPr>
        <w:t>jövedelempótló és jövedelemkiegészítő szociális támogatásokra biztosított kiadásokon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belül a </w:t>
      </w:r>
      <w:r w:rsidRPr="00284631">
        <w:rPr>
          <w:rFonts w:ascii="Times New Roman" w:eastAsia="Times New Roman" w:hAnsi="Times New Roman" w:cs="Times New Roman"/>
          <w:sz w:val="26"/>
          <w:szCs w:val="26"/>
        </w:rPr>
        <w:t>járási szociális feladatok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ellátására (gyermekek otthongondozási díja, ápolási díj, időskorúak járadéka, foglalkoztatást helyettesítő támogatás, egészségkárosodási és gyermekfelügyeleti támogatás) 114,5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forintot fordítottak, mely 13,8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forinttal magasabb az előző évi adatnál. A növekedést elsődlegesen az okozza, hogy 2025.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januártól a gyermekek otthongondozási díjának összege a minimálbér emelkedése miatt (266 800 forintról 290 800 forintra) emelkedett, az ápolási díj összege pedig 3,2%-kal nőtt, és folyamatosan emelkedik a gyermekek otthongondozási díjára jogosultak létszáma is.</w:t>
      </w:r>
    </w:p>
    <w:p w14:paraId="62B38091" w14:textId="6F24148D" w:rsidR="051ACFCD" w:rsidRDefault="051ACFCD" w:rsidP="00284631">
      <w:pPr>
        <w:jc w:val="both"/>
      </w:pP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8D7836">
        <w:rPr>
          <w:rFonts w:ascii="Times New Roman" w:eastAsia="Times New Roman" w:hAnsi="Times New Roman" w:cs="Times New Roman"/>
          <w:sz w:val="26"/>
          <w:szCs w:val="26"/>
        </w:rPr>
        <w:t>Jövedelempótló és jövedelemkiegészítő ellátások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előirányzat tartalmazza a</w:t>
      </w:r>
      <w:r w:rsidR="00B3469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fogyatékossági támogatás, a vakok személyi járadéka, az átmeneti bányászjáradék és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számos további, jellemzően kifutó jellegű ellátás (pl. mezőgazdasági járadék, politikai rehabilitációs és más nyugdíj-kiegészítések, házastársi pótlék) forrását. A jövedelempótló és jövedelemkiegészítő ellátásokra 60,7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FF7D4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forintot fizettek ki, mely az előző évi kifizetésnél 0,4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forinttal magasabb. A kiadások növekedését egyes ellátások januárban végrehajtott 3,2%-os emelésének, valamint a 2025.</w:t>
      </w:r>
      <w:r w:rsidR="0031139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februárjában kifizetett 13.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havi ellátásnak a hatása okozza, amit a jogosultak létszámának csökkenése részben ellensúlyoz.</w:t>
      </w:r>
    </w:p>
    <w:p w14:paraId="15030526" w14:textId="58B064F6" w:rsidR="051ACFCD" w:rsidRDefault="051ACFCD" w:rsidP="00284631">
      <w:pPr>
        <w:jc w:val="both"/>
      </w:pP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</w:rPr>
        <w:t>különféle jogcímen adott térítések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D81D3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szeptemberi összege 0,</w:t>
      </w:r>
      <w:r w:rsidR="00284631">
        <w:rPr>
          <w:rFonts w:ascii="Times New Roman" w:eastAsia="Times New Roman" w:hAnsi="Times New Roman" w:cs="Times New Roman"/>
          <w:sz w:val="26"/>
          <w:szCs w:val="26"/>
        </w:rPr>
        <w:t>6 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milliárd forinttal alacsonyabb volt, mint az előző év azonos időszakában. A térítéseken belül a legnagyobb összeget, 11,0 milliárd forintot a közgyógyellátásra fizették ki.</w:t>
      </w:r>
    </w:p>
    <w:p w14:paraId="2BBDBEB3" w14:textId="7041FBE4" w:rsidR="0032261D" w:rsidRPr="005C3ECD" w:rsidRDefault="051ACFCD" w:rsidP="00284631">
      <w:pPr>
        <w:pStyle w:val="NormlWeb"/>
        <w:spacing w:before="0" w:beforeAutospacing="0" w:after="160" w:afterAutospacing="0" w:line="259" w:lineRule="auto"/>
        <w:jc w:val="both"/>
        <w:rPr>
          <w:sz w:val="26"/>
          <w:szCs w:val="26"/>
        </w:rPr>
      </w:pPr>
      <w:r w:rsidRPr="051ACFCD">
        <w:rPr>
          <w:sz w:val="26"/>
          <w:szCs w:val="26"/>
        </w:rPr>
        <w:t xml:space="preserve">A </w:t>
      </w:r>
      <w:r w:rsidRPr="051ACFCD">
        <w:rPr>
          <w:b/>
          <w:bCs/>
          <w:sz w:val="26"/>
          <w:szCs w:val="26"/>
        </w:rPr>
        <w:t>babaváró támogatásokra</w:t>
      </w:r>
      <w:r w:rsidRPr="051ACFCD">
        <w:rPr>
          <w:sz w:val="26"/>
          <w:szCs w:val="26"/>
        </w:rPr>
        <w:t xml:space="preserve"> fordított kiadások összege szeptember végéig 176,5 milliárd forintot tett ki, amely a törvényi előirányzat 70,2%-ának felel meg, és</w:t>
      </w:r>
      <w:r w:rsidR="00EA3422">
        <w:rPr>
          <w:sz w:val="26"/>
          <w:szCs w:val="26"/>
        </w:rPr>
        <w:t> </w:t>
      </w:r>
      <w:r w:rsidRPr="051ACFCD">
        <w:rPr>
          <w:sz w:val="26"/>
          <w:szCs w:val="26"/>
        </w:rPr>
        <w:t>a 2024. év azonos időszakához viszonyítva 22,5 milliárd forinttal teljesült magasabban.</w:t>
      </w:r>
    </w:p>
    <w:p w14:paraId="75EFF307" w14:textId="41E11988" w:rsidR="00B3244C" w:rsidRDefault="716D41F4" w:rsidP="00284631">
      <w:pPr>
        <w:pStyle w:val="NormlWeb"/>
        <w:spacing w:before="0" w:beforeAutospacing="0" w:after="160" w:afterAutospacing="0" w:line="259" w:lineRule="auto"/>
        <w:jc w:val="both"/>
        <w:rPr>
          <w:sz w:val="26"/>
          <w:szCs w:val="26"/>
        </w:rPr>
      </w:pPr>
      <w:bookmarkStart w:id="0" w:name="_Hlk202786542"/>
      <w:r w:rsidRPr="716D41F4">
        <w:rPr>
          <w:sz w:val="26"/>
          <w:szCs w:val="26"/>
        </w:rPr>
        <w:t xml:space="preserve">A </w:t>
      </w:r>
      <w:r w:rsidRPr="716D41F4">
        <w:rPr>
          <w:b/>
          <w:bCs/>
          <w:sz w:val="26"/>
          <w:szCs w:val="26"/>
        </w:rPr>
        <w:t>helyi önkormányzatok</w:t>
      </w:r>
      <w:r w:rsidRPr="716D41F4">
        <w:rPr>
          <w:sz w:val="26"/>
          <w:szCs w:val="26"/>
        </w:rPr>
        <w:t xml:space="preserve"> 2025. évi feladataihoz a hatályos költségvetési törvény alapján 1305,7 milliárd forint állami támogatás került megállapításra. A szeptember havi tényadat alapján 1029,2 milliárd forint kifizetés történt, ami az eredeti előirányzat 78,8%-át teszi ki. Az előző év azonos időszakához viszonyított 95,2 milliárd forint (10,2%-os) növekedés főként a tanárok és polgármesterek béremeléséből, valamint a szociális ágazat idei előirányzatának törvényi emeléséből fakad. A jelentősebb tételek alakulását a következő táblázat mutatja:</w:t>
      </w:r>
      <w:r w:rsidR="00B3244C">
        <w:rPr>
          <w:sz w:val="26"/>
          <w:szCs w:val="26"/>
        </w:rPr>
        <w:br w:type="page"/>
      </w:r>
    </w:p>
    <w:p w14:paraId="2723D8B3" w14:textId="34B7D713" w:rsidR="00C24948" w:rsidRPr="00B32682" w:rsidRDefault="716D41F4" w:rsidP="716D41F4">
      <w:pPr>
        <w:pStyle w:val="NormlWeb"/>
        <w:spacing w:before="0" w:beforeAutospacing="0" w:after="160" w:afterAutospacing="0" w:line="259" w:lineRule="auto"/>
        <w:jc w:val="center"/>
      </w:pPr>
      <w:r w:rsidRPr="716D41F4">
        <w:rPr>
          <w:b/>
          <w:bCs/>
        </w:rPr>
        <w:lastRenderedPageBreak/>
        <w:t>A helyi önkormányzatok támogatásának alakulása (milliárd forint)</w:t>
      </w:r>
    </w:p>
    <w:tbl>
      <w:tblPr>
        <w:tblpPr w:leftFromText="141" w:rightFromText="141" w:vertAnchor="text" w:horzAnchor="margin" w:tblpY="20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134"/>
        <w:gridCol w:w="1134"/>
        <w:gridCol w:w="850"/>
        <w:gridCol w:w="771"/>
      </w:tblGrid>
      <w:tr w:rsidR="00081A16" w:rsidRPr="00377D59" w14:paraId="6741B982" w14:textId="77777777" w:rsidTr="565C7792">
        <w:trPr>
          <w:trHeight w:val="340"/>
        </w:trPr>
        <w:tc>
          <w:tcPr>
            <w:tcW w:w="5382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07514BAA" w14:textId="77777777" w:rsidR="00081A16" w:rsidRPr="00EB7ACF" w:rsidRDefault="716D41F4" w:rsidP="716D41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  <w:hideMark/>
          </w:tcPr>
          <w:p w14:paraId="5DC080D6" w14:textId="1D23B95F" w:rsidR="00081A16" w:rsidRPr="00EB7ACF" w:rsidRDefault="716D41F4" w:rsidP="716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2024. </w:t>
            </w:r>
            <w:r w:rsidR="6AC31E23" w:rsidRPr="00EB7ACF">
              <w:br/>
            </w:r>
            <w:r w:rsidRPr="00EB7ACF">
              <w:rPr>
                <w:rFonts w:ascii="Times New Roman" w:hAnsi="Times New Roman" w:cs="Times New Roman"/>
                <w:b/>
                <w:bCs/>
              </w:rPr>
              <w:t>I-IX. hó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  <w:hideMark/>
          </w:tcPr>
          <w:p w14:paraId="626AC8BC" w14:textId="6C097CB9" w:rsidR="00081A16" w:rsidRPr="00EB7ACF" w:rsidRDefault="716D41F4" w:rsidP="716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2025. </w:t>
            </w:r>
            <w:r w:rsidR="6AC31E23" w:rsidRPr="00EB7ACF">
              <w:br/>
            </w:r>
            <w:r w:rsidRPr="00EB7ACF">
              <w:rPr>
                <w:rFonts w:ascii="Times New Roman" w:hAnsi="Times New Roman" w:cs="Times New Roman"/>
                <w:b/>
                <w:bCs/>
              </w:rPr>
              <w:t>I-IX. hó</w:t>
            </w:r>
          </w:p>
        </w:tc>
        <w:tc>
          <w:tcPr>
            <w:tcW w:w="1621" w:type="dxa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35A3C823" w14:textId="77777777" w:rsidR="00081A16" w:rsidRPr="00EB7ACF" w:rsidRDefault="716D41F4" w:rsidP="716D41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Eltérés</w:t>
            </w:r>
          </w:p>
        </w:tc>
      </w:tr>
      <w:tr w:rsidR="00C24948" w:rsidRPr="00377D59" w14:paraId="2DD9A798" w14:textId="77777777" w:rsidTr="565C7792">
        <w:trPr>
          <w:trHeight w:val="340"/>
        </w:trPr>
        <w:tc>
          <w:tcPr>
            <w:tcW w:w="5382" w:type="dxa"/>
            <w:vMerge/>
            <w:shd w:val="clear" w:color="auto" w:fill="BDD6EE" w:themeFill="accent1" w:themeFillTint="66"/>
            <w:vAlign w:val="center"/>
            <w:hideMark/>
          </w:tcPr>
          <w:p w14:paraId="5F76A56A" w14:textId="77777777" w:rsidR="00C24948" w:rsidRPr="00EB7ACF" w:rsidRDefault="00C24948" w:rsidP="00C2494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  <w:vAlign w:val="center"/>
            <w:hideMark/>
          </w:tcPr>
          <w:p w14:paraId="65B4B0A4" w14:textId="77777777" w:rsidR="00C24948" w:rsidRPr="00EB7ACF" w:rsidRDefault="00C24948" w:rsidP="00C2494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  <w:vAlign w:val="center"/>
            <w:hideMark/>
          </w:tcPr>
          <w:p w14:paraId="5FE97B50" w14:textId="77777777" w:rsidR="00C24948" w:rsidRPr="00EB7ACF" w:rsidRDefault="00C24948" w:rsidP="00C2494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850" w:type="dxa"/>
            <w:shd w:val="clear" w:color="auto" w:fill="BDD6EE" w:themeFill="accent1" w:themeFillTint="66"/>
            <w:noWrap/>
            <w:vAlign w:val="center"/>
            <w:hideMark/>
          </w:tcPr>
          <w:p w14:paraId="1B2C8FF2" w14:textId="77777777" w:rsidR="00C24948" w:rsidRPr="00EB7ACF" w:rsidRDefault="716D41F4" w:rsidP="716D41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Mrd Ft</w:t>
            </w:r>
          </w:p>
        </w:tc>
        <w:tc>
          <w:tcPr>
            <w:tcW w:w="771" w:type="dxa"/>
            <w:shd w:val="clear" w:color="auto" w:fill="BDD6EE" w:themeFill="accent1" w:themeFillTint="66"/>
            <w:noWrap/>
            <w:vAlign w:val="center"/>
            <w:hideMark/>
          </w:tcPr>
          <w:p w14:paraId="179AEF43" w14:textId="77777777" w:rsidR="00C24948" w:rsidRPr="00EB7ACF" w:rsidRDefault="716D41F4" w:rsidP="716D41F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%</w:t>
            </w:r>
          </w:p>
        </w:tc>
      </w:tr>
      <w:tr w:rsidR="00DF745B" w:rsidRPr="00377D59" w14:paraId="5CF52B9C" w14:textId="77777777" w:rsidTr="00B50B25">
        <w:trPr>
          <w:trHeight w:val="510"/>
        </w:trPr>
        <w:tc>
          <w:tcPr>
            <w:tcW w:w="5382" w:type="dxa"/>
            <w:vAlign w:val="center"/>
            <w:hideMark/>
          </w:tcPr>
          <w:p w14:paraId="11FF4C49" w14:textId="77777777" w:rsidR="00DF745B" w:rsidRPr="00EB7ACF" w:rsidRDefault="716D41F4" w:rsidP="716D41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134" w:type="dxa"/>
            <w:noWrap/>
            <w:vAlign w:val="center"/>
          </w:tcPr>
          <w:p w14:paraId="0A1E4CBD" w14:textId="0E028BBD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848,3</w:t>
            </w:r>
          </w:p>
        </w:tc>
        <w:tc>
          <w:tcPr>
            <w:tcW w:w="1134" w:type="dxa"/>
            <w:noWrap/>
            <w:vAlign w:val="center"/>
          </w:tcPr>
          <w:p w14:paraId="47729553" w14:textId="27F0E511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915,0</w:t>
            </w:r>
          </w:p>
        </w:tc>
        <w:tc>
          <w:tcPr>
            <w:tcW w:w="850" w:type="dxa"/>
            <w:noWrap/>
            <w:vAlign w:val="center"/>
          </w:tcPr>
          <w:p w14:paraId="11D76081" w14:textId="45E7C9B1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66,7</w:t>
            </w:r>
          </w:p>
        </w:tc>
        <w:tc>
          <w:tcPr>
            <w:tcW w:w="771" w:type="dxa"/>
            <w:noWrap/>
            <w:vAlign w:val="center"/>
          </w:tcPr>
          <w:p w14:paraId="0E9DF60E" w14:textId="474D26EB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107,9</w:t>
            </w:r>
          </w:p>
        </w:tc>
      </w:tr>
      <w:tr w:rsidR="00DF745B" w:rsidRPr="00377D59" w14:paraId="66D88640" w14:textId="77777777" w:rsidTr="00B50B25">
        <w:trPr>
          <w:trHeight w:val="340"/>
        </w:trPr>
        <w:tc>
          <w:tcPr>
            <w:tcW w:w="5382" w:type="dxa"/>
            <w:vAlign w:val="center"/>
            <w:hideMark/>
          </w:tcPr>
          <w:p w14:paraId="4496E62C" w14:textId="77777777" w:rsidR="00DF745B" w:rsidRPr="00EB7ACF" w:rsidRDefault="716D41F4" w:rsidP="716D41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helyi önkormányzatok működésének általános támogatása</w:t>
            </w:r>
          </w:p>
        </w:tc>
        <w:tc>
          <w:tcPr>
            <w:tcW w:w="1134" w:type="dxa"/>
            <w:noWrap/>
            <w:vAlign w:val="center"/>
          </w:tcPr>
          <w:p w14:paraId="6C091267" w14:textId="67FCD46F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237,8</w:t>
            </w:r>
          </w:p>
        </w:tc>
        <w:tc>
          <w:tcPr>
            <w:tcW w:w="1134" w:type="dxa"/>
            <w:noWrap/>
            <w:vAlign w:val="center"/>
          </w:tcPr>
          <w:p w14:paraId="3313F341" w14:textId="5392EAC0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241,2</w:t>
            </w:r>
          </w:p>
        </w:tc>
        <w:tc>
          <w:tcPr>
            <w:tcW w:w="850" w:type="dxa"/>
            <w:noWrap/>
            <w:vAlign w:val="center"/>
          </w:tcPr>
          <w:p w14:paraId="1F67C594" w14:textId="53BE1B18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3,4</w:t>
            </w:r>
          </w:p>
        </w:tc>
        <w:tc>
          <w:tcPr>
            <w:tcW w:w="771" w:type="dxa"/>
            <w:noWrap/>
            <w:vAlign w:val="center"/>
          </w:tcPr>
          <w:p w14:paraId="6B1384BF" w14:textId="2050DB97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101,4</w:t>
            </w:r>
          </w:p>
        </w:tc>
      </w:tr>
      <w:tr w:rsidR="00DF745B" w:rsidRPr="00377D59" w14:paraId="644FC967" w14:textId="77777777" w:rsidTr="00B50B25">
        <w:trPr>
          <w:trHeight w:val="510"/>
        </w:trPr>
        <w:tc>
          <w:tcPr>
            <w:tcW w:w="5382" w:type="dxa"/>
            <w:vAlign w:val="center"/>
            <w:hideMark/>
          </w:tcPr>
          <w:p w14:paraId="1BA330A0" w14:textId="77777777" w:rsidR="00DF745B" w:rsidRPr="00EB7ACF" w:rsidRDefault="716D41F4" w:rsidP="716D41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1134" w:type="dxa"/>
            <w:noWrap/>
            <w:vAlign w:val="center"/>
          </w:tcPr>
          <w:p w14:paraId="5E8D28C3" w14:textId="2C4FBD04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269,4</w:t>
            </w:r>
          </w:p>
        </w:tc>
        <w:tc>
          <w:tcPr>
            <w:tcW w:w="1134" w:type="dxa"/>
            <w:noWrap/>
            <w:vAlign w:val="center"/>
          </w:tcPr>
          <w:p w14:paraId="6861BB58" w14:textId="199BC1A5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305,6</w:t>
            </w:r>
          </w:p>
        </w:tc>
        <w:tc>
          <w:tcPr>
            <w:tcW w:w="850" w:type="dxa"/>
            <w:noWrap/>
            <w:vAlign w:val="center"/>
          </w:tcPr>
          <w:p w14:paraId="085D1E80" w14:textId="20F81686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36,2</w:t>
            </w:r>
          </w:p>
        </w:tc>
        <w:tc>
          <w:tcPr>
            <w:tcW w:w="771" w:type="dxa"/>
            <w:noWrap/>
            <w:vAlign w:val="center"/>
          </w:tcPr>
          <w:p w14:paraId="7767CDD1" w14:textId="4B08A34E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113,4</w:t>
            </w:r>
          </w:p>
        </w:tc>
      </w:tr>
      <w:tr w:rsidR="00DF745B" w:rsidRPr="00377D59" w14:paraId="11F06AEB" w14:textId="77777777" w:rsidTr="00B50B25">
        <w:trPr>
          <w:trHeight w:val="510"/>
        </w:trPr>
        <w:tc>
          <w:tcPr>
            <w:tcW w:w="5382" w:type="dxa"/>
            <w:vAlign w:val="center"/>
            <w:hideMark/>
          </w:tcPr>
          <w:p w14:paraId="63EE65A2" w14:textId="77777777" w:rsidR="00DF745B" w:rsidRPr="00EB7ACF" w:rsidRDefault="716D41F4" w:rsidP="716D41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egyes szociális, gyermekjóléti és gyermekétkeztetési feladatainak támogatása</w:t>
            </w:r>
          </w:p>
        </w:tc>
        <w:tc>
          <w:tcPr>
            <w:tcW w:w="1134" w:type="dxa"/>
            <w:noWrap/>
            <w:vAlign w:val="center"/>
          </w:tcPr>
          <w:p w14:paraId="4BBDE34C" w14:textId="7C8D848E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323,9</w:t>
            </w:r>
          </w:p>
        </w:tc>
        <w:tc>
          <w:tcPr>
            <w:tcW w:w="1134" w:type="dxa"/>
            <w:noWrap/>
            <w:vAlign w:val="center"/>
          </w:tcPr>
          <w:p w14:paraId="4EC5C695" w14:textId="4C1324A6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351,1</w:t>
            </w:r>
          </w:p>
        </w:tc>
        <w:tc>
          <w:tcPr>
            <w:tcW w:w="850" w:type="dxa"/>
            <w:noWrap/>
            <w:vAlign w:val="center"/>
          </w:tcPr>
          <w:p w14:paraId="14601228" w14:textId="4CFDB095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27,2</w:t>
            </w:r>
          </w:p>
        </w:tc>
        <w:tc>
          <w:tcPr>
            <w:tcW w:w="771" w:type="dxa"/>
            <w:noWrap/>
            <w:vAlign w:val="center"/>
          </w:tcPr>
          <w:p w14:paraId="44A53BB5" w14:textId="3F89D076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108,4</w:t>
            </w:r>
          </w:p>
        </w:tc>
      </w:tr>
      <w:tr w:rsidR="00DF745B" w:rsidRPr="00377D59" w14:paraId="1FC403F4" w14:textId="77777777" w:rsidTr="00B50B25">
        <w:trPr>
          <w:trHeight w:val="340"/>
        </w:trPr>
        <w:tc>
          <w:tcPr>
            <w:tcW w:w="5382" w:type="dxa"/>
            <w:vAlign w:val="center"/>
            <w:hideMark/>
          </w:tcPr>
          <w:p w14:paraId="4F427CE2" w14:textId="77777777" w:rsidR="00DF745B" w:rsidRPr="00EB7ACF" w:rsidRDefault="716D41F4" w:rsidP="716D41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kulturális feladatainak támogatása</w:t>
            </w:r>
          </w:p>
        </w:tc>
        <w:tc>
          <w:tcPr>
            <w:tcW w:w="1134" w:type="dxa"/>
            <w:noWrap/>
            <w:vAlign w:val="center"/>
          </w:tcPr>
          <w:p w14:paraId="44BDB6D4" w14:textId="4FE8C147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17,2</w:t>
            </w:r>
          </w:p>
        </w:tc>
        <w:tc>
          <w:tcPr>
            <w:tcW w:w="1134" w:type="dxa"/>
            <w:noWrap/>
            <w:vAlign w:val="center"/>
          </w:tcPr>
          <w:p w14:paraId="3D1BBCDB" w14:textId="03BCDBEA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17,1</w:t>
            </w:r>
          </w:p>
        </w:tc>
        <w:tc>
          <w:tcPr>
            <w:tcW w:w="850" w:type="dxa"/>
            <w:noWrap/>
            <w:vAlign w:val="center"/>
          </w:tcPr>
          <w:p w14:paraId="6C28EF3A" w14:textId="53AB37AD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-0,1</w:t>
            </w:r>
          </w:p>
        </w:tc>
        <w:tc>
          <w:tcPr>
            <w:tcW w:w="771" w:type="dxa"/>
            <w:noWrap/>
            <w:vAlign w:val="center"/>
          </w:tcPr>
          <w:p w14:paraId="796E83D2" w14:textId="5D2B7D47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B7ACF">
              <w:rPr>
                <w:rFonts w:ascii="Times New Roman" w:hAnsi="Times New Roman" w:cs="Times New Roman"/>
                <w:i/>
                <w:iCs/>
              </w:rPr>
              <w:t>99,4</w:t>
            </w:r>
          </w:p>
        </w:tc>
      </w:tr>
      <w:tr w:rsidR="00DF745B" w:rsidRPr="00377D59" w14:paraId="44EF96BF" w14:textId="77777777" w:rsidTr="00B50B25">
        <w:trPr>
          <w:trHeight w:val="340"/>
        </w:trPr>
        <w:tc>
          <w:tcPr>
            <w:tcW w:w="5382" w:type="dxa"/>
            <w:vAlign w:val="center"/>
            <w:hideMark/>
          </w:tcPr>
          <w:p w14:paraId="3DD87A70" w14:textId="766307B5" w:rsidR="00DF745B" w:rsidRPr="00EB7ACF" w:rsidRDefault="716D41F4" w:rsidP="716D41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Helyi önkormányzatok kiegészítő támogatása</w:t>
            </w:r>
          </w:p>
        </w:tc>
        <w:tc>
          <w:tcPr>
            <w:tcW w:w="1134" w:type="dxa"/>
            <w:noWrap/>
            <w:vAlign w:val="center"/>
          </w:tcPr>
          <w:p w14:paraId="34DDE983" w14:textId="78137F35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74,9</w:t>
            </w:r>
          </w:p>
        </w:tc>
        <w:tc>
          <w:tcPr>
            <w:tcW w:w="1134" w:type="dxa"/>
            <w:noWrap/>
            <w:vAlign w:val="center"/>
          </w:tcPr>
          <w:p w14:paraId="405423BA" w14:textId="76BA8A7A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108,4</w:t>
            </w:r>
          </w:p>
        </w:tc>
        <w:tc>
          <w:tcPr>
            <w:tcW w:w="850" w:type="dxa"/>
            <w:noWrap/>
            <w:vAlign w:val="center"/>
          </w:tcPr>
          <w:p w14:paraId="76EB67F0" w14:textId="7FFF4E6D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33,5</w:t>
            </w:r>
          </w:p>
        </w:tc>
        <w:tc>
          <w:tcPr>
            <w:tcW w:w="771" w:type="dxa"/>
            <w:noWrap/>
            <w:vAlign w:val="center"/>
          </w:tcPr>
          <w:p w14:paraId="3FFF6C6E" w14:textId="7DB526A1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144,7</w:t>
            </w:r>
          </w:p>
        </w:tc>
      </w:tr>
      <w:tr w:rsidR="00DF745B" w:rsidRPr="00377D59" w14:paraId="648C3F54" w14:textId="77777777" w:rsidTr="00B50B25">
        <w:trPr>
          <w:trHeight w:val="340"/>
        </w:trPr>
        <w:tc>
          <w:tcPr>
            <w:tcW w:w="5382" w:type="dxa"/>
            <w:vAlign w:val="center"/>
            <w:hideMark/>
          </w:tcPr>
          <w:p w14:paraId="3676EE9C" w14:textId="4925EF27" w:rsidR="00DF745B" w:rsidRPr="00EB7ACF" w:rsidRDefault="716D41F4" w:rsidP="716D41F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 közben létrejött új jogcímek kiadásai</w:t>
            </w:r>
          </w:p>
        </w:tc>
        <w:tc>
          <w:tcPr>
            <w:tcW w:w="1134" w:type="dxa"/>
            <w:noWrap/>
            <w:vAlign w:val="center"/>
          </w:tcPr>
          <w:p w14:paraId="0BACAC9E" w14:textId="44CC7817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10,8</w:t>
            </w:r>
          </w:p>
        </w:tc>
        <w:tc>
          <w:tcPr>
            <w:tcW w:w="1134" w:type="dxa"/>
            <w:noWrap/>
            <w:vAlign w:val="center"/>
          </w:tcPr>
          <w:p w14:paraId="7A66E9FC" w14:textId="5B255273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  <w:tc>
          <w:tcPr>
            <w:tcW w:w="850" w:type="dxa"/>
            <w:noWrap/>
            <w:vAlign w:val="center"/>
          </w:tcPr>
          <w:p w14:paraId="592B586A" w14:textId="38C53989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-5,0</w:t>
            </w:r>
          </w:p>
        </w:tc>
        <w:tc>
          <w:tcPr>
            <w:tcW w:w="771" w:type="dxa"/>
            <w:noWrap/>
            <w:vAlign w:val="center"/>
          </w:tcPr>
          <w:p w14:paraId="6EEBBBB0" w14:textId="1F03B712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53,7</w:t>
            </w:r>
          </w:p>
        </w:tc>
      </w:tr>
      <w:tr w:rsidR="00DF745B" w:rsidRPr="00377D59" w14:paraId="60064293" w14:textId="77777777" w:rsidTr="00B50B25">
        <w:trPr>
          <w:trHeight w:val="340"/>
        </w:trPr>
        <w:tc>
          <w:tcPr>
            <w:tcW w:w="5382" w:type="dxa"/>
            <w:noWrap/>
            <w:vAlign w:val="center"/>
            <w:hideMark/>
          </w:tcPr>
          <w:p w14:paraId="73666509" w14:textId="770E1DDA" w:rsidR="00DF745B" w:rsidRPr="00EB7ACF" w:rsidRDefault="716D41F4" w:rsidP="716D4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B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noWrap/>
            <w:vAlign w:val="center"/>
          </w:tcPr>
          <w:p w14:paraId="3A3EFD36" w14:textId="5D1C4D9A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934,0</w:t>
            </w:r>
          </w:p>
        </w:tc>
        <w:tc>
          <w:tcPr>
            <w:tcW w:w="1134" w:type="dxa"/>
            <w:noWrap/>
            <w:vAlign w:val="center"/>
          </w:tcPr>
          <w:p w14:paraId="1D84CCAC" w14:textId="4400CA72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1029,2</w:t>
            </w:r>
          </w:p>
        </w:tc>
        <w:tc>
          <w:tcPr>
            <w:tcW w:w="850" w:type="dxa"/>
            <w:noWrap/>
            <w:vAlign w:val="center"/>
          </w:tcPr>
          <w:p w14:paraId="0AACA3FA" w14:textId="13D55772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95,2</w:t>
            </w:r>
          </w:p>
        </w:tc>
        <w:tc>
          <w:tcPr>
            <w:tcW w:w="771" w:type="dxa"/>
            <w:noWrap/>
            <w:vAlign w:val="center"/>
          </w:tcPr>
          <w:p w14:paraId="1C1B57DC" w14:textId="6091CF49" w:rsidR="00DF745B" w:rsidRPr="00EB7ACF" w:rsidRDefault="565C7792" w:rsidP="565C7792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B7ACF">
              <w:rPr>
                <w:rFonts w:ascii="Times New Roman" w:hAnsi="Times New Roman" w:cs="Times New Roman"/>
                <w:b/>
                <w:bCs/>
              </w:rPr>
              <w:t>110,2</w:t>
            </w:r>
          </w:p>
        </w:tc>
      </w:tr>
    </w:tbl>
    <w:bookmarkEnd w:id="0"/>
    <w:p w14:paraId="294CBB33" w14:textId="270C9BE0" w:rsidR="74B9DF17" w:rsidRPr="00CD1AC2" w:rsidRDefault="716D41F4" w:rsidP="716D41F4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kiadásai</w:t>
      </w:r>
      <w:r w:rsidRPr="716D41F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mérlegsoron 2025. szeptember végéig 1535,8</w:t>
      </w:r>
      <w:r w:rsidR="007316D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 forint összegű kifizetés történt, amely a törvényi előirányzat (3023,8 milliárd forint) 50,8%-os teljesítését jelenti. A felmerült kiadások jelentős részét a 2021-2027-es Széchenyi Terv Plusz programjai adták.</w:t>
      </w:r>
    </w:p>
    <w:p w14:paraId="6ABC464B" w14:textId="4D5CB4B2" w:rsidR="74B9DF17" w:rsidRPr="00CD1AC2" w:rsidRDefault="716D41F4" w:rsidP="716D41F4">
      <w:pPr>
        <w:spacing w:befor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>A legnagyobb összegű kifizetéseket ezen időszakban a Széchenyi Terv Plusz operatív programok közül az Emberi Erőforrás Fejlesztési OP Plusz (EFOP Plusz) és a Terület- és Településfejlesztési OP (TOP Plusz) teljesítette. Kiemelkedők továbbá a Vidékfejlesztési Program és a KAP Stratégiai Terv Vidékfejlesztési Intézkedéseinek kifizetése.</w:t>
      </w:r>
    </w:p>
    <w:p w14:paraId="0EE0B389" w14:textId="4319086A" w:rsidR="029C2633" w:rsidRPr="00CD1AC2" w:rsidRDefault="716D41F4" w:rsidP="716D41F4">
      <w:pPr>
        <w:keepLines/>
        <w:spacing w:befor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állami vagyonnal kapcsolatos kiadások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2025 első kilenchavi összege 558,8 milliárd forint volt, amelynek meghatározó része ingatlanokhoz kapcsolódóan került kifizetésre.</w:t>
      </w:r>
    </w:p>
    <w:p w14:paraId="4D36018A" w14:textId="38C71F1F" w:rsidR="000B49AE" w:rsidRPr="00377D59" w:rsidRDefault="003415FE" w:rsidP="000B49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4A01CBD7" wp14:editId="5E1C7846">
            <wp:extent cx="5288280" cy="3312029"/>
            <wp:effectExtent l="0" t="0" r="7620" b="3175"/>
            <wp:docPr id="350184881" name="Kép 1" descr="A képen szöveg, képernyőkép, sor, Diagram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84881" name="Kép 1" descr="A képen szöveg, képernyőkép, sor, Diagram látható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96434" cy="331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26D3" w14:textId="78B5FDD8" w:rsidR="5B67C7D7" w:rsidRPr="00CB07DE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állami beruházási fejezet kiadásait 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alapvetően az egyes projektek előrehaladása határozza meg. 2025 első kilenc hónapjában 322,0</w:t>
      </w:r>
      <w:r w:rsidR="007316D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milliárd forint kiadás teljesült, amely </w:t>
      </w:r>
      <w:r w:rsidRPr="000E488F">
        <w:rPr>
          <w:rFonts w:ascii="Times New Roman" w:eastAsia="Times New Roman" w:hAnsi="Times New Roman" w:cs="Times New Roman"/>
          <w:sz w:val="26"/>
          <w:szCs w:val="26"/>
        </w:rPr>
        <w:t>kismértékben alacsonyabb a 2024 azonos időszakában teljesültekhez képest. A kifizetések nagy része az állami közútfejlesztési beruházásokhoz (205,0 milliárd forint), az európai uniós forrásokból megvalósuló beruházásokhoz (88,5 milliárd forint) és az egyedi magasépítési beruházásokhoz (16,4 milliárd forint) kapcsolódtak</w:t>
      </w:r>
      <w:r w:rsidRPr="000E48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CEA5E" w14:textId="18D88A8D" w:rsidR="00C224F5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egyéb kiadások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2025. évi első </w:t>
      </w:r>
      <w:r w:rsidR="00EE0057">
        <w:rPr>
          <w:rFonts w:ascii="Times New Roman" w:eastAsia="Times New Roman" w:hAnsi="Times New Roman" w:cs="Times New Roman"/>
          <w:sz w:val="26"/>
          <w:szCs w:val="26"/>
        </w:rPr>
        <w:t>kilenchavi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teljesítése </w:t>
      </w:r>
      <w:r w:rsidR="008A2877">
        <w:rPr>
          <w:rFonts w:ascii="Times New Roman" w:eastAsia="Times New Roman" w:hAnsi="Times New Roman" w:cs="Times New Roman"/>
          <w:sz w:val="26"/>
          <w:szCs w:val="26"/>
        </w:rPr>
        <w:t>450,3</w:t>
      </w:r>
      <w:r w:rsidR="007316D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milliárd forint lett, ami </w:t>
      </w:r>
      <w:r w:rsidR="00D119C2">
        <w:rPr>
          <w:rFonts w:ascii="Times New Roman" w:eastAsia="Times New Roman" w:hAnsi="Times New Roman" w:cs="Times New Roman"/>
          <w:sz w:val="26"/>
          <w:szCs w:val="26"/>
        </w:rPr>
        <w:t>55,8 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milliárd forinttal magasabban alakult az előző év azonos időszakához képest. </w:t>
      </w:r>
    </w:p>
    <w:p w14:paraId="15F013A7" w14:textId="5893961B" w:rsidR="74B9DF17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Hozzájárulás az EU költségvetéséhez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mérlegsoron 2025. szeptember végéig 550,9</w:t>
      </w:r>
      <w:r w:rsidR="00D119C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 forint kiadás teljesült, ami a törvényi előirányzat 79</w:t>
      </w:r>
      <w:r w:rsidR="00FE3E03">
        <w:rPr>
          <w:rFonts w:ascii="Times New Roman" w:eastAsia="Times New Roman" w:hAnsi="Times New Roman" w:cs="Times New Roman"/>
          <w:sz w:val="26"/>
          <w:szCs w:val="26"/>
        </w:rPr>
        <w:t>,0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%-a. E hozzájárulás 63,6</w:t>
      </w:r>
      <w:r w:rsidR="00D119C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milliárd forinttal haladja meg a 2024. év azonos időszakában teljesített kiadásokat.</w:t>
      </w:r>
    </w:p>
    <w:p w14:paraId="0F5A0F03" w14:textId="007887D7" w:rsidR="6462B5A6" w:rsidRPr="00920F4D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Nemzeti Kutatási, Fejlesztési és Innovációs Alapból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(NKFI Alap) 2025. szeptember végéig 79,0 milliárd forint kiadás teljesült, ami 16,9 milliárd forinttal kevesebb kifizetést jelent a 2024. évi azonos időszak teljesítéséhez képest. </w:t>
      </w:r>
    </w:p>
    <w:p w14:paraId="17605E21" w14:textId="3BD58EC1" w:rsidR="6462B5A6" w:rsidRPr="00CB07DE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Nemzeti Foglalkoztatási Alap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(NFA) kiadásai esetében a Start-munkaprogramra összesen 102,1 milliárd forint teljesült. Az uniós elő- és társfinanszírozásra 39,9 milliárd forintot fordítottak.</w:t>
      </w:r>
    </w:p>
    <w:p w14:paraId="76B18BB1" w14:textId="14F9DA9E" w:rsidR="123EFD2F" w:rsidRPr="00CB07DE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>A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Bethlen Gábor Alapból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(BGA) az év első kilenc hónapjában összesen 78,8 milliárd forint kiadás teljesült. Az alapból nyújtott támogatások a BGA irányítását ellátó Bizottság döntései alapján, ütemezetten kerültek kifizetésre.</w:t>
      </w:r>
    </w:p>
    <w:p w14:paraId="51683CC2" w14:textId="66B9E411" w:rsidR="00043E49" w:rsidRPr="00CB07DE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Nyugdíjbiztosítási Alap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nyugellátási kiadásai szeptember végéig 5004,3 milliárd forintban teljesültek, ami 242</w:t>
      </w:r>
      <w:r w:rsidR="00E838BF">
        <w:rPr>
          <w:rFonts w:ascii="Times New Roman" w:eastAsia="Times New Roman" w:hAnsi="Times New Roman" w:cs="Times New Roman"/>
          <w:sz w:val="26"/>
          <w:szCs w:val="26"/>
        </w:rPr>
        <w:t>,0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 milliárd forinttal haladta meg az előző év azonos időszakának teljesítési adatait. Az 5,1%-os kiadásnövekedést a tárgyév január hónapban végrehajtott inflációkövető nyugdíjemelés hatása, valamint az eltelt időszakban bekövetkezett létszámváltozás és cserélődés együttes hatása eredményezte.</w:t>
      </w:r>
    </w:p>
    <w:p w14:paraId="26EFB518" w14:textId="50D30E14" w:rsidR="00043E49" w:rsidRPr="00CB07DE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>Február hónapban több mint 2 millió öregségi nyugdíjban és hozzátartozói nyugellátásban részesülő személy részére folyósítottak 13. havi nyugdíjat. A 13. havi nyugdíj Nyugdíjbiztosítási Alapot terhelő kiadása szeptember végéig 493,7 milliárd</w:t>
      </w:r>
      <w:r w:rsidR="007316D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forint volt, ami 22,0 milliárd forinttal haladta meg az előző év azonos időszakában ezen a jogcímen teljesített kiadások összegét.</w:t>
      </w:r>
    </w:p>
    <w:p w14:paraId="168226B1" w14:textId="3AF5FBC9" w:rsidR="00D72777" w:rsidRPr="00CB07DE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>Az első kilenc hónap adatai alapján a nyugellátási kiadásokon belül a korbetöltött öregségi nyugellátások 5,6%-kal, a nők 40 év jogosultsági idővel igénybe vehető öregségi nyugdíja („nők 40”) pedig 3,2%-kal haladta meg az előző év azonos időszakának kiadásait.</w:t>
      </w:r>
    </w:p>
    <w:p w14:paraId="0F073B32" w14:textId="11D282E2" w:rsidR="00C35E13" w:rsidRDefault="003415FE" w:rsidP="00C35E13">
      <w:pPr>
        <w:pStyle w:val="NormlWeb"/>
        <w:jc w:val="center"/>
      </w:pPr>
      <w:r>
        <w:rPr>
          <w:noProof/>
        </w:rPr>
        <w:lastRenderedPageBreak/>
        <w:drawing>
          <wp:inline distT="0" distB="0" distL="0" distR="0" wp14:anchorId="53F3C1E9" wp14:editId="4A3C9524">
            <wp:extent cx="5526411" cy="2306320"/>
            <wp:effectExtent l="0" t="0" r="0" b="0"/>
            <wp:docPr id="696864027" name="Kép 1" descr="A képen szöveg, diagram, képernyőkép, Betűtípus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64027" name="Kép 1" descr="A képen szöveg, diagram, képernyőkép, Betűtípus látható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37370" cy="231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4D45" w14:textId="035B3DFA" w:rsidR="00884EDC" w:rsidRPr="00CB07DE" w:rsidRDefault="565C7792" w:rsidP="565C779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Az öregségi nyugdíjban részesülők 2025. szeptember havi </w:t>
      </w:r>
      <w:r w:rsidRPr="565C7792">
        <w:rPr>
          <w:rFonts w:ascii="Times New Roman" w:eastAsia="Times New Roman" w:hAnsi="Times New Roman" w:cs="Times New Roman"/>
          <w:b/>
          <w:bCs/>
          <w:sz w:val="26"/>
          <w:szCs w:val="26"/>
        </w:rPr>
        <w:t>átlagos statisztikai állományi létszáma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 xml:space="preserve"> kis mértékben növekedett, 3382 fővel haladta meg az előző év azonos időszakának létszámát. Az öregségi nyugdíjban részesülők létszámán belül a nők kedvezményes nyugdíjában részesülők (korhatár alattiak) létszáma a korhatárbetöltés, az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>újonnan belépők és az elhalálozás együttes hatásaként 4550 fővel csökkent a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>2024. szeptemberi adathoz képest, jelenleg 137</w:t>
      </w:r>
      <w:r w:rsidR="00280E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>108</w:t>
      </w:r>
      <w:r w:rsidR="00280E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565C7792">
        <w:rPr>
          <w:rFonts w:ascii="Times New Roman" w:eastAsia="Times New Roman" w:hAnsi="Times New Roman" w:cs="Times New Roman"/>
          <w:sz w:val="26"/>
          <w:szCs w:val="26"/>
        </w:rPr>
        <w:t>fő veszi igénybe a „nők 40” kedvezményes nyugdíját.</w:t>
      </w:r>
    </w:p>
    <w:p w14:paraId="61DC0A5C" w14:textId="20C51134" w:rsidR="00884EDC" w:rsidRPr="00CB07DE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>Az öregségi nyugdíjak átlagos havi összege egy év alatt 12 226 forinttal emelkedett, idén 2025. szeptemberben 245 752 forint volt.</w:t>
      </w:r>
    </w:p>
    <w:p w14:paraId="725BF303" w14:textId="60C58C4B" w:rsidR="7BF38582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>Az ellátások egy főre jutó havi átlagos összege az egyes ellátotti jogcímeken belül az előző év azonos időszakával összehasonlítva az alábbiak szerint növekedett.</w:t>
      </w:r>
    </w:p>
    <w:p w14:paraId="503DFEB7" w14:textId="49700BF4" w:rsidR="00EF1F5B" w:rsidRDefault="003415FE" w:rsidP="002D6802">
      <w:pPr>
        <w:pStyle w:val="Norm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6A8760F0" wp14:editId="52A1F9D0">
            <wp:extent cx="4695047" cy="3205480"/>
            <wp:effectExtent l="0" t="0" r="0" b="0"/>
            <wp:docPr id="1635021349" name="Kép 1" descr="A képen szöveg, képernyőkép, szám, Betűtípus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21349" name="Kép 1" descr="A képen szöveg, képernyőkép, szám, Betűtípus látható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06370" cy="321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9DB9C" w14:textId="246CB37A" w:rsidR="0022104D" w:rsidRDefault="00D33920" w:rsidP="00A31F84">
      <w:pPr>
        <w:widowControl w:val="0"/>
        <w:spacing w:before="2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br w:type="column"/>
      </w:r>
      <w:r w:rsidR="7C285CBA" w:rsidRPr="7C285CB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öregségi nyugdíjban, hozzátartozói nyugellátásban részesülők jogcím szerinti megoszlásának összehasonlítását a korábbi adatokkal az alábbi ábrák mutatják. </w:t>
      </w:r>
    </w:p>
    <w:p w14:paraId="6E229341" w14:textId="74782D7C" w:rsidR="00EF1F5B" w:rsidRDefault="003415FE" w:rsidP="00A31F84">
      <w:pPr>
        <w:pStyle w:val="NormlWeb"/>
        <w:widowControl w:val="0"/>
        <w:jc w:val="center"/>
      </w:pPr>
      <w:r>
        <w:rPr>
          <w:noProof/>
        </w:rPr>
        <w:drawing>
          <wp:inline distT="0" distB="0" distL="0" distR="0" wp14:anchorId="4175ED93" wp14:editId="38708E16">
            <wp:extent cx="5262880" cy="2262110"/>
            <wp:effectExtent l="0" t="0" r="0" b="5080"/>
            <wp:docPr id="464677321" name="Kép 1" descr="A képen szöveg, képernyőkép, Betűtípus, diagram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77321" name="Kép 1" descr="A képen szöveg, képernyőkép, Betűtípus, diagram látható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6613" cy="226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F88FB" w14:textId="558B9764" w:rsidR="00D4148C" w:rsidRPr="002B492B" w:rsidRDefault="716D41F4" w:rsidP="716D41F4">
      <w:pPr>
        <w:widowContro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>Egészségbiztosítási Alap kiadásainak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 xml:space="preserve"> összetételét a következő ábra mutatja be: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7C38B59" w14:textId="1FB36F30" w:rsidR="00D4148C" w:rsidRDefault="0019257A" w:rsidP="00A31F84">
      <w:pPr>
        <w:widowControl w:val="0"/>
        <w:spacing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1BD4EFE" wp14:editId="4BA29DD7">
            <wp:extent cx="5394960" cy="2159137"/>
            <wp:effectExtent l="0" t="0" r="0" b="0"/>
            <wp:docPr id="836984751" name="Kép 1" descr="A képen szöveg, diagram, képernyőkép, kör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84751" name="Kép 1" descr="A képen szöveg, diagram, képernyőkép, kör látható"/>
                    <pic:cNvPicPr/>
                  </pic:nvPicPr>
                  <pic:blipFill rotWithShape="1">
                    <a:blip r:embed="rId23"/>
                    <a:srcRect t="4457" b="4867"/>
                    <a:stretch/>
                  </pic:blipFill>
                  <pic:spPr bwMode="auto">
                    <a:xfrm>
                      <a:off x="0" y="0"/>
                      <a:ext cx="5402719" cy="2162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DF989" w14:textId="3244E98A" w:rsidR="00CA3468" w:rsidRDefault="051ACFCD" w:rsidP="051ACFCD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</w:rPr>
        <w:t>Egészségbiztosítási Alap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összes kiadásának 25,4%-át a </w:t>
      </w: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</w:rPr>
        <w:t>pénzbeli ellátásokra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fordított összeg adta. Az ellátások részletes bemutatását a következő táblázat tartalmazza:</w:t>
      </w:r>
    </w:p>
    <w:p w14:paraId="1D31F2C8" w14:textId="3F5AAC59" w:rsidR="00DA4FBC" w:rsidRPr="001074A1" w:rsidRDefault="716D41F4" w:rsidP="716D41F4">
      <w:pPr>
        <w:widowControl w:val="0"/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  <w:r w:rsidRPr="716D41F4">
        <w:rPr>
          <w:rFonts w:ascii="Times New Roman" w:eastAsia="Times New Roman" w:hAnsi="Times New Roman" w:cs="Times New Roman"/>
          <w:b/>
          <w:bCs/>
        </w:rPr>
        <w:t>Az Egészségbiztosítási Alap pénzbeli ellátásokra fordított kiadásainak alakulása (milliárd forint)</w:t>
      </w:r>
    </w:p>
    <w:tbl>
      <w:tblPr>
        <w:tblpPr w:leftFromText="141" w:rightFromText="141" w:vertAnchor="text" w:tblpXSpec="center" w:tblpY="1"/>
        <w:tblOverlap w:val="never"/>
        <w:tblW w:w="87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1209"/>
        <w:gridCol w:w="992"/>
        <w:gridCol w:w="993"/>
      </w:tblGrid>
      <w:tr w:rsidR="00E601EF" w:rsidRPr="00377D59" w14:paraId="06E6BC15" w14:textId="77777777" w:rsidTr="051ACFCD">
        <w:trPr>
          <w:trHeight w:val="34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10863DA" w14:textId="77777777" w:rsidR="00E601EF" w:rsidRPr="00377D59" w:rsidRDefault="716D41F4" w:rsidP="716D4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16D41F4">
              <w:rPr>
                <w:rFonts w:ascii="Times New Roman" w:eastAsia="Times New Roman" w:hAnsi="Times New Roman" w:cs="Times New Roman"/>
                <w:b/>
                <w:bCs/>
              </w:rPr>
              <w:t>Megnevezés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B44369" w14:textId="7A44B67F" w:rsidR="00E601EF" w:rsidRPr="00377D59" w:rsidRDefault="051ACFCD" w:rsidP="051AC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51ACFCD">
              <w:rPr>
                <w:rFonts w:ascii="Times New Roman" w:eastAsia="Times New Roman" w:hAnsi="Times New Roman" w:cs="Times New Roman"/>
                <w:b/>
                <w:bCs/>
              </w:rPr>
              <w:t xml:space="preserve">2024. </w:t>
            </w:r>
            <w:r w:rsidR="716D41F4">
              <w:br/>
            </w:r>
            <w:r w:rsidRPr="051ACFCD">
              <w:rPr>
                <w:rFonts w:ascii="Times New Roman" w:eastAsia="Times New Roman" w:hAnsi="Times New Roman" w:cs="Times New Roman"/>
                <w:b/>
                <w:bCs/>
              </w:rPr>
              <w:t>I-IX. hó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1BFE64" w14:textId="140DA1F8" w:rsidR="00E601EF" w:rsidRPr="00377D59" w:rsidRDefault="051ACFCD" w:rsidP="051AC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51ACFCD">
              <w:rPr>
                <w:rFonts w:ascii="Times New Roman" w:eastAsia="Times New Roman" w:hAnsi="Times New Roman" w:cs="Times New Roman"/>
                <w:b/>
                <w:bCs/>
              </w:rPr>
              <w:t xml:space="preserve">2025. </w:t>
            </w:r>
            <w:r w:rsidR="716D41F4">
              <w:br/>
            </w:r>
            <w:r w:rsidRPr="051ACFCD">
              <w:rPr>
                <w:rFonts w:ascii="Times New Roman" w:eastAsia="Times New Roman" w:hAnsi="Times New Roman" w:cs="Times New Roman"/>
                <w:b/>
                <w:bCs/>
              </w:rPr>
              <w:t>I-IX. hó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EFB39D6" w14:textId="77777777" w:rsidR="00E601EF" w:rsidRPr="00377D59" w:rsidRDefault="716D41F4" w:rsidP="716D4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16D41F4">
              <w:rPr>
                <w:rFonts w:ascii="Times New Roman" w:eastAsia="Times New Roman" w:hAnsi="Times New Roman" w:cs="Times New Roman"/>
                <w:b/>
                <w:bCs/>
              </w:rPr>
              <w:t>Eltérés</w:t>
            </w:r>
          </w:p>
        </w:tc>
      </w:tr>
      <w:tr w:rsidR="00E601EF" w:rsidRPr="00377D59" w14:paraId="67C6C54B" w14:textId="77777777" w:rsidTr="051ACFCD">
        <w:trPr>
          <w:trHeight w:val="34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CA367D" w14:textId="77777777" w:rsidR="00E601EF" w:rsidRPr="00377D59" w:rsidRDefault="00E601EF" w:rsidP="00A31F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499307A" w14:textId="77777777" w:rsidR="00E601EF" w:rsidRPr="00377D59" w:rsidRDefault="00E601EF" w:rsidP="00A31F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E594B6" w14:textId="77777777" w:rsidR="00E601EF" w:rsidRPr="00377D59" w:rsidRDefault="00E601EF" w:rsidP="00A31F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986BC2B" w14:textId="77777777" w:rsidR="00E601EF" w:rsidRPr="00377D59" w:rsidRDefault="716D41F4" w:rsidP="716D4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716D41F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Mrd Ft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0EDA458" w14:textId="77777777" w:rsidR="00E601EF" w:rsidRPr="00377D59" w:rsidRDefault="716D41F4" w:rsidP="716D4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716D41F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%</w:t>
            </w:r>
          </w:p>
        </w:tc>
      </w:tr>
      <w:tr w:rsidR="00494D4B" w:rsidRPr="00377D59" w14:paraId="0F7FB8C0" w14:textId="77777777" w:rsidTr="051ACFCD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BBDE" w14:textId="77777777" w:rsidR="00494D4B" w:rsidRPr="00377D59" w:rsidRDefault="716D41F4" w:rsidP="716D41F4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716D41F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0386" w14:textId="6A83B568" w:rsidR="00494D4B" w:rsidRPr="001074A1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870,1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F748" w14:textId="72961596" w:rsidR="00494D4B" w:rsidRPr="001074A1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698F" w14:textId="216439C1" w:rsidR="00494D4B" w:rsidRPr="001074A1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7C13" w14:textId="1D085A23" w:rsidR="00494D4B" w:rsidRPr="001074A1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107,3</w:t>
            </w:r>
          </w:p>
        </w:tc>
      </w:tr>
      <w:tr w:rsidR="00494D4B" w:rsidRPr="00377D59" w14:paraId="07715518" w14:textId="77777777" w:rsidTr="051ACFCD">
        <w:trPr>
          <w:trHeight w:val="2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5B0B" w14:textId="77777777" w:rsidR="00494D4B" w:rsidRPr="003D21B5" w:rsidRDefault="716D41F4" w:rsidP="716D41F4">
            <w:pPr>
              <w:widowControl w:val="0"/>
              <w:spacing w:after="0" w:line="240" w:lineRule="auto"/>
              <w:ind w:firstLine="285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716D41F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Ebből: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7ECC" w14:textId="007D4839" w:rsidR="00494D4B" w:rsidRPr="003D21B5" w:rsidRDefault="565C7792" w:rsidP="565C77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565C779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494D4B" w:rsidRPr="00377D59" w14:paraId="72B9616A" w14:textId="77777777" w:rsidTr="051ACFCD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2C4C" w14:textId="77777777" w:rsidR="00494D4B" w:rsidRPr="003D21B5" w:rsidRDefault="716D41F4" w:rsidP="716D41F4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716D41F4">
              <w:rPr>
                <w:rFonts w:ascii="Times New Roman" w:eastAsia="Times New Roman" w:hAnsi="Times New Roman" w:cs="Times New Roman"/>
                <w:lang w:eastAsia="hu-HU"/>
              </w:rPr>
              <w:t>Rokkantsági, rehabilitációs ellátások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2A63" w14:textId="7BD6C9B9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306,9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FC73" w14:textId="695DF0CD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322,5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6B24" w14:textId="6773F02E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3A17" w14:textId="5E484DD5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105,1</w:t>
            </w:r>
          </w:p>
        </w:tc>
      </w:tr>
      <w:tr w:rsidR="00494D4B" w:rsidRPr="00377D59" w14:paraId="778FD915" w14:textId="77777777" w:rsidTr="051ACFCD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1046" w14:textId="4891E4FD" w:rsidR="00494D4B" w:rsidRPr="003D21B5" w:rsidRDefault="716D41F4" w:rsidP="716D41F4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716D41F4">
              <w:rPr>
                <w:rFonts w:ascii="Times New Roman" w:eastAsia="Times New Roman" w:hAnsi="Times New Roman" w:cs="Times New Roman"/>
                <w:lang w:eastAsia="hu-HU"/>
              </w:rPr>
              <w:t>Gyermekgondozási díj és örökbefogadói díj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3582" w14:textId="42DBF075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283,2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7B2A" w14:textId="6AC0A29F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298,1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EA46" w14:textId="15699B50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A6E8D" w14:textId="17FC64BB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105,3</w:t>
            </w:r>
          </w:p>
        </w:tc>
      </w:tr>
      <w:tr w:rsidR="00494D4B" w:rsidRPr="00377D59" w14:paraId="7D62EFFD" w14:textId="77777777" w:rsidTr="051ACFCD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DDE" w14:textId="77777777" w:rsidR="00494D4B" w:rsidRPr="003D21B5" w:rsidRDefault="716D41F4" w:rsidP="716D41F4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716D41F4">
              <w:rPr>
                <w:rFonts w:ascii="Times New Roman" w:eastAsia="Times New Roman" w:hAnsi="Times New Roman" w:cs="Times New Roman"/>
                <w:lang w:eastAsia="hu-HU"/>
              </w:rPr>
              <w:t>Táppénz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4593" w14:textId="639E9E98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154,1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EFC4" w14:textId="7B8A15A3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178,5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2A76" w14:textId="78FF1FDA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 xml:space="preserve">  24,4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DF3D" w14:textId="39E9D645" w:rsidR="00494D4B" w:rsidRPr="003D21B5" w:rsidRDefault="051ACFCD" w:rsidP="051ACFCD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51ACFCD">
              <w:rPr>
                <w:rFonts w:ascii="Times New Roman" w:eastAsia="Times New Roman" w:hAnsi="Times New Roman" w:cs="Times New Roman"/>
                <w:lang w:eastAsia="hu-HU"/>
              </w:rPr>
              <w:t>115,8</w:t>
            </w:r>
          </w:p>
        </w:tc>
      </w:tr>
    </w:tbl>
    <w:p w14:paraId="7F2895FE" w14:textId="2F76B440" w:rsidR="001074A1" w:rsidRDefault="051ACFCD" w:rsidP="051ACFCD">
      <w:pPr>
        <w:widowControl w:val="0"/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</w:rPr>
        <w:t>gyógyító-megelőző ellátásokra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fordított kiadás 2025 első 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kilenc hónapjában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2201,0 milliárd forintot tett ki a 2024 azonos időszakában felmerülő 1994,7 milliárd forint összegű kiadással szemben.</w:t>
      </w:r>
    </w:p>
    <w:p w14:paraId="63C09739" w14:textId="781ABBC9" w:rsidR="13E847AC" w:rsidRDefault="716D41F4" w:rsidP="13E847AC">
      <w:pPr>
        <w:jc w:val="both"/>
      </w:pPr>
      <w:r w:rsidRPr="716D41F4">
        <w:rPr>
          <w:rFonts w:ascii="Times New Roman" w:eastAsia="Times New Roman" w:hAnsi="Times New Roman" w:cs="Times New Roman"/>
          <w:sz w:val="26"/>
          <w:szCs w:val="26"/>
        </w:rPr>
        <w:lastRenderedPageBreak/>
        <w:t>Az előző évhez viszonyított magasabb összegű kiadás – többek között – az egészségügyi ágazati előmeneteli szabályok hatálya alá tartozó egészségügyi szakdolgozókat és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</w:rPr>
        <w:t>egészségügyben dolgozókat 2024. március 1-jétől megillető, átlagosan 20%-os, valamint az alapellátásban dolgozó egészségügyi dolgozók azonos mértékű béremelésével kapcsolatosan jelentkező, 2025. évre áthúzódó hatásából ered.</w:t>
      </w:r>
    </w:p>
    <w:p w14:paraId="32E93D9D" w14:textId="683A2A35" w:rsidR="13E847AC" w:rsidRDefault="7BF38582" w:rsidP="13E847AC">
      <w:pPr>
        <w:jc w:val="both"/>
      </w:pPr>
      <w:r w:rsidRPr="7BF38582">
        <w:rPr>
          <w:rFonts w:ascii="Times New Roman" w:eastAsia="Times New Roman" w:hAnsi="Times New Roman" w:cs="Times New Roman"/>
          <w:sz w:val="26"/>
          <w:szCs w:val="26"/>
        </w:rPr>
        <w:t>Az előző évhez viszonyított növekedést az is magyarázza, hogy a fekvő- és járóbeteg-szakellátás és laboratóriumi ellátás teljesítményegységeinek forintértékéről szóló új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BM</w:t>
      </w:r>
      <w:r w:rsidR="00A23458">
        <w:rPr>
          <w:rFonts w:ascii="Times New Roman" w:eastAsia="Times New Roman" w:hAnsi="Times New Roman" w:cs="Times New Roman"/>
          <w:sz w:val="26"/>
          <w:szCs w:val="26"/>
        </w:rPr>
        <w:noBreakHyphen/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NGM együttes közlemény, illetve a Nemzeti Dialízis Központ létrehozásával kapcsolatos feladatokról és egyéb, az egészségügyi szolgáltatókat segítő finanszírozási intézkedésekről szóló 66/2025. (IV. 4.) Korm. rendelet, valamint az egészségügyi ágazati szakmai képzésekkel és az egészségügyi szolgáltatók finanszírozásával összefüggő miniszteri rendeletek módosításáról szóló 10/2025. (IV. 4.) BM rendelet alapján az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Egészségbiztosítási Alap Gyógyító-megelőző ellátás alcímének 150,0</w:t>
      </w:r>
      <w:r w:rsidR="006F326F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6F326F">
        <w:rPr>
          <w:rFonts w:ascii="Times New Roman" w:eastAsia="Times New Roman" w:hAnsi="Times New Roman" w:cs="Times New Roman"/>
          <w:sz w:val="26"/>
          <w:szCs w:val="26"/>
        </w:rPr>
        <w:t> forin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t összegű, az Egészségügyi szolgáltatók kiegészítő finanszírozása megnevezésű jogcímcsoport felhasználásával 2025. januártól megtörténik a közfinanszírozásban részesülő egészségügyi szolgáltatók kifizetése.</w:t>
      </w:r>
    </w:p>
    <w:p w14:paraId="69E4940B" w14:textId="10663810" w:rsidR="001074A1" w:rsidRDefault="051ACFCD" w:rsidP="051ACFC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51ACFCD">
        <w:rPr>
          <w:rFonts w:ascii="Times New Roman" w:eastAsia="Times New Roman" w:hAnsi="Times New Roman" w:cs="Times New Roman"/>
          <w:b/>
          <w:bCs/>
          <w:sz w:val="26"/>
          <w:szCs w:val="26"/>
        </w:rPr>
        <w:t>Gyógyszertámogatásra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E12F8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 xml:space="preserve"> szeptember végéig 435,5 milliárd forint került kifizetésre, amely 32,</w:t>
      </w:r>
      <w:r w:rsidR="00C2704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51ACFCD">
        <w:rPr>
          <w:rFonts w:ascii="Times New Roman" w:eastAsia="Times New Roman" w:hAnsi="Times New Roman" w:cs="Times New Roman"/>
          <w:sz w:val="26"/>
          <w:szCs w:val="26"/>
        </w:rPr>
        <w:t> milliárd forinttal magasabb az előző év azonos időszakában kifizetett összegnél.</w:t>
      </w:r>
    </w:p>
    <w:p w14:paraId="7B768C24" w14:textId="4F783F64" w:rsidR="00B155FE" w:rsidRPr="004966FE" w:rsidRDefault="716D41F4" w:rsidP="716D41F4">
      <w:pPr>
        <w:keepNext/>
        <w:pageBreakBefore/>
        <w:numPr>
          <w:ilvl w:val="0"/>
          <w:numId w:val="3"/>
        </w:numPr>
        <w:spacing w:after="12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lastRenderedPageBreak/>
        <w:t>A költségvetési szervek és fejezeti kezelésű előirányzatok alakulása</w:t>
      </w:r>
    </w:p>
    <w:p w14:paraId="0CFDE309" w14:textId="7E8E5EC3" w:rsidR="00266768" w:rsidRPr="00920B37" w:rsidRDefault="716D41F4" w:rsidP="716D41F4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költségvetési szervek bevételei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 első </w:t>
      </w:r>
      <w:r w:rsidR="001E7C1C">
        <w:rPr>
          <w:rFonts w:ascii="Times New Roman" w:eastAsia="Times New Roman" w:hAnsi="Times New Roman" w:cs="Times New Roman"/>
          <w:sz w:val="26"/>
          <w:szCs w:val="26"/>
          <w:lang w:eastAsia="hu-HU"/>
        </w:rPr>
        <w:t>kilenc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</w:t>
      </w:r>
      <w:r w:rsidR="001E7C1C">
        <w:rPr>
          <w:rFonts w:ascii="Times New Roman" w:eastAsia="Times New Roman" w:hAnsi="Times New Roman" w:cs="Times New Roman"/>
          <w:sz w:val="26"/>
          <w:szCs w:val="26"/>
          <w:lang w:eastAsia="hu-HU"/>
        </w:rPr>
        <w:t>2318,1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milliárd forintot tettek ki, amely 16,</w:t>
      </w:r>
      <w:r w:rsidR="001E7C1C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magasabb az előző év azonos időszakának bevételeihez képest. Az intézmények bevételei közül </w:t>
      </w:r>
      <w:r w:rsidR="001E7C1C">
        <w:rPr>
          <w:rFonts w:ascii="Times New Roman" w:eastAsia="Times New Roman" w:hAnsi="Times New Roman" w:cs="Times New Roman"/>
          <w:sz w:val="26"/>
          <w:szCs w:val="26"/>
          <w:lang w:eastAsia="hu-HU"/>
        </w:rPr>
        <w:t>1186,6</w:t>
      </w:r>
      <w:r w:rsidR="00E66F4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="00E66F4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forintot tett ki a Nemzeti Egészségbiztosítási Alapkezelő által az egészségügyi intézményeknek utalt támogatás.</w:t>
      </w:r>
    </w:p>
    <w:p w14:paraId="02FB9B34" w14:textId="3F41D61A" w:rsidR="00266768" w:rsidRPr="007B6DF2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szakmai fejezeti kezelésű előirányzatok bevételei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 első </w:t>
      </w:r>
      <w:r w:rsidR="001E7C1C">
        <w:rPr>
          <w:rFonts w:ascii="Times New Roman" w:eastAsia="Times New Roman" w:hAnsi="Times New Roman" w:cs="Times New Roman"/>
          <w:sz w:val="26"/>
          <w:szCs w:val="26"/>
          <w:lang w:eastAsia="hu-HU"/>
        </w:rPr>
        <w:t>kilenc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</w:t>
      </w:r>
      <w:r w:rsidR="00A01D51">
        <w:rPr>
          <w:rFonts w:ascii="Times New Roman" w:eastAsia="Times New Roman" w:hAnsi="Times New Roman" w:cs="Times New Roman"/>
          <w:sz w:val="26"/>
          <w:szCs w:val="26"/>
          <w:lang w:eastAsia="hu-HU"/>
        </w:rPr>
        <w:t>392,3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milliárd forintot tettek ki, mely </w:t>
      </w:r>
      <w:r w:rsidR="00A01D51">
        <w:rPr>
          <w:rFonts w:ascii="Times New Roman" w:eastAsia="Times New Roman" w:hAnsi="Times New Roman" w:cs="Times New Roman"/>
          <w:sz w:val="26"/>
          <w:szCs w:val="26"/>
          <w:lang w:eastAsia="hu-HU"/>
        </w:rPr>
        <w:t>3,6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</w:t>
      </w:r>
      <w:r w:rsidR="00A01D51">
        <w:rPr>
          <w:rFonts w:ascii="Times New Roman" w:eastAsia="Times New Roman" w:hAnsi="Times New Roman" w:cs="Times New Roman"/>
          <w:sz w:val="26"/>
          <w:szCs w:val="26"/>
          <w:lang w:eastAsia="hu-HU"/>
        </w:rPr>
        <w:t>magasabb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előző év azonos időszakának bevételéhez képest. A bevételek jelentős részét az „Alapok alapja GINOP pénzügyi eszközök” törvényi sorra befolyt összegek teszik ki, melyek nem uniós bevételként jóváírt tételek.</w:t>
      </w:r>
    </w:p>
    <w:p w14:paraId="56786471" w14:textId="39D816AB" w:rsidR="00B63DA3" w:rsidRPr="004966FE" w:rsidRDefault="716D41F4" w:rsidP="716D41F4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716D41F4">
        <w:rPr>
          <w:rFonts w:ascii="Times New Roman" w:hAnsi="Times New Roman" w:cs="Times New Roman"/>
          <w:sz w:val="26"/>
          <w:szCs w:val="26"/>
          <w:lang w:eastAsia="hu-HU"/>
        </w:rPr>
        <w:t xml:space="preserve">2025. év első </w:t>
      </w:r>
      <w:r w:rsidR="00A01D51">
        <w:rPr>
          <w:rFonts w:ascii="Times New Roman" w:hAnsi="Times New Roman" w:cs="Times New Roman"/>
          <w:sz w:val="26"/>
          <w:szCs w:val="26"/>
          <w:lang w:eastAsia="hu-HU"/>
        </w:rPr>
        <w:t>kilenchavi</w:t>
      </w:r>
      <w:r w:rsidRPr="716D41F4">
        <w:rPr>
          <w:rFonts w:ascii="Times New Roman" w:hAnsi="Times New Roman" w:cs="Times New Roman"/>
          <w:sz w:val="26"/>
          <w:szCs w:val="26"/>
          <w:lang w:eastAsia="hu-HU"/>
        </w:rPr>
        <w:t xml:space="preserve">, </w:t>
      </w:r>
      <w:r w:rsidR="00A01D51">
        <w:rPr>
          <w:rFonts w:ascii="Times New Roman" w:hAnsi="Times New Roman" w:cs="Times New Roman"/>
          <w:sz w:val="26"/>
          <w:szCs w:val="26"/>
          <w:lang w:eastAsia="hu-HU"/>
        </w:rPr>
        <w:t>2710,4</w:t>
      </w:r>
      <w:r w:rsidRPr="716D41F4">
        <w:rPr>
          <w:rFonts w:ascii="Times New Roman" w:hAnsi="Times New Roman" w:cs="Times New Roman"/>
          <w:sz w:val="26"/>
          <w:szCs w:val="26"/>
          <w:lang w:eastAsia="hu-HU"/>
        </w:rPr>
        <w:t xml:space="preserve"> milliárd forint összegű bevételek megoszlását a következő grafikon szemlélteti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</w:p>
    <w:p w14:paraId="576D18BB" w14:textId="51FD2998" w:rsidR="00B056CC" w:rsidRPr="00377D59" w:rsidRDefault="0019257A" w:rsidP="00C2238F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783193A6" wp14:editId="19D95B5F">
            <wp:extent cx="5283200" cy="2858874"/>
            <wp:effectExtent l="0" t="0" r="0" b="0"/>
            <wp:docPr id="572260051" name="Kép 1" descr="A képen szöveg, képernyőkép, diagram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60051" name="Kép 1" descr="A képen szöveg, képernyőkép, diagram, sor látható&#10;&#10;Előfordulhat, hogy a mesterséges intelligencia által létrehozott tartalom helytelen."/>
                    <pic:cNvPicPr/>
                  </pic:nvPicPr>
                  <pic:blipFill rotWithShape="1">
                    <a:blip r:embed="rId24"/>
                    <a:srcRect r="1229" b="1186"/>
                    <a:stretch/>
                  </pic:blipFill>
                  <pic:spPr bwMode="auto">
                    <a:xfrm>
                      <a:off x="0" y="0"/>
                      <a:ext cx="5292986" cy="2864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331B2" w14:textId="0B26590D" w:rsidR="00266768" w:rsidRPr="00E56F21" w:rsidRDefault="716D41F4" w:rsidP="716D41F4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költségvetési szervek kiadásai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mérlegsoron 2025 első </w:t>
      </w:r>
      <w:r w:rsidR="00A01D51">
        <w:rPr>
          <w:rFonts w:ascii="Times New Roman" w:eastAsia="Times New Roman" w:hAnsi="Times New Roman" w:cs="Times New Roman"/>
          <w:sz w:val="26"/>
          <w:szCs w:val="26"/>
          <w:lang w:eastAsia="hu-HU"/>
        </w:rPr>
        <w:t>kilenc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</w:t>
      </w:r>
      <w:r w:rsidR="00A01D51">
        <w:rPr>
          <w:rFonts w:ascii="Times New Roman" w:eastAsia="Times New Roman" w:hAnsi="Times New Roman" w:cs="Times New Roman"/>
          <w:sz w:val="26"/>
          <w:szCs w:val="26"/>
          <w:lang w:eastAsia="hu-HU"/>
        </w:rPr>
        <w:t>6765,2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 forint kiadás teljesült, mely 9,</w:t>
      </w:r>
      <w:r w:rsidR="00A01D51">
        <w:rPr>
          <w:rFonts w:ascii="Times New Roman" w:eastAsia="Times New Roman" w:hAnsi="Times New Roman" w:cs="Times New Roman"/>
          <w:sz w:val="26"/>
          <w:szCs w:val="26"/>
          <w:lang w:eastAsia="hu-HU"/>
        </w:rPr>
        <w:t>1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magasabb az előző év azonos időszakának kiadásaihoz képest. A kiadásból </w:t>
      </w:r>
      <w:r w:rsidR="00890030">
        <w:rPr>
          <w:rFonts w:ascii="Times New Roman" w:eastAsia="Times New Roman" w:hAnsi="Times New Roman" w:cs="Times New Roman"/>
          <w:sz w:val="26"/>
          <w:szCs w:val="26"/>
          <w:lang w:eastAsia="hu-HU"/>
        </w:rPr>
        <w:t>3917,1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milliárd forint a személyi juttatásokra és munkaadókat terhelő járulékokra kifizetett összeg.</w:t>
      </w:r>
    </w:p>
    <w:p w14:paraId="690E18FB" w14:textId="5323ACC8" w:rsidR="0074788C" w:rsidRPr="004966FE" w:rsidRDefault="716D41F4" w:rsidP="716D41F4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szakmai fejezeti kezelésű előirányzatok kiadásai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mérlegsoron 2025 első </w:t>
      </w:r>
      <w:r w:rsidR="00F27EFB">
        <w:rPr>
          <w:rFonts w:ascii="Times New Roman" w:eastAsia="Times New Roman" w:hAnsi="Times New Roman" w:cs="Times New Roman"/>
          <w:sz w:val="26"/>
          <w:szCs w:val="26"/>
          <w:lang w:eastAsia="hu-HU"/>
        </w:rPr>
        <w:t>kilen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 hónapjában </w:t>
      </w:r>
      <w:r w:rsidR="00890030">
        <w:rPr>
          <w:rFonts w:ascii="Times New Roman" w:eastAsia="Times New Roman" w:hAnsi="Times New Roman" w:cs="Times New Roman"/>
          <w:sz w:val="26"/>
          <w:szCs w:val="26"/>
          <w:lang w:eastAsia="hu-HU"/>
        </w:rPr>
        <w:t>3989,5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milliárd forint kiadás teljesült, mely </w:t>
      </w:r>
      <w:r w:rsidR="00890030">
        <w:rPr>
          <w:rFonts w:ascii="Times New Roman" w:eastAsia="Times New Roman" w:hAnsi="Times New Roman" w:cs="Times New Roman"/>
          <w:sz w:val="26"/>
          <w:szCs w:val="26"/>
          <w:lang w:eastAsia="hu-HU"/>
        </w:rPr>
        <w:t>19,7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%-kal magasabb, mint az előző év azonos időszakának kiadása. Ezen időszak teljesítéséből az alábbi kiadások emelhetők ki:</w:t>
      </w:r>
    </w:p>
    <w:p w14:paraId="1F07A5C3" w14:textId="5CE13A09" w:rsidR="000E4F73" w:rsidRPr="00BE4BAC" w:rsidRDefault="5DC4A04A" w:rsidP="0E6BB8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966FE"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br w:type="page"/>
      </w:r>
    </w:p>
    <w:p w14:paraId="036EE87C" w14:textId="77777777" w:rsidR="000E4F73" w:rsidRPr="00A61DE1" w:rsidRDefault="716D41F4" w:rsidP="716D41F4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  <w:r w:rsidRPr="716D41F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lastRenderedPageBreak/>
        <w:t>milliárd forint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2"/>
        <w:gridCol w:w="851"/>
      </w:tblGrid>
      <w:tr w:rsidR="00D33920" w:rsidRPr="00D33705" w14:paraId="26A524AC" w14:textId="77777777" w:rsidTr="565C7792">
        <w:trPr>
          <w:trHeight w:val="340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E3F3" w14:textId="77777777" w:rsidR="00D33920" w:rsidRPr="00D33705" w:rsidRDefault="716D41F4" w:rsidP="716D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716D41F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Normatív finanszírozás (köznevelési célú humánszolgáltatás és működési támogatás, hit- és erkölcstanoktatás és tankönyvtámogatás, illetve szociális, gyermekvédelmi, gyermekjóléti és fogyatékos személyek esélyegyenlőségét elősegítő célelőirányzatok)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CAB3" w14:textId="54488A0E" w:rsidR="00D33920" w:rsidRPr="00D33705" w:rsidRDefault="00EE0057" w:rsidP="565C77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773,9</w:t>
            </w:r>
          </w:p>
        </w:tc>
      </w:tr>
      <w:tr w:rsidR="00D33920" w:rsidRPr="00D33705" w14:paraId="0AE5AE84" w14:textId="77777777" w:rsidTr="565C779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5244" w14:textId="77777777" w:rsidR="00D33920" w:rsidRPr="002763AE" w:rsidRDefault="716D41F4" w:rsidP="716D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716D41F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Nem állami felsőoktatási intézmények támogatása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E4A6" w14:textId="6BF78BDD" w:rsidR="00D33920" w:rsidRPr="002763AE" w:rsidRDefault="00EE0057" w:rsidP="565C77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420,0</w:t>
            </w:r>
          </w:p>
        </w:tc>
      </w:tr>
      <w:tr w:rsidR="00EE0057" w:rsidRPr="00D33705" w14:paraId="2311B6CC" w14:textId="77777777" w:rsidTr="565C779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E1AC" w14:textId="367F6D69" w:rsidR="00EE0057" w:rsidRPr="716D41F4" w:rsidRDefault="00EE0057" w:rsidP="716D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EE005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Közlekedési ágazati programok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43DA" w14:textId="2D9B3650" w:rsidR="00EE0057" w:rsidRDefault="00EE0057" w:rsidP="565C77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EE005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111,8</w:t>
            </w:r>
          </w:p>
        </w:tc>
      </w:tr>
      <w:tr w:rsidR="00D33920" w:rsidRPr="00D33705" w14:paraId="42DCA3C3" w14:textId="77777777" w:rsidTr="565C779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B2CA" w14:textId="7C75A97E" w:rsidR="00D33920" w:rsidRPr="002763AE" w:rsidRDefault="716D41F4" w:rsidP="716D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716D41F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Térségi fejlesztési feladatok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DA61" w14:textId="79913282" w:rsidR="00D33920" w:rsidRPr="002763AE" w:rsidRDefault="00EE0057" w:rsidP="565C77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108,4</w:t>
            </w:r>
          </w:p>
        </w:tc>
      </w:tr>
      <w:tr w:rsidR="00EB1850" w:rsidRPr="00D33705" w14:paraId="738BB1D7" w14:textId="77777777" w:rsidTr="565C779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CB99" w14:textId="1D444CE1" w:rsidR="00EB1850" w:rsidRPr="002763AE" w:rsidRDefault="716D41F4" w:rsidP="716D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716D41F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Turisztikai fejlesztési célelőirányzat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4D1A" w14:textId="56A73DD7" w:rsidR="00EB1850" w:rsidRPr="002763AE" w:rsidRDefault="00EE0057" w:rsidP="565C77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100,2</w:t>
            </w:r>
          </w:p>
        </w:tc>
      </w:tr>
      <w:tr w:rsidR="00EB1850" w:rsidRPr="00D33705" w14:paraId="691BD3D5" w14:textId="77777777" w:rsidTr="565C779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D7E5" w14:textId="4D256046" w:rsidR="00EB1850" w:rsidRPr="002763AE" w:rsidRDefault="716D41F4" w:rsidP="716D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716D41F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Beruházás ösztönzési célelőirányzat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0DAE" w14:textId="531189B1" w:rsidR="00EB1850" w:rsidRPr="002763AE" w:rsidRDefault="00EE0057" w:rsidP="565C77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59,5</w:t>
            </w:r>
          </w:p>
        </w:tc>
      </w:tr>
      <w:tr w:rsidR="00EB1850" w:rsidRPr="00D33705" w14:paraId="1D9DF599" w14:textId="77777777" w:rsidTr="565C779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862C" w14:textId="69F94ADF" w:rsidR="00EB1850" w:rsidRPr="002763AE" w:rsidRDefault="716D41F4" w:rsidP="716D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716D41F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Megváltozott munkaképességű munkavállalók foglalkoztatásának támogatása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0BF8" w14:textId="16543DFE" w:rsidR="00EB1850" w:rsidRPr="002763AE" w:rsidRDefault="00EE0057" w:rsidP="565C77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54,8</w:t>
            </w:r>
          </w:p>
        </w:tc>
      </w:tr>
    </w:tbl>
    <w:p w14:paraId="130E1B4D" w14:textId="2195D9CD" w:rsidR="0033462C" w:rsidRPr="00A61DE1" w:rsidRDefault="716D41F4" w:rsidP="716D41F4">
      <w:pPr>
        <w:spacing w:before="160"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2025. év első </w:t>
      </w:r>
      <w:r w:rsidR="0037705D">
        <w:rPr>
          <w:rFonts w:ascii="Times New Roman" w:eastAsia="Times New Roman" w:hAnsi="Times New Roman" w:cs="Times New Roman"/>
          <w:sz w:val="26"/>
          <w:szCs w:val="26"/>
          <w:lang w:eastAsia="hu-HU"/>
        </w:rPr>
        <w:t>kilen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chavi, </w:t>
      </w:r>
      <w:r w:rsidR="00890030">
        <w:rPr>
          <w:rFonts w:ascii="Times New Roman" w:eastAsia="Times New Roman" w:hAnsi="Times New Roman" w:cs="Times New Roman"/>
          <w:sz w:val="26"/>
          <w:szCs w:val="26"/>
          <w:lang w:eastAsia="hu-HU"/>
        </w:rPr>
        <w:t>10 754,7</w:t>
      </w:r>
      <w:r w:rsidR="0037705D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="0037705D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 összegű kiadások megoszlását a következő grafikon szemlélteti:</w:t>
      </w:r>
    </w:p>
    <w:p w14:paraId="3599A16D" w14:textId="47ED5C0A" w:rsidR="00B056CC" w:rsidRDefault="0019257A" w:rsidP="009C33A4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77F0C638" wp14:editId="5CB420E6">
            <wp:extent cx="5041265" cy="2935843"/>
            <wp:effectExtent l="0" t="0" r="6985" b="0"/>
            <wp:docPr id="1827321640" name="Kép 1" descr="A képen szöveg, képernyőkép, diagram, sor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21640" name="Kép 1" descr="A képen szöveg, képernyőkép, diagram, sor látható"/>
                    <pic:cNvPicPr/>
                  </pic:nvPicPr>
                  <pic:blipFill rotWithShape="1">
                    <a:blip r:embed="rId25"/>
                    <a:srcRect b="2225"/>
                    <a:stretch/>
                  </pic:blipFill>
                  <pic:spPr bwMode="auto">
                    <a:xfrm>
                      <a:off x="0" y="0"/>
                      <a:ext cx="5053717" cy="2943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68C4E" w14:textId="3E063542" w:rsidR="00B155FE" w:rsidRPr="00377D59" w:rsidRDefault="716D41F4" w:rsidP="716D41F4">
      <w:pPr>
        <w:keepNext/>
        <w:numPr>
          <w:ilvl w:val="0"/>
          <w:numId w:val="3"/>
        </w:numPr>
        <w:ind w:left="714" w:hanging="357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t>Kamategyenleg</w:t>
      </w:r>
    </w:p>
    <w:p w14:paraId="0047F521" w14:textId="0E7D00AE" w:rsidR="003F3151" w:rsidRDefault="716D41F4" w:rsidP="716D41F4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1416201"/>
      <w:r w:rsidRPr="00797CE0">
        <w:rPr>
          <w:rFonts w:ascii="Times New Roman" w:hAnsi="Times New Roman" w:cs="Times New Roman"/>
          <w:sz w:val="26"/>
          <w:szCs w:val="26"/>
          <w:lang w:eastAsia="hu-HU"/>
        </w:rPr>
        <w:t>A bevételek és kiadások egyenlegeként adódó 28</w:t>
      </w:r>
      <w:r w:rsidR="00797CE0">
        <w:rPr>
          <w:rFonts w:ascii="Times New Roman" w:hAnsi="Times New Roman" w:cs="Times New Roman"/>
          <w:sz w:val="26"/>
          <w:szCs w:val="26"/>
          <w:lang w:eastAsia="hu-HU"/>
        </w:rPr>
        <w:t>41</w:t>
      </w:r>
      <w:r w:rsidRPr="00797CE0">
        <w:rPr>
          <w:rFonts w:ascii="Times New Roman" w:hAnsi="Times New Roman" w:cs="Times New Roman"/>
          <w:sz w:val="26"/>
          <w:szCs w:val="26"/>
          <w:lang w:eastAsia="hu-HU"/>
        </w:rPr>
        <w:t xml:space="preserve">,8 milliárd forint összegű </w:t>
      </w:r>
      <w:r w:rsidRPr="00797CE0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nettó</w:t>
      </w:r>
      <w:r w:rsidRPr="00797CE0">
        <w:rPr>
          <w:rFonts w:ascii="Times New Roman" w:hAnsi="Times New Roman" w:cs="Times New Roman"/>
          <w:b/>
          <w:bCs/>
          <w:sz w:val="26"/>
          <w:szCs w:val="26"/>
        </w:rPr>
        <w:t xml:space="preserve"> kamatkiadás</w:t>
      </w:r>
      <w:r w:rsidRPr="00797CE0">
        <w:rPr>
          <w:rFonts w:ascii="Times New Roman" w:hAnsi="Times New Roman" w:cs="Times New Roman"/>
          <w:sz w:val="26"/>
          <w:szCs w:val="26"/>
        </w:rPr>
        <w:t xml:space="preserve"> </w:t>
      </w:r>
      <w:r w:rsidR="00797CE0">
        <w:rPr>
          <w:rFonts w:ascii="Times New Roman" w:hAnsi="Times New Roman" w:cs="Times New Roman"/>
          <w:sz w:val="26"/>
          <w:szCs w:val="26"/>
        </w:rPr>
        <w:t>szeptember</w:t>
      </w:r>
      <w:r w:rsidRPr="00797CE0">
        <w:rPr>
          <w:rFonts w:ascii="Times New Roman" w:hAnsi="Times New Roman" w:cs="Times New Roman"/>
          <w:sz w:val="26"/>
          <w:szCs w:val="26"/>
        </w:rPr>
        <w:t xml:space="preserve"> végéig 5</w:t>
      </w:r>
      <w:r w:rsidR="00797CE0">
        <w:rPr>
          <w:rFonts w:ascii="Times New Roman" w:hAnsi="Times New Roman" w:cs="Times New Roman"/>
          <w:sz w:val="26"/>
          <w:szCs w:val="26"/>
        </w:rPr>
        <w:t>5</w:t>
      </w:r>
      <w:r w:rsidRPr="00797CE0">
        <w:rPr>
          <w:rFonts w:ascii="Times New Roman" w:hAnsi="Times New Roman" w:cs="Times New Roman"/>
          <w:sz w:val="26"/>
          <w:szCs w:val="26"/>
        </w:rPr>
        <w:t>9,</w:t>
      </w:r>
      <w:r w:rsidR="00797CE0">
        <w:rPr>
          <w:rFonts w:ascii="Times New Roman" w:hAnsi="Times New Roman" w:cs="Times New Roman"/>
          <w:sz w:val="26"/>
          <w:szCs w:val="26"/>
        </w:rPr>
        <w:t>5</w:t>
      </w:r>
      <w:r w:rsidRPr="00797CE0">
        <w:rPr>
          <w:rFonts w:ascii="Times New Roman" w:hAnsi="Times New Roman" w:cs="Times New Roman"/>
          <w:sz w:val="26"/>
          <w:szCs w:val="26"/>
        </w:rPr>
        <w:t> milliárd forinttal lett magasabb az előző évhez képest, mely az előző évitől különböző hozamokkal és finanszírozási szerkezettel magyarázható.</w:t>
      </w:r>
    </w:p>
    <w:bookmarkEnd w:id="1"/>
    <w:p w14:paraId="1475120F" w14:textId="77777777" w:rsidR="00224E67" w:rsidRDefault="00224E67" w:rsidP="716D41F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833000" w14:textId="77777777" w:rsidR="00224E67" w:rsidRDefault="00224E67" w:rsidP="716D41F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768C50" w14:textId="77777777" w:rsidR="00B155FE" w:rsidRPr="00377D59" w:rsidRDefault="00B155FE" w:rsidP="00B155FE">
      <w:pPr>
        <w:tabs>
          <w:tab w:val="left" w:pos="55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0"/>
          <w:lang w:eastAsia="hu-HU"/>
        </w:rPr>
      </w:pPr>
      <w:r w:rsidRPr="00377D59">
        <w:rPr>
          <w:rFonts w:ascii="Times New Roman" w:eastAsia="Times New Roman" w:hAnsi="Times New Roman" w:cs="Times New Roman"/>
          <w:caps/>
          <w:sz w:val="26"/>
          <w:szCs w:val="20"/>
          <w:lang w:eastAsia="hu-HU"/>
        </w:rPr>
        <w:br w:type="page"/>
      </w:r>
    </w:p>
    <w:p w14:paraId="688B9DA7" w14:textId="77777777" w:rsidR="00C9408B" w:rsidRDefault="716D41F4" w:rsidP="716D41F4">
      <w:pPr>
        <w:keepNext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lastRenderedPageBreak/>
        <w:t>II.</w:t>
      </w:r>
    </w:p>
    <w:p w14:paraId="7B768C51" w14:textId="63BB059C" w:rsidR="00B155FE" w:rsidRPr="00377D59" w:rsidRDefault="716D41F4" w:rsidP="716D41F4">
      <w:pPr>
        <w:keepNext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Az államháztartás központi alrendszerének finanszírozása</w:t>
      </w:r>
    </w:p>
    <w:p w14:paraId="1C71E48D" w14:textId="629B018C" w:rsidR="00224E67" w:rsidRPr="008E6DF0" w:rsidRDefault="716D41F4" w:rsidP="00224E67">
      <w:pPr>
        <w:ind w:right="2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="00224E67"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központi költségvetés adóssága 2025. </w:t>
      </w:r>
      <w:r w:rsidR="00224E67">
        <w:rPr>
          <w:rFonts w:ascii="Times New Roman" w:eastAsia="Times New Roman" w:hAnsi="Times New Roman" w:cs="Times New Roman"/>
          <w:sz w:val="26"/>
          <w:szCs w:val="26"/>
          <w:lang w:eastAsia="hu-HU"/>
        </w:rPr>
        <w:t>szeptember</w:t>
      </w:r>
      <w:r w:rsidR="00224E67"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végéig </w:t>
      </w:r>
      <w:r w:rsidR="00224E67">
        <w:rPr>
          <w:rFonts w:ascii="Times New Roman" w:eastAsia="Times New Roman" w:hAnsi="Times New Roman" w:cs="Times New Roman"/>
          <w:sz w:val="26"/>
          <w:szCs w:val="26"/>
          <w:lang w:eastAsia="hu-HU"/>
        </w:rPr>
        <w:t>4195,8</w:t>
      </w:r>
      <w:r w:rsidR="00224E67"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 forinttal növekedett a következő négy tényező eredményeképpen:</w:t>
      </w:r>
    </w:p>
    <w:p w14:paraId="5859C4A5" w14:textId="77777777" w:rsidR="00224E67" w:rsidRDefault="00224E67" w:rsidP="00224E67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509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Az első tényező </w:t>
      </w:r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>a nettó forintkibocsátás, amely 2398,9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milliárd forinttal </w:t>
      </w:r>
      <w:r w:rsidRPr="0056509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növelte </w:t>
      </w:r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>az adósságot, így segítette a költségvetési hiány egy részének finanszírozását.</w:t>
      </w:r>
    </w:p>
    <w:p w14:paraId="06D9DC77" w14:textId="19CFC9DF" w:rsidR="00224E67" w:rsidRDefault="00224E67" w:rsidP="00224E67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509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második – szintén növelő hatású – tényező</w:t>
      </w:r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nettó devizakibocsátás, amely 2782,</w:t>
      </w:r>
      <w:r w:rsidR="00797CE0">
        <w:rPr>
          <w:rFonts w:ascii="Times New Roman" w:eastAsia="Times New Roman" w:hAnsi="Times New Roman" w:cs="Times New Roman"/>
          <w:sz w:val="26"/>
          <w:szCs w:val="26"/>
          <w:lang w:eastAsia="hu-H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 forint összegben hozzájárul a hiány finanszírozásához és a devizabetétállomány növekedéséhez.</w:t>
      </w:r>
    </w:p>
    <w:p w14:paraId="6EEB71A2" w14:textId="77777777" w:rsidR="00224E67" w:rsidRDefault="00224E67" w:rsidP="00224E67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509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harmadik – fentiekkel ellentétes, csökkentő hatású – tényező</w:t>
      </w:r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forint árfolyamának az elmúlt év végéhez képest bekövetkezett erősödése, amely az adósság devizában fennálló részének forintban számított nyilvántartási értékét 897,7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 forinttal mérsékelte.</w:t>
      </w:r>
    </w:p>
    <w:p w14:paraId="063FC6AD" w14:textId="02D8E443" w:rsidR="00224E67" w:rsidRDefault="00224E67" w:rsidP="00224E67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509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negyedik – további csökkentő hatású – tényező</w:t>
      </w:r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deviza-keresztárfolyamok változása és az egyéb tényezők miatt bekövetkezett mark-</w:t>
      </w:r>
      <w:proofErr w:type="spellStart"/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>to</w:t>
      </w:r>
      <w:proofErr w:type="spellEnd"/>
      <w:r w:rsidRPr="00565092">
        <w:rPr>
          <w:rFonts w:ascii="Times New Roman" w:eastAsia="Times New Roman" w:hAnsi="Times New Roman" w:cs="Times New Roman"/>
          <w:sz w:val="26"/>
          <w:szCs w:val="26"/>
          <w:lang w:eastAsia="hu-HU"/>
        </w:rPr>
        <w:t>-market betétállományok csökkenése 87,8 milliárd forint összegben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510E0310" w14:textId="55B98873" w:rsidR="00CE4893" w:rsidRDefault="00CE4893" w:rsidP="00224E67">
      <w:pPr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11568C6" w14:textId="77777777" w:rsidR="007B0B76" w:rsidRDefault="007B0B76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57CBCF7" w14:textId="192A582E" w:rsidR="007B0B76" w:rsidRPr="007B0B76" w:rsidRDefault="007B0B76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  <w:sectPr w:rsidR="007B0B76" w:rsidRPr="007B0B76" w:rsidSect="007449BF">
          <w:headerReference w:type="default" r:id="rId26"/>
          <w:footerReference w:type="default" r:id="rId27"/>
          <w:footnotePr>
            <w:numRestart w:val="eachPage"/>
          </w:footnotePr>
          <w:pgSz w:w="11907" w:h="16840" w:code="9"/>
          <w:pgMar w:top="1134" w:right="1134" w:bottom="1418" w:left="1418" w:header="709" w:footer="709" w:gutter="0"/>
          <w:cols w:space="708"/>
          <w:docGrid w:linePitch="354"/>
        </w:sectPr>
      </w:pPr>
    </w:p>
    <w:p w14:paraId="7B768C5C" w14:textId="31505053" w:rsidR="00B155FE" w:rsidRPr="00377D59" w:rsidRDefault="716D41F4" w:rsidP="716D41F4">
      <w:pPr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 xml:space="preserve">Az előzetes adatok szerint 2025. </w:t>
      </w:r>
      <w:r w:rsidR="00224E67" w:rsidRPr="00224E6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szeptember 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végén a </w:t>
      </w:r>
      <w:r w:rsidRPr="716D41F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központi költségvetés forint- és devizaadóssága </w:t>
      </w: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az alábbiak szerint alakult:</w:t>
      </w:r>
    </w:p>
    <w:p w14:paraId="7B768C5D" w14:textId="252296E8" w:rsidR="00B155FE" w:rsidRDefault="716D41F4" w:rsidP="716D41F4">
      <w:pPr>
        <w:overflowPunct w:val="0"/>
        <w:autoSpaceDE w:val="0"/>
        <w:autoSpaceDN w:val="0"/>
        <w:adjustRightInd w:val="0"/>
        <w:spacing w:after="120" w:line="240" w:lineRule="auto"/>
        <w:ind w:right="23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716D41F4">
        <w:rPr>
          <w:rFonts w:ascii="Times New Roman" w:eastAsia="Times New Roman" w:hAnsi="Times New Roman" w:cs="Times New Roman"/>
          <w:sz w:val="26"/>
          <w:szCs w:val="26"/>
          <w:lang w:eastAsia="hu-HU"/>
        </w:rPr>
        <w:t>A központi költségvetés adósságának alakulása 2025-ben, milliárd forint</w:t>
      </w:r>
    </w:p>
    <w:p w14:paraId="31C86ED1" w14:textId="490D251C" w:rsidR="007B0B76" w:rsidRDefault="00224E67" w:rsidP="13E847AC">
      <w:pPr>
        <w:overflowPunct w:val="0"/>
        <w:autoSpaceDE w:val="0"/>
        <w:autoSpaceDN w:val="0"/>
        <w:adjustRightInd w:val="0"/>
        <w:spacing w:after="120" w:line="240" w:lineRule="auto"/>
        <w:ind w:right="23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E67">
        <w:rPr>
          <w:noProof/>
        </w:rPr>
        <w:drawing>
          <wp:inline distT="0" distB="0" distL="0" distR="0" wp14:anchorId="18556CE7" wp14:editId="125799AA">
            <wp:extent cx="8632611" cy="4086225"/>
            <wp:effectExtent l="0" t="0" r="0" b="0"/>
            <wp:docPr id="1835093662" name="Kép 1" descr="A képen szöveg, szám, Párhuzamos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93662" name="Kép 1" descr="A képen szöveg, szám, Párhuzamos, Betűtípus látható&#10;&#10;Előfordulhat, hogy a mesterséges intelligencia által létrehozott tartalom helytelen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35728" cy="40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68C5F" w14:textId="77777777" w:rsidR="00B155FE" w:rsidRPr="00377D59" w:rsidRDefault="716D41F4" w:rsidP="716D41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716D41F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 a táblában szereplő tizedes eltérések kerekítésből adódnak.</w:t>
      </w:r>
    </w:p>
    <w:p w14:paraId="67FEF71B" w14:textId="4352F928" w:rsidR="00617877" w:rsidRPr="00377D59" w:rsidRDefault="00617877" w:rsidP="00617877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12D5E01" w14:textId="247C2A7A" w:rsidR="00617877" w:rsidRPr="00377D59" w:rsidRDefault="00617877" w:rsidP="00617877">
      <w:pPr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A764331" w14:textId="77777777" w:rsidR="00EA1F58" w:rsidRPr="00377D59" w:rsidRDefault="00EA1F58" w:rsidP="00617877">
      <w:pPr>
        <w:rPr>
          <w:rFonts w:ascii="Times New Roman" w:eastAsia="Times New Roman" w:hAnsi="Times New Roman" w:cs="Times New Roman"/>
          <w:sz w:val="26"/>
          <w:szCs w:val="26"/>
          <w:lang w:eastAsia="hu-HU"/>
        </w:rPr>
        <w:sectPr w:rsidR="00EA1F58" w:rsidRPr="00377D59" w:rsidSect="007449BF">
          <w:headerReference w:type="default" r:id="rId29"/>
          <w:headerReference w:type="first" r:id="rId30"/>
          <w:footnotePr>
            <w:numRestart w:val="eachPage"/>
          </w:footnotePr>
          <w:pgSz w:w="16840" w:h="11907" w:orient="landscape" w:code="9"/>
          <w:pgMar w:top="993" w:right="1134" w:bottom="1134" w:left="1418" w:header="709" w:footer="709" w:gutter="0"/>
          <w:pgNumType w:start="19"/>
          <w:cols w:space="708"/>
          <w:titlePg/>
          <w:docGrid w:linePitch="299"/>
        </w:sectPr>
      </w:pPr>
    </w:p>
    <w:p w14:paraId="06CCC486" w14:textId="77777777" w:rsidR="00224E67" w:rsidRPr="00E829D4" w:rsidRDefault="00224E67" w:rsidP="00224E67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29D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 xml:space="preserve">A központi költségvetés devizaadóssága 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2025-ben 1884,8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18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442,6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forintra növekedett az elmúlt év végéhez képest. A devizaadósság részaránya a 2024. év végi 29,8%-os szintről 30,9%-os szintre emelkedett a teljes adósságon belül.</w:t>
      </w:r>
    </w:p>
    <w:p w14:paraId="789C042B" w14:textId="63D0ED14" w:rsidR="00224E67" w:rsidRPr="00E829D4" w:rsidRDefault="00224E67" w:rsidP="00224E67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A növekedés hátterében döntően a devizakötvény-kibocsátások állnak. 2025. január 7-én sor került az idei év első nemzetközi eurókötvény-kibocsátására összesen 1035,7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(2,5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összegben. Két sorozat piacra vitele történt meg, egy 10 éves futamidejű hagyományos sorozat 621,4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és egy 15 éves futamidejű zöld sorozat 414,3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összegben. 2025. június 16-án valósult meg a második nemzetközi devizakötvénykibocsátás, összesen 1404,6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értékben. Ez három tételből állt, az 5 éves futamidejű 526,7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összegű, a 10 éves futamidejű 351,1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 és a 30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éves futamidejű 526,7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 sorozatból. 2025.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július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22-én volt Magyarország idei harmadik devizakötvény kibocsátása, amely egyben hazánk ötödik Panda Kötvény kibocsátása Kínában, összesen 237,8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 (5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összegben. Két sorozat értékesítése történt meg, egy 3 éves futamidejű 190,2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 (4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és egy 5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éves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futamidejű 47,6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 (1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összegű.</w:t>
      </w:r>
    </w:p>
    <w:p w14:paraId="1458EE5E" w14:textId="77777777" w:rsidR="00224E67" w:rsidRPr="00E829D4" w:rsidRDefault="00224E67" w:rsidP="00224E67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ECP (Euro </w:t>
      </w:r>
      <w:proofErr w:type="spellStart"/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Commercial</w:t>
      </w:r>
      <w:proofErr w:type="spellEnd"/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Paper</w:t>
      </w:r>
      <w:proofErr w:type="spellEnd"/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) program keretében áprilisban kibocsátott devizaértékpapírok összege 180,1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(500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millió USD) volt. A további devizahitel lehívások összege szintén emelte, míg az árfolyamerősödés ugyanakkor csökkentette a devizaadósság részarányát.</w:t>
      </w:r>
    </w:p>
    <w:p w14:paraId="32BD52A8" w14:textId="01288223" w:rsidR="00224E67" w:rsidRPr="00E829D4" w:rsidRDefault="00224E67" w:rsidP="00224E67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29D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költségvetés forintadóssága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szeptember végéig 2398,9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növekedett és 41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100,5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ért el, a forint adósság a teljes államadósság 68,9%-át teszi ki. 2024</w:t>
      </w:r>
      <w:r w:rsidR="007316D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decemberében ez az arány 69,8% volt. </w:t>
      </w:r>
    </w:p>
    <w:p w14:paraId="2418CDF3" w14:textId="43BB838C" w:rsidR="00224E67" w:rsidRPr="00E829D4" w:rsidRDefault="00224E67" w:rsidP="00224E67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2025.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szeptember végén a forint lakossági állampapírok állománya 11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001,5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ki, ami 261,4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csökkenést jelent 2024. december vége óta. A Prémium Magyar Állampapír állománya 2025. szeptember végére 2894,7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csökkent, amely így 4066,3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Fix Magyar Állampapír állománya 1917,6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növekedett és elérte a 2934,6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hó végén. Szintén emelkedett a Bónusz Magyar Állampapír állománya is, 820,0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növekedést követően a hó végén 2029,0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Magyar Állampapír Plusz állománya, a nyomdai kibocsátású és a korábban értékesített papírokkal együtt, 142,9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emelkedett, így hó végén 905,5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lakossági állampapírok közül a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Fix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Magyar Állampapír értékesítése volt a legmagasabb szeptemberben.</w:t>
      </w:r>
    </w:p>
    <w:p w14:paraId="66A1B1BA" w14:textId="55D20F99" w:rsidR="00224E67" w:rsidRPr="00E829D4" w:rsidRDefault="00224E67" w:rsidP="00224E67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Az ÁKK Zrt. szeptember hó folyamán összesen 8,2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összegben vásárolt vissza lakossági állampapírokat a forgalmazó bankoktól. 2025 áprilisától a forgalmazóknak lehetőség nyílt saját számlájukra került lakossági állampapírok cseréjére. Ennek keretében a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saját számlájukra került lakossági állampapírokat az épp értékesítés alatt álló sorozatokra válthatják be, amit a másodpiacon tovább értékesíthetnek a lakosság számára. 2025 október elejétől megújult a lakossági állampapír paletta, ezért hogy a bankoknak lehetőség nyíljon 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ezeket a papírokat is figyelembe venni a csere során, a szeptember havi csere áthúzódott október elsejére, amelynek folyamán a bankok 9,5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összegben éltek a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cserelehetőséggel.  </w:t>
      </w:r>
    </w:p>
    <w:p w14:paraId="642C0D3A" w14:textId="6DE95B70" w:rsidR="00224E67" w:rsidRPr="00E829D4" w:rsidRDefault="00224E67" w:rsidP="00224E67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29D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külföldi befektetők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állampapír állománya szeptemberben 692,9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6410,6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forintra csökkent az előző hónaphoz képest. A külföldi állomány 99,7%-a, 6388,7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államkötvény, 0,3%-a, 21,9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diszkontkincstárjegy. A</w:t>
      </w:r>
      <w:r w:rsidR="005E1A83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külföldi állomány átlagos hátralévő futamideje szeptember végén 5,6 év volt.</w:t>
      </w:r>
    </w:p>
    <w:p w14:paraId="41B275C0" w14:textId="16304489" w:rsidR="007B0B76" w:rsidRDefault="00224E67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devizaállamadósság kockázatainak mérséklése érdekében az ÁKK Zrt. </w:t>
      </w:r>
      <w:proofErr w:type="spellStart"/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swapügyleteket</w:t>
      </w:r>
      <w:proofErr w:type="spellEnd"/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köt. Ezen ügyletekhez kapcsolódóan az ÁKK Zrt.-nél elhelyezett fedezeti összegek (ún. mark-</w:t>
      </w:r>
      <w:proofErr w:type="spellStart"/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to</w:t>
      </w:r>
      <w:proofErr w:type="spellEnd"/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>-market betétek) az adósságállomány részét képezik, és az „egyéb kötelezettségek” soron kerülnek kimutatásra. A vizsgált időszakban az egyéb kötelezettségek állománya 87,8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csökkent. Szeptember végén az állomány 131,8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E829D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ki, ami a teljes államadósság 0,2%-át jelenti.</w:t>
      </w:r>
    </w:p>
    <w:p w14:paraId="32E988AF" w14:textId="77777777" w:rsidR="00807A87" w:rsidRPr="007B0B76" w:rsidRDefault="00807A87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sectPr w:rsidR="00807A87" w:rsidRPr="007B0B76" w:rsidSect="007449BF">
      <w:headerReference w:type="even" r:id="rId31"/>
      <w:footerReference w:type="default" r:id="rId32"/>
      <w:footerReference w:type="first" r:id="rId33"/>
      <w:pgSz w:w="11906" w:h="16838"/>
      <w:pgMar w:top="1418" w:right="1134" w:bottom="1418" w:left="1134" w:header="708" w:footer="6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494C" w14:textId="77777777" w:rsidR="00482CC1" w:rsidRDefault="00482CC1" w:rsidP="00B155FE">
      <w:pPr>
        <w:spacing w:after="0" w:line="240" w:lineRule="auto"/>
      </w:pPr>
      <w:r>
        <w:separator/>
      </w:r>
    </w:p>
  </w:endnote>
  <w:endnote w:type="continuationSeparator" w:id="0">
    <w:p w14:paraId="0CF0A269" w14:textId="77777777" w:rsidR="00482CC1" w:rsidRDefault="00482CC1" w:rsidP="00B155FE">
      <w:pPr>
        <w:spacing w:after="0" w:line="240" w:lineRule="auto"/>
      </w:pPr>
      <w:r>
        <w:continuationSeparator/>
      </w:r>
    </w:p>
  </w:endnote>
  <w:endnote w:type="continuationNotice" w:id="1">
    <w:p w14:paraId="5A5417C1" w14:textId="77777777" w:rsidR="00482CC1" w:rsidRDefault="00482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2D1F" w14:textId="4DE2DC1D" w:rsidR="00473AC1" w:rsidRDefault="00473AC1">
    <w:pPr>
      <w:pStyle w:val="llb"/>
      <w:jc w:val="center"/>
    </w:pPr>
  </w:p>
  <w:p w14:paraId="41773F2F" w14:textId="77777777" w:rsidR="00473AC1" w:rsidRDefault="00473A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154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2C756D2" w14:textId="3800D4A3" w:rsidR="00473AC1" w:rsidRPr="005A1E0F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 w:rsidRPr="005A1E0F">
          <w:rPr>
            <w:rFonts w:ascii="Times New Roman" w:hAnsi="Times New Roman" w:cs="Times New Roman"/>
          </w:rPr>
          <w:t>20</w:t>
        </w:r>
      </w:p>
    </w:sdtContent>
  </w:sdt>
  <w:p w14:paraId="64304736" w14:textId="77777777" w:rsidR="00473AC1" w:rsidRDefault="00473AC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558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0FD5F29" w14:textId="7D80A60B" w:rsidR="00473AC1" w:rsidRPr="00470868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 w:rsidRPr="00470868">
          <w:rPr>
            <w:rFonts w:ascii="Times New Roman" w:hAnsi="Times New Roman" w:cs="Times New Roman"/>
            <w:sz w:val="24"/>
          </w:rPr>
          <w:fldChar w:fldCharType="begin"/>
        </w:r>
        <w:r w:rsidRPr="00470868">
          <w:rPr>
            <w:rFonts w:ascii="Times New Roman" w:hAnsi="Times New Roman" w:cs="Times New Roman"/>
            <w:sz w:val="24"/>
          </w:rPr>
          <w:instrText>PAGE   \* MERGEFORMAT</w:instrText>
        </w:r>
        <w:r w:rsidRPr="00470868">
          <w:rPr>
            <w:rFonts w:ascii="Times New Roman" w:hAnsi="Times New Roman" w:cs="Times New Roman"/>
            <w:sz w:val="24"/>
          </w:rPr>
          <w:fldChar w:fldCharType="separate"/>
        </w:r>
        <w:r w:rsidR="007B6DF2">
          <w:rPr>
            <w:rFonts w:ascii="Times New Roman" w:hAnsi="Times New Roman" w:cs="Times New Roman"/>
            <w:noProof/>
            <w:sz w:val="24"/>
          </w:rPr>
          <w:t>19</w:t>
        </w:r>
        <w:r w:rsidRPr="004708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7329691" w14:textId="773A5D5E" w:rsidR="00473AC1" w:rsidRPr="00556984" w:rsidRDefault="00473AC1" w:rsidP="00556984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18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ADCE6C8" w14:textId="77777777" w:rsidR="00473AC1" w:rsidRPr="00D4148C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22</w:t>
        </w:r>
      </w:p>
    </w:sdtContent>
  </w:sdt>
  <w:p w14:paraId="078E8FA1" w14:textId="77777777" w:rsidR="00473AC1" w:rsidRDefault="00473AC1" w:rsidP="00C74E0F">
    <w:pPr>
      <w:pStyle w:val="llb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0D1" w14:textId="0EBE225F" w:rsidR="00473AC1" w:rsidRDefault="565C7792" w:rsidP="004A3001">
    <w:pPr>
      <w:pStyle w:val="llb"/>
      <w:jc w:val="center"/>
    </w:pPr>
    <w:r w:rsidRPr="565C7792">
      <w:rPr>
        <w:rFonts w:ascii="Times New Roman" w:hAnsi="Times New Roman" w:cs="Times New Roman"/>
        <w:sz w:val="24"/>
        <w:szCs w:val="24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CC32" w14:textId="77777777" w:rsidR="00482CC1" w:rsidRDefault="00482CC1" w:rsidP="00B155FE">
      <w:pPr>
        <w:spacing w:after="0" w:line="240" w:lineRule="auto"/>
      </w:pPr>
      <w:r>
        <w:separator/>
      </w:r>
    </w:p>
  </w:footnote>
  <w:footnote w:type="continuationSeparator" w:id="0">
    <w:p w14:paraId="733D9209" w14:textId="77777777" w:rsidR="00482CC1" w:rsidRDefault="00482CC1" w:rsidP="00B155FE">
      <w:pPr>
        <w:spacing w:after="0" w:line="240" w:lineRule="auto"/>
      </w:pPr>
      <w:r>
        <w:continuationSeparator/>
      </w:r>
    </w:p>
  </w:footnote>
  <w:footnote w:type="continuationNotice" w:id="1">
    <w:p w14:paraId="6B5CF0C7" w14:textId="77777777" w:rsidR="00482CC1" w:rsidRDefault="00482C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473AC1" w14:paraId="1027336C" w14:textId="77777777" w:rsidTr="75E7E8C2">
      <w:tc>
        <w:tcPr>
          <w:tcW w:w="3118" w:type="dxa"/>
        </w:tcPr>
        <w:p w14:paraId="4C837DDD" w14:textId="79A8EEFC" w:rsidR="00473AC1" w:rsidRDefault="00473AC1" w:rsidP="75E7E8C2">
          <w:pPr>
            <w:pStyle w:val="lfej"/>
            <w:ind w:left="-115"/>
          </w:pPr>
        </w:p>
      </w:tc>
      <w:tc>
        <w:tcPr>
          <w:tcW w:w="3118" w:type="dxa"/>
        </w:tcPr>
        <w:p w14:paraId="215A5B55" w14:textId="4B5EFC16" w:rsidR="00473AC1" w:rsidRDefault="00473AC1" w:rsidP="75E7E8C2">
          <w:pPr>
            <w:pStyle w:val="lfej"/>
            <w:jc w:val="center"/>
          </w:pPr>
        </w:p>
      </w:tc>
      <w:tc>
        <w:tcPr>
          <w:tcW w:w="3118" w:type="dxa"/>
        </w:tcPr>
        <w:p w14:paraId="08CD3A76" w14:textId="283AC16D" w:rsidR="00473AC1" w:rsidRDefault="00473AC1" w:rsidP="75E7E8C2">
          <w:pPr>
            <w:pStyle w:val="lfej"/>
            <w:ind w:right="-115"/>
            <w:jc w:val="right"/>
          </w:pPr>
        </w:p>
      </w:tc>
    </w:tr>
  </w:tbl>
  <w:p w14:paraId="4176297E" w14:textId="7CD13837" w:rsidR="00473AC1" w:rsidRDefault="00473AC1" w:rsidP="75E7E8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47D1" w14:textId="3D0DDD49" w:rsidR="00473AC1" w:rsidRDefault="00473AC1" w:rsidP="75E7E8C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C96" w14:textId="77777777" w:rsidR="00473AC1" w:rsidRPr="00881044" w:rsidRDefault="00473AC1" w:rsidP="00C74E0F">
    <w:pPr>
      <w:pStyle w:val="lfej"/>
      <w:rPr>
        <w:rStyle w:val="Oldalszm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C97" w14:textId="77777777" w:rsidR="00473AC1" w:rsidRPr="00FE4DD1" w:rsidRDefault="00473AC1" w:rsidP="00C74E0F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0095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B15785" w14:textId="77777777" w:rsidR="00473AC1" w:rsidRDefault="00473AC1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A775F7D" w14:textId="77777777" w:rsidR="00473AC1" w:rsidRDefault="00473A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298"/>
    <w:multiLevelType w:val="hybridMultilevel"/>
    <w:tmpl w:val="44CCC2AC"/>
    <w:lvl w:ilvl="0" w:tplc="08783BE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2D43"/>
    <w:multiLevelType w:val="hybridMultilevel"/>
    <w:tmpl w:val="390E53F2"/>
    <w:lvl w:ilvl="0" w:tplc="F872D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C4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C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EF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66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06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A3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3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4D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7670D"/>
    <w:multiLevelType w:val="hybridMultilevel"/>
    <w:tmpl w:val="FDDC7674"/>
    <w:lvl w:ilvl="0" w:tplc="9120D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33469"/>
    <w:multiLevelType w:val="hybridMultilevel"/>
    <w:tmpl w:val="D612FE54"/>
    <w:lvl w:ilvl="0" w:tplc="85BCE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8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61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4C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48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0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0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AE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CE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3523A"/>
    <w:multiLevelType w:val="hybridMultilevel"/>
    <w:tmpl w:val="92D45DA0"/>
    <w:lvl w:ilvl="0" w:tplc="5E42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F720B"/>
    <w:multiLevelType w:val="hybridMultilevel"/>
    <w:tmpl w:val="9D346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3289">
    <w:abstractNumId w:val="3"/>
  </w:num>
  <w:num w:numId="2" w16cid:durableId="1171026080">
    <w:abstractNumId w:val="4"/>
  </w:num>
  <w:num w:numId="3" w16cid:durableId="1245341741">
    <w:abstractNumId w:val="0"/>
  </w:num>
  <w:num w:numId="4" w16cid:durableId="1549414595">
    <w:abstractNumId w:val="5"/>
  </w:num>
  <w:num w:numId="5" w16cid:durableId="993993450">
    <w:abstractNumId w:val="2"/>
  </w:num>
  <w:num w:numId="6" w16cid:durableId="89535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FE"/>
    <w:rsid w:val="00000517"/>
    <w:rsid w:val="0000169C"/>
    <w:rsid w:val="000017BD"/>
    <w:rsid w:val="00001DDD"/>
    <w:rsid w:val="00001F08"/>
    <w:rsid w:val="000044C3"/>
    <w:rsid w:val="00007D4A"/>
    <w:rsid w:val="000103E9"/>
    <w:rsid w:val="000118DE"/>
    <w:rsid w:val="00015558"/>
    <w:rsid w:val="00015945"/>
    <w:rsid w:val="00020D17"/>
    <w:rsid w:val="0002105A"/>
    <w:rsid w:val="00022205"/>
    <w:rsid w:val="00022974"/>
    <w:rsid w:val="000237EA"/>
    <w:rsid w:val="00024158"/>
    <w:rsid w:val="0002586B"/>
    <w:rsid w:val="00025889"/>
    <w:rsid w:val="00026266"/>
    <w:rsid w:val="0002674A"/>
    <w:rsid w:val="000302F3"/>
    <w:rsid w:val="00031896"/>
    <w:rsid w:val="00031C82"/>
    <w:rsid w:val="00031C9D"/>
    <w:rsid w:val="00034760"/>
    <w:rsid w:val="000365DC"/>
    <w:rsid w:val="0003668B"/>
    <w:rsid w:val="0003701E"/>
    <w:rsid w:val="0004032B"/>
    <w:rsid w:val="000407DB"/>
    <w:rsid w:val="00042512"/>
    <w:rsid w:val="00043E49"/>
    <w:rsid w:val="00044042"/>
    <w:rsid w:val="000458BD"/>
    <w:rsid w:val="000471E4"/>
    <w:rsid w:val="000512BB"/>
    <w:rsid w:val="00051E9B"/>
    <w:rsid w:val="0005236D"/>
    <w:rsid w:val="00052502"/>
    <w:rsid w:val="0005250F"/>
    <w:rsid w:val="00052554"/>
    <w:rsid w:val="00052E4F"/>
    <w:rsid w:val="00054358"/>
    <w:rsid w:val="00054CDA"/>
    <w:rsid w:val="00055632"/>
    <w:rsid w:val="00057916"/>
    <w:rsid w:val="000611EC"/>
    <w:rsid w:val="000617B7"/>
    <w:rsid w:val="00064521"/>
    <w:rsid w:val="0006496D"/>
    <w:rsid w:val="00064D6A"/>
    <w:rsid w:val="00064E2A"/>
    <w:rsid w:val="00065E19"/>
    <w:rsid w:val="00067A57"/>
    <w:rsid w:val="00070EAC"/>
    <w:rsid w:val="00071FA3"/>
    <w:rsid w:val="00072A58"/>
    <w:rsid w:val="0007336F"/>
    <w:rsid w:val="0007525D"/>
    <w:rsid w:val="000770F3"/>
    <w:rsid w:val="00077440"/>
    <w:rsid w:val="0008062F"/>
    <w:rsid w:val="00081A0C"/>
    <w:rsid w:val="00081A16"/>
    <w:rsid w:val="00081FF0"/>
    <w:rsid w:val="00082ADE"/>
    <w:rsid w:val="000846A7"/>
    <w:rsid w:val="00085B09"/>
    <w:rsid w:val="00085C37"/>
    <w:rsid w:val="00085DCC"/>
    <w:rsid w:val="000874F4"/>
    <w:rsid w:val="00087C75"/>
    <w:rsid w:val="00091B18"/>
    <w:rsid w:val="00091F16"/>
    <w:rsid w:val="0009484D"/>
    <w:rsid w:val="00095983"/>
    <w:rsid w:val="00095C95"/>
    <w:rsid w:val="00096300"/>
    <w:rsid w:val="000A0A88"/>
    <w:rsid w:val="000A0C4E"/>
    <w:rsid w:val="000A18F9"/>
    <w:rsid w:val="000A1F24"/>
    <w:rsid w:val="000A2818"/>
    <w:rsid w:val="000A296F"/>
    <w:rsid w:val="000A2EAB"/>
    <w:rsid w:val="000A4669"/>
    <w:rsid w:val="000A4732"/>
    <w:rsid w:val="000A4839"/>
    <w:rsid w:val="000A531B"/>
    <w:rsid w:val="000A7964"/>
    <w:rsid w:val="000A7B53"/>
    <w:rsid w:val="000B1235"/>
    <w:rsid w:val="000B2569"/>
    <w:rsid w:val="000B49AE"/>
    <w:rsid w:val="000B58F0"/>
    <w:rsid w:val="000B6723"/>
    <w:rsid w:val="000B6BE0"/>
    <w:rsid w:val="000B7018"/>
    <w:rsid w:val="000C1105"/>
    <w:rsid w:val="000C13F2"/>
    <w:rsid w:val="000C1781"/>
    <w:rsid w:val="000C1B6F"/>
    <w:rsid w:val="000C20F7"/>
    <w:rsid w:val="000C2BFE"/>
    <w:rsid w:val="000C31E5"/>
    <w:rsid w:val="000C3D4C"/>
    <w:rsid w:val="000C46F3"/>
    <w:rsid w:val="000C7CC7"/>
    <w:rsid w:val="000D074C"/>
    <w:rsid w:val="000D1BA8"/>
    <w:rsid w:val="000D39EE"/>
    <w:rsid w:val="000D4A41"/>
    <w:rsid w:val="000D4E21"/>
    <w:rsid w:val="000D59E2"/>
    <w:rsid w:val="000D5A5C"/>
    <w:rsid w:val="000D6C88"/>
    <w:rsid w:val="000D76F4"/>
    <w:rsid w:val="000D7836"/>
    <w:rsid w:val="000D7C83"/>
    <w:rsid w:val="000D7EFD"/>
    <w:rsid w:val="000E08FE"/>
    <w:rsid w:val="000E3639"/>
    <w:rsid w:val="000E4202"/>
    <w:rsid w:val="000E4745"/>
    <w:rsid w:val="000E488F"/>
    <w:rsid w:val="000E4B01"/>
    <w:rsid w:val="000E4BA6"/>
    <w:rsid w:val="000E4F73"/>
    <w:rsid w:val="000E5868"/>
    <w:rsid w:val="000E5AA8"/>
    <w:rsid w:val="000E690A"/>
    <w:rsid w:val="000E78FE"/>
    <w:rsid w:val="000F046E"/>
    <w:rsid w:val="000F13BA"/>
    <w:rsid w:val="000F63B6"/>
    <w:rsid w:val="000F765C"/>
    <w:rsid w:val="0010108E"/>
    <w:rsid w:val="00101618"/>
    <w:rsid w:val="001023AC"/>
    <w:rsid w:val="00103FE9"/>
    <w:rsid w:val="00104A6A"/>
    <w:rsid w:val="001074A1"/>
    <w:rsid w:val="0010753C"/>
    <w:rsid w:val="00110C6D"/>
    <w:rsid w:val="001135FA"/>
    <w:rsid w:val="001138B8"/>
    <w:rsid w:val="0011423A"/>
    <w:rsid w:val="00115834"/>
    <w:rsid w:val="00115AF5"/>
    <w:rsid w:val="00117E64"/>
    <w:rsid w:val="001209E7"/>
    <w:rsid w:val="00120B53"/>
    <w:rsid w:val="001215DC"/>
    <w:rsid w:val="001229C6"/>
    <w:rsid w:val="0012490F"/>
    <w:rsid w:val="00125040"/>
    <w:rsid w:val="0012611D"/>
    <w:rsid w:val="001266D5"/>
    <w:rsid w:val="00126D53"/>
    <w:rsid w:val="00127579"/>
    <w:rsid w:val="00133EE6"/>
    <w:rsid w:val="0013421A"/>
    <w:rsid w:val="0013434A"/>
    <w:rsid w:val="00134BE6"/>
    <w:rsid w:val="00134EEA"/>
    <w:rsid w:val="001357E1"/>
    <w:rsid w:val="0013596C"/>
    <w:rsid w:val="00135EA3"/>
    <w:rsid w:val="00136087"/>
    <w:rsid w:val="001366F9"/>
    <w:rsid w:val="001378AC"/>
    <w:rsid w:val="00142F01"/>
    <w:rsid w:val="00146517"/>
    <w:rsid w:val="00147C0E"/>
    <w:rsid w:val="00150CCD"/>
    <w:rsid w:val="0015256A"/>
    <w:rsid w:val="00153722"/>
    <w:rsid w:val="0015385C"/>
    <w:rsid w:val="00153C19"/>
    <w:rsid w:val="00155283"/>
    <w:rsid w:val="001552F0"/>
    <w:rsid w:val="00155301"/>
    <w:rsid w:val="00155BD4"/>
    <w:rsid w:val="00156079"/>
    <w:rsid w:val="001615DE"/>
    <w:rsid w:val="00161C4F"/>
    <w:rsid w:val="00162178"/>
    <w:rsid w:val="00167874"/>
    <w:rsid w:val="00170E23"/>
    <w:rsid w:val="00174A9A"/>
    <w:rsid w:val="001765F3"/>
    <w:rsid w:val="00180316"/>
    <w:rsid w:val="00180337"/>
    <w:rsid w:val="00182D6E"/>
    <w:rsid w:val="00183D4C"/>
    <w:rsid w:val="001849A2"/>
    <w:rsid w:val="00185268"/>
    <w:rsid w:val="001855C0"/>
    <w:rsid w:val="00186B09"/>
    <w:rsid w:val="0019060B"/>
    <w:rsid w:val="00190E21"/>
    <w:rsid w:val="0019257A"/>
    <w:rsid w:val="00193514"/>
    <w:rsid w:val="00193DF7"/>
    <w:rsid w:val="00194065"/>
    <w:rsid w:val="00194E8F"/>
    <w:rsid w:val="00194EEE"/>
    <w:rsid w:val="001967FC"/>
    <w:rsid w:val="001970FB"/>
    <w:rsid w:val="00197516"/>
    <w:rsid w:val="001A025E"/>
    <w:rsid w:val="001A2835"/>
    <w:rsid w:val="001A4175"/>
    <w:rsid w:val="001A4E5E"/>
    <w:rsid w:val="001A57FD"/>
    <w:rsid w:val="001A5B43"/>
    <w:rsid w:val="001A5BE2"/>
    <w:rsid w:val="001A7E0B"/>
    <w:rsid w:val="001B0DB1"/>
    <w:rsid w:val="001B307C"/>
    <w:rsid w:val="001B389C"/>
    <w:rsid w:val="001B4158"/>
    <w:rsid w:val="001B416B"/>
    <w:rsid w:val="001B4DF1"/>
    <w:rsid w:val="001B50D2"/>
    <w:rsid w:val="001B6F61"/>
    <w:rsid w:val="001C0209"/>
    <w:rsid w:val="001C1935"/>
    <w:rsid w:val="001C456C"/>
    <w:rsid w:val="001D04A8"/>
    <w:rsid w:val="001D04FF"/>
    <w:rsid w:val="001D17F4"/>
    <w:rsid w:val="001D22D6"/>
    <w:rsid w:val="001D42E6"/>
    <w:rsid w:val="001D4975"/>
    <w:rsid w:val="001D49AD"/>
    <w:rsid w:val="001D6BA0"/>
    <w:rsid w:val="001D701F"/>
    <w:rsid w:val="001D709B"/>
    <w:rsid w:val="001D7FB5"/>
    <w:rsid w:val="001E0CF6"/>
    <w:rsid w:val="001E2D1E"/>
    <w:rsid w:val="001E4B4D"/>
    <w:rsid w:val="001E4C57"/>
    <w:rsid w:val="001E6717"/>
    <w:rsid w:val="001E6750"/>
    <w:rsid w:val="001E689B"/>
    <w:rsid w:val="001E7243"/>
    <w:rsid w:val="001E7C1C"/>
    <w:rsid w:val="001F0233"/>
    <w:rsid w:val="001F10C2"/>
    <w:rsid w:val="001F14EB"/>
    <w:rsid w:val="001F4D95"/>
    <w:rsid w:val="001F7400"/>
    <w:rsid w:val="001F7BB0"/>
    <w:rsid w:val="001F7CA7"/>
    <w:rsid w:val="00201050"/>
    <w:rsid w:val="00201886"/>
    <w:rsid w:val="00201D91"/>
    <w:rsid w:val="00202A40"/>
    <w:rsid w:val="00203266"/>
    <w:rsid w:val="0020367E"/>
    <w:rsid w:val="0020471C"/>
    <w:rsid w:val="00204D0A"/>
    <w:rsid w:val="00204EA6"/>
    <w:rsid w:val="0020759E"/>
    <w:rsid w:val="00210593"/>
    <w:rsid w:val="002107FF"/>
    <w:rsid w:val="00210B1E"/>
    <w:rsid w:val="00213E49"/>
    <w:rsid w:val="002147CD"/>
    <w:rsid w:val="00215B35"/>
    <w:rsid w:val="00215F73"/>
    <w:rsid w:val="00217D8B"/>
    <w:rsid w:val="0022104D"/>
    <w:rsid w:val="0022196A"/>
    <w:rsid w:val="00221A06"/>
    <w:rsid w:val="002223AF"/>
    <w:rsid w:val="00224466"/>
    <w:rsid w:val="0022447A"/>
    <w:rsid w:val="00224692"/>
    <w:rsid w:val="00224714"/>
    <w:rsid w:val="002247AD"/>
    <w:rsid w:val="00224E67"/>
    <w:rsid w:val="002260BF"/>
    <w:rsid w:val="002267D0"/>
    <w:rsid w:val="00226A85"/>
    <w:rsid w:val="002276A7"/>
    <w:rsid w:val="0022DF0C"/>
    <w:rsid w:val="002310C9"/>
    <w:rsid w:val="00232288"/>
    <w:rsid w:val="00232FCD"/>
    <w:rsid w:val="00235F55"/>
    <w:rsid w:val="0023693F"/>
    <w:rsid w:val="00236BF8"/>
    <w:rsid w:val="0024009D"/>
    <w:rsid w:val="002400E5"/>
    <w:rsid w:val="002409BB"/>
    <w:rsid w:val="00241A82"/>
    <w:rsid w:val="00241E69"/>
    <w:rsid w:val="0024232D"/>
    <w:rsid w:val="0024586E"/>
    <w:rsid w:val="0025038B"/>
    <w:rsid w:val="00250E1F"/>
    <w:rsid w:val="0025229C"/>
    <w:rsid w:val="00252EE5"/>
    <w:rsid w:val="00255506"/>
    <w:rsid w:val="002564C4"/>
    <w:rsid w:val="00256C78"/>
    <w:rsid w:val="00257190"/>
    <w:rsid w:val="0026130A"/>
    <w:rsid w:val="00261F15"/>
    <w:rsid w:val="00262041"/>
    <w:rsid w:val="0026208D"/>
    <w:rsid w:val="002655BB"/>
    <w:rsid w:val="00265E51"/>
    <w:rsid w:val="00266768"/>
    <w:rsid w:val="002678FB"/>
    <w:rsid w:val="00271066"/>
    <w:rsid w:val="00272765"/>
    <w:rsid w:val="00272CF0"/>
    <w:rsid w:val="002736E9"/>
    <w:rsid w:val="0027381C"/>
    <w:rsid w:val="00275CF5"/>
    <w:rsid w:val="002763AE"/>
    <w:rsid w:val="00280C09"/>
    <w:rsid w:val="00280E99"/>
    <w:rsid w:val="00281CE8"/>
    <w:rsid w:val="002827DF"/>
    <w:rsid w:val="00282A85"/>
    <w:rsid w:val="00284631"/>
    <w:rsid w:val="00285866"/>
    <w:rsid w:val="00286170"/>
    <w:rsid w:val="0028671F"/>
    <w:rsid w:val="00290289"/>
    <w:rsid w:val="002910F0"/>
    <w:rsid w:val="0029176A"/>
    <w:rsid w:val="002921A1"/>
    <w:rsid w:val="0029251A"/>
    <w:rsid w:val="0029365F"/>
    <w:rsid w:val="00293965"/>
    <w:rsid w:val="00295391"/>
    <w:rsid w:val="002954AA"/>
    <w:rsid w:val="00295EBB"/>
    <w:rsid w:val="002975B9"/>
    <w:rsid w:val="002A11AD"/>
    <w:rsid w:val="002A1BCD"/>
    <w:rsid w:val="002A34E6"/>
    <w:rsid w:val="002A41A8"/>
    <w:rsid w:val="002A4B97"/>
    <w:rsid w:val="002A4F7A"/>
    <w:rsid w:val="002A6144"/>
    <w:rsid w:val="002B0545"/>
    <w:rsid w:val="002B09F4"/>
    <w:rsid w:val="002B2B83"/>
    <w:rsid w:val="002B39F8"/>
    <w:rsid w:val="002B3F6F"/>
    <w:rsid w:val="002B492B"/>
    <w:rsid w:val="002B4E58"/>
    <w:rsid w:val="002B5961"/>
    <w:rsid w:val="002B7BB9"/>
    <w:rsid w:val="002B7C36"/>
    <w:rsid w:val="002C11E9"/>
    <w:rsid w:val="002C1531"/>
    <w:rsid w:val="002C25D3"/>
    <w:rsid w:val="002C34B8"/>
    <w:rsid w:val="002C4EE9"/>
    <w:rsid w:val="002C5F14"/>
    <w:rsid w:val="002C6300"/>
    <w:rsid w:val="002C688F"/>
    <w:rsid w:val="002C6917"/>
    <w:rsid w:val="002C6F14"/>
    <w:rsid w:val="002D04D3"/>
    <w:rsid w:val="002D0677"/>
    <w:rsid w:val="002D1B11"/>
    <w:rsid w:val="002D20E7"/>
    <w:rsid w:val="002D387C"/>
    <w:rsid w:val="002D4984"/>
    <w:rsid w:val="002D56EC"/>
    <w:rsid w:val="002D6497"/>
    <w:rsid w:val="002D6802"/>
    <w:rsid w:val="002D7478"/>
    <w:rsid w:val="002D7CCE"/>
    <w:rsid w:val="002D7D55"/>
    <w:rsid w:val="002E08A7"/>
    <w:rsid w:val="002E1C57"/>
    <w:rsid w:val="002E2022"/>
    <w:rsid w:val="002E31EF"/>
    <w:rsid w:val="002E401D"/>
    <w:rsid w:val="002E4CE9"/>
    <w:rsid w:val="002E4E83"/>
    <w:rsid w:val="002E502E"/>
    <w:rsid w:val="002E589F"/>
    <w:rsid w:val="002E5FBF"/>
    <w:rsid w:val="002E75A7"/>
    <w:rsid w:val="002E7744"/>
    <w:rsid w:val="002F0795"/>
    <w:rsid w:val="002F0E70"/>
    <w:rsid w:val="002F150D"/>
    <w:rsid w:val="002F2521"/>
    <w:rsid w:val="002F25C3"/>
    <w:rsid w:val="002F4854"/>
    <w:rsid w:val="002F4E3B"/>
    <w:rsid w:val="002F5E69"/>
    <w:rsid w:val="002F6126"/>
    <w:rsid w:val="002F6DDD"/>
    <w:rsid w:val="002F7F1A"/>
    <w:rsid w:val="0030136A"/>
    <w:rsid w:val="003016AA"/>
    <w:rsid w:val="003018B0"/>
    <w:rsid w:val="00303306"/>
    <w:rsid w:val="003050ED"/>
    <w:rsid w:val="00306C97"/>
    <w:rsid w:val="00306EFA"/>
    <w:rsid w:val="00307C4F"/>
    <w:rsid w:val="003100A2"/>
    <w:rsid w:val="003112A9"/>
    <w:rsid w:val="0031139E"/>
    <w:rsid w:val="00311E85"/>
    <w:rsid w:val="003138FC"/>
    <w:rsid w:val="00313E8A"/>
    <w:rsid w:val="00314245"/>
    <w:rsid w:val="0031479F"/>
    <w:rsid w:val="00315E40"/>
    <w:rsid w:val="00316788"/>
    <w:rsid w:val="00316DCC"/>
    <w:rsid w:val="003208C8"/>
    <w:rsid w:val="00322101"/>
    <w:rsid w:val="0032261D"/>
    <w:rsid w:val="00323B30"/>
    <w:rsid w:val="00324B1E"/>
    <w:rsid w:val="0032514C"/>
    <w:rsid w:val="00326644"/>
    <w:rsid w:val="00327378"/>
    <w:rsid w:val="00327D30"/>
    <w:rsid w:val="003310E3"/>
    <w:rsid w:val="00331938"/>
    <w:rsid w:val="00331B23"/>
    <w:rsid w:val="00331DCD"/>
    <w:rsid w:val="00333A2D"/>
    <w:rsid w:val="0033462C"/>
    <w:rsid w:val="00334DE1"/>
    <w:rsid w:val="00336B23"/>
    <w:rsid w:val="00336E30"/>
    <w:rsid w:val="0034134A"/>
    <w:rsid w:val="003415FE"/>
    <w:rsid w:val="0034232F"/>
    <w:rsid w:val="00343A3D"/>
    <w:rsid w:val="00343F69"/>
    <w:rsid w:val="00345686"/>
    <w:rsid w:val="00346073"/>
    <w:rsid w:val="00346908"/>
    <w:rsid w:val="0034721A"/>
    <w:rsid w:val="00347F4F"/>
    <w:rsid w:val="00350210"/>
    <w:rsid w:val="00350F76"/>
    <w:rsid w:val="00351743"/>
    <w:rsid w:val="003517A3"/>
    <w:rsid w:val="00351831"/>
    <w:rsid w:val="00351D59"/>
    <w:rsid w:val="003524B0"/>
    <w:rsid w:val="003526BB"/>
    <w:rsid w:val="003550F2"/>
    <w:rsid w:val="003558B8"/>
    <w:rsid w:val="003559D3"/>
    <w:rsid w:val="00356959"/>
    <w:rsid w:val="0035701C"/>
    <w:rsid w:val="00360024"/>
    <w:rsid w:val="00362276"/>
    <w:rsid w:val="003632EE"/>
    <w:rsid w:val="00364745"/>
    <w:rsid w:val="0036497A"/>
    <w:rsid w:val="00366359"/>
    <w:rsid w:val="00370B57"/>
    <w:rsid w:val="00370CD6"/>
    <w:rsid w:val="0037227B"/>
    <w:rsid w:val="00373612"/>
    <w:rsid w:val="003754BF"/>
    <w:rsid w:val="00375C19"/>
    <w:rsid w:val="0037705D"/>
    <w:rsid w:val="003772C6"/>
    <w:rsid w:val="00377D59"/>
    <w:rsid w:val="003804A3"/>
    <w:rsid w:val="00380D8A"/>
    <w:rsid w:val="00381A54"/>
    <w:rsid w:val="003824FA"/>
    <w:rsid w:val="00382EE1"/>
    <w:rsid w:val="003847D8"/>
    <w:rsid w:val="00384AA3"/>
    <w:rsid w:val="00385EC8"/>
    <w:rsid w:val="003865FB"/>
    <w:rsid w:val="00387FF8"/>
    <w:rsid w:val="00390A19"/>
    <w:rsid w:val="00390D71"/>
    <w:rsid w:val="0039133A"/>
    <w:rsid w:val="00391ACC"/>
    <w:rsid w:val="003942C9"/>
    <w:rsid w:val="003943D5"/>
    <w:rsid w:val="00395832"/>
    <w:rsid w:val="00397C7F"/>
    <w:rsid w:val="003A0943"/>
    <w:rsid w:val="003A0BA1"/>
    <w:rsid w:val="003A2419"/>
    <w:rsid w:val="003A4B83"/>
    <w:rsid w:val="003A4D97"/>
    <w:rsid w:val="003A5C78"/>
    <w:rsid w:val="003A6B84"/>
    <w:rsid w:val="003A7E2F"/>
    <w:rsid w:val="003B04CA"/>
    <w:rsid w:val="003B2E1F"/>
    <w:rsid w:val="003B356C"/>
    <w:rsid w:val="003B53B6"/>
    <w:rsid w:val="003B55AB"/>
    <w:rsid w:val="003B5A9A"/>
    <w:rsid w:val="003C09EA"/>
    <w:rsid w:val="003C1306"/>
    <w:rsid w:val="003C13C6"/>
    <w:rsid w:val="003C1F7C"/>
    <w:rsid w:val="003C20B2"/>
    <w:rsid w:val="003C2D6B"/>
    <w:rsid w:val="003C391B"/>
    <w:rsid w:val="003C501E"/>
    <w:rsid w:val="003C57BB"/>
    <w:rsid w:val="003C6F64"/>
    <w:rsid w:val="003D0602"/>
    <w:rsid w:val="003D16B4"/>
    <w:rsid w:val="003D21B5"/>
    <w:rsid w:val="003D27F6"/>
    <w:rsid w:val="003D4300"/>
    <w:rsid w:val="003D5132"/>
    <w:rsid w:val="003D61A8"/>
    <w:rsid w:val="003E2A67"/>
    <w:rsid w:val="003E46ED"/>
    <w:rsid w:val="003E4A11"/>
    <w:rsid w:val="003E4A41"/>
    <w:rsid w:val="003E508C"/>
    <w:rsid w:val="003E622C"/>
    <w:rsid w:val="003E634A"/>
    <w:rsid w:val="003E7547"/>
    <w:rsid w:val="003F1571"/>
    <w:rsid w:val="003F18A4"/>
    <w:rsid w:val="003F267F"/>
    <w:rsid w:val="003F3149"/>
    <w:rsid w:val="003F3151"/>
    <w:rsid w:val="003F417E"/>
    <w:rsid w:val="003F4F73"/>
    <w:rsid w:val="00400149"/>
    <w:rsid w:val="004003D1"/>
    <w:rsid w:val="00401229"/>
    <w:rsid w:val="004012A0"/>
    <w:rsid w:val="00401B4D"/>
    <w:rsid w:val="00402B47"/>
    <w:rsid w:val="00403D7E"/>
    <w:rsid w:val="00404793"/>
    <w:rsid w:val="0040704D"/>
    <w:rsid w:val="00411AC0"/>
    <w:rsid w:val="00411BDD"/>
    <w:rsid w:val="00414CDD"/>
    <w:rsid w:val="004163D7"/>
    <w:rsid w:val="004206D8"/>
    <w:rsid w:val="00421775"/>
    <w:rsid w:val="004220DE"/>
    <w:rsid w:val="00422213"/>
    <w:rsid w:val="0042380D"/>
    <w:rsid w:val="004269CF"/>
    <w:rsid w:val="00427EF9"/>
    <w:rsid w:val="00427F34"/>
    <w:rsid w:val="00427FBF"/>
    <w:rsid w:val="0043012E"/>
    <w:rsid w:val="00430D26"/>
    <w:rsid w:val="00433577"/>
    <w:rsid w:val="0043393D"/>
    <w:rsid w:val="00436C3A"/>
    <w:rsid w:val="004412D5"/>
    <w:rsid w:val="0044233D"/>
    <w:rsid w:val="00442993"/>
    <w:rsid w:val="0044396F"/>
    <w:rsid w:val="00444303"/>
    <w:rsid w:val="00444554"/>
    <w:rsid w:val="00444BD9"/>
    <w:rsid w:val="0044587B"/>
    <w:rsid w:val="00446026"/>
    <w:rsid w:val="004478CA"/>
    <w:rsid w:val="004523FE"/>
    <w:rsid w:val="00453786"/>
    <w:rsid w:val="00455A9C"/>
    <w:rsid w:val="004561EE"/>
    <w:rsid w:val="0045694E"/>
    <w:rsid w:val="00457124"/>
    <w:rsid w:val="00457711"/>
    <w:rsid w:val="00457918"/>
    <w:rsid w:val="00457950"/>
    <w:rsid w:val="004603AD"/>
    <w:rsid w:val="004605F2"/>
    <w:rsid w:val="00461216"/>
    <w:rsid w:val="00462EDD"/>
    <w:rsid w:val="00463BF1"/>
    <w:rsid w:val="00464B6D"/>
    <w:rsid w:val="00464D42"/>
    <w:rsid w:val="00465074"/>
    <w:rsid w:val="00466164"/>
    <w:rsid w:val="00466390"/>
    <w:rsid w:val="00466A47"/>
    <w:rsid w:val="00466C80"/>
    <w:rsid w:val="00467A58"/>
    <w:rsid w:val="00467BD6"/>
    <w:rsid w:val="00470868"/>
    <w:rsid w:val="004726B3"/>
    <w:rsid w:val="004727C2"/>
    <w:rsid w:val="004730BE"/>
    <w:rsid w:val="00473AC1"/>
    <w:rsid w:val="00474AC8"/>
    <w:rsid w:val="00477B37"/>
    <w:rsid w:val="004816C1"/>
    <w:rsid w:val="00482908"/>
    <w:rsid w:val="00482CC1"/>
    <w:rsid w:val="0048361E"/>
    <w:rsid w:val="004837DC"/>
    <w:rsid w:val="0048484D"/>
    <w:rsid w:val="00485019"/>
    <w:rsid w:val="004854D3"/>
    <w:rsid w:val="00485E1E"/>
    <w:rsid w:val="004879B8"/>
    <w:rsid w:val="00490330"/>
    <w:rsid w:val="0049287F"/>
    <w:rsid w:val="00492CAB"/>
    <w:rsid w:val="00494B89"/>
    <w:rsid w:val="00494D4B"/>
    <w:rsid w:val="004951E8"/>
    <w:rsid w:val="004966FE"/>
    <w:rsid w:val="00496C75"/>
    <w:rsid w:val="00496EAA"/>
    <w:rsid w:val="004971F1"/>
    <w:rsid w:val="004A0A15"/>
    <w:rsid w:val="004A2974"/>
    <w:rsid w:val="004A3001"/>
    <w:rsid w:val="004A3258"/>
    <w:rsid w:val="004A6A8F"/>
    <w:rsid w:val="004A6DD1"/>
    <w:rsid w:val="004B0F31"/>
    <w:rsid w:val="004B1132"/>
    <w:rsid w:val="004B1AF1"/>
    <w:rsid w:val="004B2CAC"/>
    <w:rsid w:val="004B2DC3"/>
    <w:rsid w:val="004B30A3"/>
    <w:rsid w:val="004B3295"/>
    <w:rsid w:val="004B3704"/>
    <w:rsid w:val="004B391E"/>
    <w:rsid w:val="004B60A5"/>
    <w:rsid w:val="004B7931"/>
    <w:rsid w:val="004B7DC9"/>
    <w:rsid w:val="004C0575"/>
    <w:rsid w:val="004C0F47"/>
    <w:rsid w:val="004C1AE7"/>
    <w:rsid w:val="004C1B57"/>
    <w:rsid w:val="004C2BB5"/>
    <w:rsid w:val="004C3A05"/>
    <w:rsid w:val="004C3E54"/>
    <w:rsid w:val="004C5206"/>
    <w:rsid w:val="004C5E84"/>
    <w:rsid w:val="004C64E7"/>
    <w:rsid w:val="004C6BF5"/>
    <w:rsid w:val="004C73AF"/>
    <w:rsid w:val="004C74F8"/>
    <w:rsid w:val="004D06BA"/>
    <w:rsid w:val="004D0EEC"/>
    <w:rsid w:val="004D32C3"/>
    <w:rsid w:val="004D3C6E"/>
    <w:rsid w:val="004D50F6"/>
    <w:rsid w:val="004D5146"/>
    <w:rsid w:val="004D549E"/>
    <w:rsid w:val="004D72BB"/>
    <w:rsid w:val="004D7623"/>
    <w:rsid w:val="004E069E"/>
    <w:rsid w:val="004E12D4"/>
    <w:rsid w:val="004E13F6"/>
    <w:rsid w:val="004E141D"/>
    <w:rsid w:val="004E1FF6"/>
    <w:rsid w:val="004E23DD"/>
    <w:rsid w:val="004E504E"/>
    <w:rsid w:val="004E6FA2"/>
    <w:rsid w:val="004E7487"/>
    <w:rsid w:val="004F2496"/>
    <w:rsid w:val="004F25F4"/>
    <w:rsid w:val="004F277F"/>
    <w:rsid w:val="004F3641"/>
    <w:rsid w:val="004F3AFD"/>
    <w:rsid w:val="004F3B57"/>
    <w:rsid w:val="004F3F73"/>
    <w:rsid w:val="004F41FE"/>
    <w:rsid w:val="004F4571"/>
    <w:rsid w:val="004F6040"/>
    <w:rsid w:val="004F63CD"/>
    <w:rsid w:val="00502998"/>
    <w:rsid w:val="00504F0B"/>
    <w:rsid w:val="0050611B"/>
    <w:rsid w:val="00507BC3"/>
    <w:rsid w:val="0051029C"/>
    <w:rsid w:val="00510390"/>
    <w:rsid w:val="00510655"/>
    <w:rsid w:val="005106CA"/>
    <w:rsid w:val="00512E06"/>
    <w:rsid w:val="00512F67"/>
    <w:rsid w:val="00515112"/>
    <w:rsid w:val="005171E0"/>
    <w:rsid w:val="005173AB"/>
    <w:rsid w:val="00520DE7"/>
    <w:rsid w:val="00521BEE"/>
    <w:rsid w:val="00523772"/>
    <w:rsid w:val="00523C26"/>
    <w:rsid w:val="005246B0"/>
    <w:rsid w:val="00525D74"/>
    <w:rsid w:val="00526D67"/>
    <w:rsid w:val="005271DC"/>
    <w:rsid w:val="005278BA"/>
    <w:rsid w:val="00527BF5"/>
    <w:rsid w:val="0053032B"/>
    <w:rsid w:val="00530561"/>
    <w:rsid w:val="00530DB0"/>
    <w:rsid w:val="0053190B"/>
    <w:rsid w:val="00531A41"/>
    <w:rsid w:val="00533CAF"/>
    <w:rsid w:val="005349A5"/>
    <w:rsid w:val="00540FF8"/>
    <w:rsid w:val="00541866"/>
    <w:rsid w:val="00541988"/>
    <w:rsid w:val="00541D66"/>
    <w:rsid w:val="00543F6A"/>
    <w:rsid w:val="00545562"/>
    <w:rsid w:val="00545BAB"/>
    <w:rsid w:val="0054669C"/>
    <w:rsid w:val="00546DC0"/>
    <w:rsid w:val="00547A9D"/>
    <w:rsid w:val="00547E18"/>
    <w:rsid w:val="0055132B"/>
    <w:rsid w:val="005518E4"/>
    <w:rsid w:val="005521BE"/>
    <w:rsid w:val="00553319"/>
    <w:rsid w:val="005535B5"/>
    <w:rsid w:val="00556984"/>
    <w:rsid w:val="0055711F"/>
    <w:rsid w:val="00557FA3"/>
    <w:rsid w:val="0056020F"/>
    <w:rsid w:val="00560E0A"/>
    <w:rsid w:val="0056202F"/>
    <w:rsid w:val="005635A9"/>
    <w:rsid w:val="005652EE"/>
    <w:rsid w:val="00565662"/>
    <w:rsid w:val="00567CCD"/>
    <w:rsid w:val="00570628"/>
    <w:rsid w:val="005710F5"/>
    <w:rsid w:val="00572182"/>
    <w:rsid w:val="00577309"/>
    <w:rsid w:val="00577BC5"/>
    <w:rsid w:val="005824F1"/>
    <w:rsid w:val="00584382"/>
    <w:rsid w:val="00584DFC"/>
    <w:rsid w:val="00585F22"/>
    <w:rsid w:val="005861AE"/>
    <w:rsid w:val="005865EE"/>
    <w:rsid w:val="00587EF6"/>
    <w:rsid w:val="00590630"/>
    <w:rsid w:val="00590E73"/>
    <w:rsid w:val="005916AF"/>
    <w:rsid w:val="00591D8B"/>
    <w:rsid w:val="00591E27"/>
    <w:rsid w:val="005920CB"/>
    <w:rsid w:val="0059272E"/>
    <w:rsid w:val="005933D0"/>
    <w:rsid w:val="00595277"/>
    <w:rsid w:val="005961B9"/>
    <w:rsid w:val="00597117"/>
    <w:rsid w:val="005971AF"/>
    <w:rsid w:val="00597EA7"/>
    <w:rsid w:val="005A0706"/>
    <w:rsid w:val="005A0AFC"/>
    <w:rsid w:val="005A1631"/>
    <w:rsid w:val="005A1E0F"/>
    <w:rsid w:val="005A246F"/>
    <w:rsid w:val="005A29CC"/>
    <w:rsid w:val="005A2C54"/>
    <w:rsid w:val="005A2FAA"/>
    <w:rsid w:val="005A34A7"/>
    <w:rsid w:val="005A684D"/>
    <w:rsid w:val="005A799B"/>
    <w:rsid w:val="005B053D"/>
    <w:rsid w:val="005B0833"/>
    <w:rsid w:val="005B2320"/>
    <w:rsid w:val="005B2606"/>
    <w:rsid w:val="005B326D"/>
    <w:rsid w:val="005B3CDC"/>
    <w:rsid w:val="005B3D58"/>
    <w:rsid w:val="005B4611"/>
    <w:rsid w:val="005B5A7D"/>
    <w:rsid w:val="005C0096"/>
    <w:rsid w:val="005C15F7"/>
    <w:rsid w:val="005C1AC5"/>
    <w:rsid w:val="005C32F3"/>
    <w:rsid w:val="005C34CA"/>
    <w:rsid w:val="005C3CF0"/>
    <w:rsid w:val="005C3E1F"/>
    <w:rsid w:val="005C3ECD"/>
    <w:rsid w:val="005C4E5A"/>
    <w:rsid w:val="005D02FC"/>
    <w:rsid w:val="005D119B"/>
    <w:rsid w:val="005D2900"/>
    <w:rsid w:val="005D3512"/>
    <w:rsid w:val="005D3B78"/>
    <w:rsid w:val="005D42A9"/>
    <w:rsid w:val="005D513C"/>
    <w:rsid w:val="005D5304"/>
    <w:rsid w:val="005E0C48"/>
    <w:rsid w:val="005E1651"/>
    <w:rsid w:val="005E1A83"/>
    <w:rsid w:val="005E31AC"/>
    <w:rsid w:val="005E34FD"/>
    <w:rsid w:val="005E45B0"/>
    <w:rsid w:val="005E5043"/>
    <w:rsid w:val="005E58C2"/>
    <w:rsid w:val="005F0581"/>
    <w:rsid w:val="005F1EEB"/>
    <w:rsid w:val="005F252F"/>
    <w:rsid w:val="005F5EDA"/>
    <w:rsid w:val="005F608E"/>
    <w:rsid w:val="005F7D0D"/>
    <w:rsid w:val="006013D2"/>
    <w:rsid w:val="00601C5A"/>
    <w:rsid w:val="00602E3C"/>
    <w:rsid w:val="00603461"/>
    <w:rsid w:val="006068B4"/>
    <w:rsid w:val="00607B0F"/>
    <w:rsid w:val="00607C87"/>
    <w:rsid w:val="006106CD"/>
    <w:rsid w:val="006116FE"/>
    <w:rsid w:val="00611B90"/>
    <w:rsid w:val="00614293"/>
    <w:rsid w:val="00614FF0"/>
    <w:rsid w:val="00616AB4"/>
    <w:rsid w:val="00617877"/>
    <w:rsid w:val="00617ED1"/>
    <w:rsid w:val="006200F6"/>
    <w:rsid w:val="00620CC0"/>
    <w:rsid w:val="00621840"/>
    <w:rsid w:val="006222FA"/>
    <w:rsid w:val="006224FC"/>
    <w:rsid w:val="006246EB"/>
    <w:rsid w:val="00625A7C"/>
    <w:rsid w:val="006260BC"/>
    <w:rsid w:val="00626339"/>
    <w:rsid w:val="00626577"/>
    <w:rsid w:val="0063002E"/>
    <w:rsid w:val="006314BC"/>
    <w:rsid w:val="00631F76"/>
    <w:rsid w:val="006320E9"/>
    <w:rsid w:val="00632B6F"/>
    <w:rsid w:val="006330AD"/>
    <w:rsid w:val="00637245"/>
    <w:rsid w:val="0063782C"/>
    <w:rsid w:val="00637F9C"/>
    <w:rsid w:val="00640595"/>
    <w:rsid w:val="00641968"/>
    <w:rsid w:val="00644395"/>
    <w:rsid w:val="006449C9"/>
    <w:rsid w:val="006461FB"/>
    <w:rsid w:val="00650D65"/>
    <w:rsid w:val="00650D9E"/>
    <w:rsid w:val="00656077"/>
    <w:rsid w:val="006569D7"/>
    <w:rsid w:val="00656DFE"/>
    <w:rsid w:val="00656E38"/>
    <w:rsid w:val="00657D8D"/>
    <w:rsid w:val="00660576"/>
    <w:rsid w:val="0066185B"/>
    <w:rsid w:val="0066786F"/>
    <w:rsid w:val="00667FF1"/>
    <w:rsid w:val="00670A50"/>
    <w:rsid w:val="0067190E"/>
    <w:rsid w:val="006737F6"/>
    <w:rsid w:val="00673E4A"/>
    <w:rsid w:val="00675784"/>
    <w:rsid w:val="006757CD"/>
    <w:rsid w:val="00676F5C"/>
    <w:rsid w:val="0067747F"/>
    <w:rsid w:val="00677483"/>
    <w:rsid w:val="006777EF"/>
    <w:rsid w:val="006817A6"/>
    <w:rsid w:val="006818BE"/>
    <w:rsid w:val="0068195E"/>
    <w:rsid w:val="00681D20"/>
    <w:rsid w:val="00681D46"/>
    <w:rsid w:val="00681D62"/>
    <w:rsid w:val="00681ED2"/>
    <w:rsid w:val="006821C2"/>
    <w:rsid w:val="006829CF"/>
    <w:rsid w:val="00684395"/>
    <w:rsid w:val="006843D1"/>
    <w:rsid w:val="00684D06"/>
    <w:rsid w:val="0068535B"/>
    <w:rsid w:val="00685DCD"/>
    <w:rsid w:val="00686075"/>
    <w:rsid w:val="0068706A"/>
    <w:rsid w:val="006879C8"/>
    <w:rsid w:val="0068D30D"/>
    <w:rsid w:val="006909E9"/>
    <w:rsid w:val="0069214F"/>
    <w:rsid w:val="006921DD"/>
    <w:rsid w:val="00692C42"/>
    <w:rsid w:val="0069385B"/>
    <w:rsid w:val="006949BB"/>
    <w:rsid w:val="00695394"/>
    <w:rsid w:val="00695B1B"/>
    <w:rsid w:val="0069615E"/>
    <w:rsid w:val="00696F46"/>
    <w:rsid w:val="006A0D78"/>
    <w:rsid w:val="006A18B3"/>
    <w:rsid w:val="006A36E4"/>
    <w:rsid w:val="006A38AE"/>
    <w:rsid w:val="006A486D"/>
    <w:rsid w:val="006A4AFD"/>
    <w:rsid w:val="006A624D"/>
    <w:rsid w:val="006A6F7F"/>
    <w:rsid w:val="006B0D06"/>
    <w:rsid w:val="006B0E36"/>
    <w:rsid w:val="006B0F2B"/>
    <w:rsid w:val="006B1170"/>
    <w:rsid w:val="006B2682"/>
    <w:rsid w:val="006B3F67"/>
    <w:rsid w:val="006B5076"/>
    <w:rsid w:val="006B50D4"/>
    <w:rsid w:val="006B6C1C"/>
    <w:rsid w:val="006B7816"/>
    <w:rsid w:val="006C1AFA"/>
    <w:rsid w:val="006C240C"/>
    <w:rsid w:val="006C2DF5"/>
    <w:rsid w:val="006C3879"/>
    <w:rsid w:val="006C5291"/>
    <w:rsid w:val="006C5426"/>
    <w:rsid w:val="006C7878"/>
    <w:rsid w:val="006C7960"/>
    <w:rsid w:val="006C7B4D"/>
    <w:rsid w:val="006D0DB6"/>
    <w:rsid w:val="006D25BB"/>
    <w:rsid w:val="006D304F"/>
    <w:rsid w:val="006D363A"/>
    <w:rsid w:val="006D3BF5"/>
    <w:rsid w:val="006D5492"/>
    <w:rsid w:val="006D57FF"/>
    <w:rsid w:val="006D626D"/>
    <w:rsid w:val="006D67B9"/>
    <w:rsid w:val="006D7645"/>
    <w:rsid w:val="006D7D00"/>
    <w:rsid w:val="006E045D"/>
    <w:rsid w:val="006E12D4"/>
    <w:rsid w:val="006E1380"/>
    <w:rsid w:val="006E1E70"/>
    <w:rsid w:val="006E311E"/>
    <w:rsid w:val="006E3762"/>
    <w:rsid w:val="006E3821"/>
    <w:rsid w:val="006E690D"/>
    <w:rsid w:val="006E789B"/>
    <w:rsid w:val="006E7C4E"/>
    <w:rsid w:val="006F0156"/>
    <w:rsid w:val="006F0DD1"/>
    <w:rsid w:val="006F1C22"/>
    <w:rsid w:val="006F2528"/>
    <w:rsid w:val="006F263E"/>
    <w:rsid w:val="006F2D56"/>
    <w:rsid w:val="006F326F"/>
    <w:rsid w:val="006F6524"/>
    <w:rsid w:val="006F7D2B"/>
    <w:rsid w:val="0070016B"/>
    <w:rsid w:val="007007A3"/>
    <w:rsid w:val="00700FD8"/>
    <w:rsid w:val="007031B7"/>
    <w:rsid w:val="007046C5"/>
    <w:rsid w:val="0070715D"/>
    <w:rsid w:val="00710A26"/>
    <w:rsid w:val="00711792"/>
    <w:rsid w:val="00712607"/>
    <w:rsid w:val="00712EB6"/>
    <w:rsid w:val="00713E95"/>
    <w:rsid w:val="00714BC4"/>
    <w:rsid w:val="00715220"/>
    <w:rsid w:val="00715222"/>
    <w:rsid w:val="0071549A"/>
    <w:rsid w:val="007173BC"/>
    <w:rsid w:val="007176FE"/>
    <w:rsid w:val="0072076F"/>
    <w:rsid w:val="007211BE"/>
    <w:rsid w:val="00721D27"/>
    <w:rsid w:val="007224D4"/>
    <w:rsid w:val="007225C9"/>
    <w:rsid w:val="007229B6"/>
    <w:rsid w:val="00723659"/>
    <w:rsid w:val="007247B7"/>
    <w:rsid w:val="00725531"/>
    <w:rsid w:val="00726F02"/>
    <w:rsid w:val="00727AFB"/>
    <w:rsid w:val="00727FE7"/>
    <w:rsid w:val="007308FE"/>
    <w:rsid w:val="007310D9"/>
    <w:rsid w:val="007316D3"/>
    <w:rsid w:val="00731A13"/>
    <w:rsid w:val="007342E3"/>
    <w:rsid w:val="00734D72"/>
    <w:rsid w:val="007359C7"/>
    <w:rsid w:val="00736977"/>
    <w:rsid w:val="0073772C"/>
    <w:rsid w:val="00741A5C"/>
    <w:rsid w:val="00742B4A"/>
    <w:rsid w:val="007449BF"/>
    <w:rsid w:val="00745FE6"/>
    <w:rsid w:val="0074788C"/>
    <w:rsid w:val="00751A9D"/>
    <w:rsid w:val="00752242"/>
    <w:rsid w:val="007535E7"/>
    <w:rsid w:val="00753A39"/>
    <w:rsid w:val="00755595"/>
    <w:rsid w:val="007557AF"/>
    <w:rsid w:val="00756037"/>
    <w:rsid w:val="00757FD8"/>
    <w:rsid w:val="007600C9"/>
    <w:rsid w:val="00761C71"/>
    <w:rsid w:val="007627B9"/>
    <w:rsid w:val="00762DDE"/>
    <w:rsid w:val="00763ED2"/>
    <w:rsid w:val="00763F5B"/>
    <w:rsid w:val="00766F20"/>
    <w:rsid w:val="00767472"/>
    <w:rsid w:val="00767D38"/>
    <w:rsid w:val="00770976"/>
    <w:rsid w:val="00772B2E"/>
    <w:rsid w:val="00775995"/>
    <w:rsid w:val="00776277"/>
    <w:rsid w:val="0077698F"/>
    <w:rsid w:val="007770BD"/>
    <w:rsid w:val="007804BF"/>
    <w:rsid w:val="00780E0D"/>
    <w:rsid w:val="0078168D"/>
    <w:rsid w:val="00781776"/>
    <w:rsid w:val="00783764"/>
    <w:rsid w:val="00783E66"/>
    <w:rsid w:val="007847A7"/>
    <w:rsid w:val="00785089"/>
    <w:rsid w:val="0078542D"/>
    <w:rsid w:val="00785DD9"/>
    <w:rsid w:val="0078755A"/>
    <w:rsid w:val="00787E89"/>
    <w:rsid w:val="00794A5E"/>
    <w:rsid w:val="0079570B"/>
    <w:rsid w:val="00796589"/>
    <w:rsid w:val="00796D93"/>
    <w:rsid w:val="00797CE0"/>
    <w:rsid w:val="007A45B7"/>
    <w:rsid w:val="007A4DC5"/>
    <w:rsid w:val="007A6AE5"/>
    <w:rsid w:val="007A6D89"/>
    <w:rsid w:val="007B0346"/>
    <w:rsid w:val="007B0B76"/>
    <w:rsid w:val="007B18F1"/>
    <w:rsid w:val="007B2A80"/>
    <w:rsid w:val="007B2B9E"/>
    <w:rsid w:val="007B2E0D"/>
    <w:rsid w:val="007B3563"/>
    <w:rsid w:val="007B6DF2"/>
    <w:rsid w:val="007B6E5B"/>
    <w:rsid w:val="007C2B68"/>
    <w:rsid w:val="007C4EF2"/>
    <w:rsid w:val="007C6787"/>
    <w:rsid w:val="007C7FEB"/>
    <w:rsid w:val="007D0565"/>
    <w:rsid w:val="007D310A"/>
    <w:rsid w:val="007D43AE"/>
    <w:rsid w:val="007D7E03"/>
    <w:rsid w:val="007E123A"/>
    <w:rsid w:val="007E13DB"/>
    <w:rsid w:val="007E22F7"/>
    <w:rsid w:val="007E2E82"/>
    <w:rsid w:val="007E4009"/>
    <w:rsid w:val="007E43EC"/>
    <w:rsid w:val="007E6FFE"/>
    <w:rsid w:val="007F08CB"/>
    <w:rsid w:val="007F131A"/>
    <w:rsid w:val="007F13C6"/>
    <w:rsid w:val="007F13D1"/>
    <w:rsid w:val="007F1E17"/>
    <w:rsid w:val="007F3648"/>
    <w:rsid w:val="007F3717"/>
    <w:rsid w:val="007F3D0C"/>
    <w:rsid w:val="007F45B4"/>
    <w:rsid w:val="007F5DD2"/>
    <w:rsid w:val="007F6469"/>
    <w:rsid w:val="007F76C4"/>
    <w:rsid w:val="007F778F"/>
    <w:rsid w:val="00800328"/>
    <w:rsid w:val="00801AAF"/>
    <w:rsid w:val="00801B64"/>
    <w:rsid w:val="0080295F"/>
    <w:rsid w:val="00802964"/>
    <w:rsid w:val="00802AA9"/>
    <w:rsid w:val="00803666"/>
    <w:rsid w:val="0080387B"/>
    <w:rsid w:val="00803A01"/>
    <w:rsid w:val="0080426C"/>
    <w:rsid w:val="008042C5"/>
    <w:rsid w:val="0080528F"/>
    <w:rsid w:val="0080731D"/>
    <w:rsid w:val="00807A87"/>
    <w:rsid w:val="00812402"/>
    <w:rsid w:val="00812D11"/>
    <w:rsid w:val="00815AAA"/>
    <w:rsid w:val="00815E8F"/>
    <w:rsid w:val="008206F1"/>
    <w:rsid w:val="0082381D"/>
    <w:rsid w:val="008275C6"/>
    <w:rsid w:val="00827E74"/>
    <w:rsid w:val="008303AC"/>
    <w:rsid w:val="008317C5"/>
    <w:rsid w:val="00831975"/>
    <w:rsid w:val="00832955"/>
    <w:rsid w:val="008343F0"/>
    <w:rsid w:val="00835E74"/>
    <w:rsid w:val="00836208"/>
    <w:rsid w:val="0083681E"/>
    <w:rsid w:val="00837F7C"/>
    <w:rsid w:val="008408B4"/>
    <w:rsid w:val="00841ABD"/>
    <w:rsid w:val="0084253B"/>
    <w:rsid w:val="0084330A"/>
    <w:rsid w:val="00843640"/>
    <w:rsid w:val="00844879"/>
    <w:rsid w:val="008467BD"/>
    <w:rsid w:val="00847DD0"/>
    <w:rsid w:val="00852731"/>
    <w:rsid w:val="00856A6C"/>
    <w:rsid w:val="00856DEE"/>
    <w:rsid w:val="0086123B"/>
    <w:rsid w:val="00861563"/>
    <w:rsid w:val="008618F5"/>
    <w:rsid w:val="00863CDD"/>
    <w:rsid w:val="008642C6"/>
    <w:rsid w:val="008647C5"/>
    <w:rsid w:val="00865224"/>
    <w:rsid w:val="008655FB"/>
    <w:rsid w:val="00865CA2"/>
    <w:rsid w:val="00867A22"/>
    <w:rsid w:val="00872377"/>
    <w:rsid w:val="008728FD"/>
    <w:rsid w:val="00873644"/>
    <w:rsid w:val="00873BD8"/>
    <w:rsid w:val="00873F9F"/>
    <w:rsid w:val="00875487"/>
    <w:rsid w:val="00880C11"/>
    <w:rsid w:val="00880D1C"/>
    <w:rsid w:val="00884EDC"/>
    <w:rsid w:val="00885FCD"/>
    <w:rsid w:val="008877C7"/>
    <w:rsid w:val="00890030"/>
    <w:rsid w:val="00890B2A"/>
    <w:rsid w:val="00890C69"/>
    <w:rsid w:val="008916DB"/>
    <w:rsid w:val="00892166"/>
    <w:rsid w:val="0089371E"/>
    <w:rsid w:val="00893728"/>
    <w:rsid w:val="00897EAF"/>
    <w:rsid w:val="008A20E7"/>
    <w:rsid w:val="008A2877"/>
    <w:rsid w:val="008A3B0D"/>
    <w:rsid w:val="008A3C12"/>
    <w:rsid w:val="008A4DB8"/>
    <w:rsid w:val="008A524B"/>
    <w:rsid w:val="008A66DB"/>
    <w:rsid w:val="008A6C91"/>
    <w:rsid w:val="008A7027"/>
    <w:rsid w:val="008A7D1D"/>
    <w:rsid w:val="008A7E51"/>
    <w:rsid w:val="008B047F"/>
    <w:rsid w:val="008B0614"/>
    <w:rsid w:val="008B14E9"/>
    <w:rsid w:val="008B2A36"/>
    <w:rsid w:val="008B4734"/>
    <w:rsid w:val="008B5D03"/>
    <w:rsid w:val="008B685D"/>
    <w:rsid w:val="008B75B5"/>
    <w:rsid w:val="008C06B6"/>
    <w:rsid w:val="008C22A1"/>
    <w:rsid w:val="008C2CFF"/>
    <w:rsid w:val="008C3359"/>
    <w:rsid w:val="008C355E"/>
    <w:rsid w:val="008C3E79"/>
    <w:rsid w:val="008C6211"/>
    <w:rsid w:val="008C74F0"/>
    <w:rsid w:val="008D01C3"/>
    <w:rsid w:val="008D0B8A"/>
    <w:rsid w:val="008D1089"/>
    <w:rsid w:val="008D17C3"/>
    <w:rsid w:val="008D1D54"/>
    <w:rsid w:val="008D1FFF"/>
    <w:rsid w:val="008D26F8"/>
    <w:rsid w:val="008D2842"/>
    <w:rsid w:val="008D2C21"/>
    <w:rsid w:val="008D3E76"/>
    <w:rsid w:val="008D41C5"/>
    <w:rsid w:val="008D6609"/>
    <w:rsid w:val="008D7836"/>
    <w:rsid w:val="008E0260"/>
    <w:rsid w:val="008E0435"/>
    <w:rsid w:val="008E1BBA"/>
    <w:rsid w:val="008E232B"/>
    <w:rsid w:val="008E2BC7"/>
    <w:rsid w:val="008E322E"/>
    <w:rsid w:val="008E5197"/>
    <w:rsid w:val="008E5513"/>
    <w:rsid w:val="008E5FE2"/>
    <w:rsid w:val="008E647E"/>
    <w:rsid w:val="008E6833"/>
    <w:rsid w:val="008E6A94"/>
    <w:rsid w:val="008E6DF0"/>
    <w:rsid w:val="008E727C"/>
    <w:rsid w:val="008F0603"/>
    <w:rsid w:val="008F1384"/>
    <w:rsid w:val="008F18AC"/>
    <w:rsid w:val="008F2C57"/>
    <w:rsid w:val="008F4B41"/>
    <w:rsid w:val="008F511B"/>
    <w:rsid w:val="008F7D2C"/>
    <w:rsid w:val="009009EC"/>
    <w:rsid w:val="00901531"/>
    <w:rsid w:val="00902688"/>
    <w:rsid w:val="009033C0"/>
    <w:rsid w:val="00903806"/>
    <w:rsid w:val="00904BD8"/>
    <w:rsid w:val="00906285"/>
    <w:rsid w:val="0090700E"/>
    <w:rsid w:val="00907735"/>
    <w:rsid w:val="00911ADC"/>
    <w:rsid w:val="00911D45"/>
    <w:rsid w:val="009120C5"/>
    <w:rsid w:val="00916791"/>
    <w:rsid w:val="00917632"/>
    <w:rsid w:val="00920B37"/>
    <w:rsid w:val="00920F4D"/>
    <w:rsid w:val="009221A4"/>
    <w:rsid w:val="00922213"/>
    <w:rsid w:val="00924572"/>
    <w:rsid w:val="0092636F"/>
    <w:rsid w:val="009267C3"/>
    <w:rsid w:val="009278F9"/>
    <w:rsid w:val="00927CAB"/>
    <w:rsid w:val="00930092"/>
    <w:rsid w:val="0093390F"/>
    <w:rsid w:val="00933DA0"/>
    <w:rsid w:val="0093422D"/>
    <w:rsid w:val="00935118"/>
    <w:rsid w:val="009353CC"/>
    <w:rsid w:val="00935683"/>
    <w:rsid w:val="00936F84"/>
    <w:rsid w:val="009371F3"/>
    <w:rsid w:val="009422F9"/>
    <w:rsid w:val="009430F8"/>
    <w:rsid w:val="00943165"/>
    <w:rsid w:val="009440B1"/>
    <w:rsid w:val="00945147"/>
    <w:rsid w:val="009454E1"/>
    <w:rsid w:val="00945CE5"/>
    <w:rsid w:val="00945E04"/>
    <w:rsid w:val="00946E3A"/>
    <w:rsid w:val="00947C6B"/>
    <w:rsid w:val="00947DAB"/>
    <w:rsid w:val="0095149A"/>
    <w:rsid w:val="009521B4"/>
    <w:rsid w:val="0095423E"/>
    <w:rsid w:val="00955BAE"/>
    <w:rsid w:val="00960E81"/>
    <w:rsid w:val="009621AE"/>
    <w:rsid w:val="00964981"/>
    <w:rsid w:val="00964AB3"/>
    <w:rsid w:val="00964C0D"/>
    <w:rsid w:val="00964F0D"/>
    <w:rsid w:val="009657EE"/>
    <w:rsid w:val="009704FA"/>
    <w:rsid w:val="00970EE4"/>
    <w:rsid w:val="00971B20"/>
    <w:rsid w:val="0097271E"/>
    <w:rsid w:val="0097327C"/>
    <w:rsid w:val="0097329F"/>
    <w:rsid w:val="0097449A"/>
    <w:rsid w:val="009756D7"/>
    <w:rsid w:val="00975C2C"/>
    <w:rsid w:val="00976E1E"/>
    <w:rsid w:val="009778E0"/>
    <w:rsid w:val="00980084"/>
    <w:rsid w:val="00980E46"/>
    <w:rsid w:val="00980E56"/>
    <w:rsid w:val="0098157F"/>
    <w:rsid w:val="00984C17"/>
    <w:rsid w:val="009866E5"/>
    <w:rsid w:val="0098678C"/>
    <w:rsid w:val="00987B39"/>
    <w:rsid w:val="00990E48"/>
    <w:rsid w:val="00990E75"/>
    <w:rsid w:val="00991169"/>
    <w:rsid w:val="00991946"/>
    <w:rsid w:val="009926FC"/>
    <w:rsid w:val="00993967"/>
    <w:rsid w:val="009946F7"/>
    <w:rsid w:val="00995845"/>
    <w:rsid w:val="009969A9"/>
    <w:rsid w:val="00996A51"/>
    <w:rsid w:val="00996BA2"/>
    <w:rsid w:val="009A0101"/>
    <w:rsid w:val="009A069E"/>
    <w:rsid w:val="009A0B96"/>
    <w:rsid w:val="009A1DD5"/>
    <w:rsid w:val="009A20F3"/>
    <w:rsid w:val="009A3D4A"/>
    <w:rsid w:val="009A65D0"/>
    <w:rsid w:val="009A7DCA"/>
    <w:rsid w:val="009A7F54"/>
    <w:rsid w:val="009B1108"/>
    <w:rsid w:val="009B15B4"/>
    <w:rsid w:val="009B5E5D"/>
    <w:rsid w:val="009B5E74"/>
    <w:rsid w:val="009B7BB9"/>
    <w:rsid w:val="009C33A4"/>
    <w:rsid w:val="009C40EA"/>
    <w:rsid w:val="009C49CC"/>
    <w:rsid w:val="009C4C6C"/>
    <w:rsid w:val="009C73F5"/>
    <w:rsid w:val="009C7BDF"/>
    <w:rsid w:val="009D0583"/>
    <w:rsid w:val="009D0F61"/>
    <w:rsid w:val="009D353C"/>
    <w:rsid w:val="009D533D"/>
    <w:rsid w:val="009D55B4"/>
    <w:rsid w:val="009D64CC"/>
    <w:rsid w:val="009D7D92"/>
    <w:rsid w:val="009E34AE"/>
    <w:rsid w:val="009E3E8D"/>
    <w:rsid w:val="009E4399"/>
    <w:rsid w:val="009E49CA"/>
    <w:rsid w:val="009E60E7"/>
    <w:rsid w:val="009E65F5"/>
    <w:rsid w:val="009E6FFE"/>
    <w:rsid w:val="009F019D"/>
    <w:rsid w:val="009F0426"/>
    <w:rsid w:val="009F4052"/>
    <w:rsid w:val="009F5EE4"/>
    <w:rsid w:val="009F665B"/>
    <w:rsid w:val="009F66DB"/>
    <w:rsid w:val="009F7C5E"/>
    <w:rsid w:val="00A01580"/>
    <w:rsid w:val="00A01BFF"/>
    <w:rsid w:val="00A01D51"/>
    <w:rsid w:val="00A023F8"/>
    <w:rsid w:val="00A0268E"/>
    <w:rsid w:val="00A02DDD"/>
    <w:rsid w:val="00A0423B"/>
    <w:rsid w:val="00A0698F"/>
    <w:rsid w:val="00A069FE"/>
    <w:rsid w:val="00A07653"/>
    <w:rsid w:val="00A10571"/>
    <w:rsid w:val="00A1161C"/>
    <w:rsid w:val="00A12022"/>
    <w:rsid w:val="00A13316"/>
    <w:rsid w:val="00A136DD"/>
    <w:rsid w:val="00A14C8C"/>
    <w:rsid w:val="00A161A8"/>
    <w:rsid w:val="00A20692"/>
    <w:rsid w:val="00A23458"/>
    <w:rsid w:val="00A24316"/>
    <w:rsid w:val="00A254CF"/>
    <w:rsid w:val="00A26E31"/>
    <w:rsid w:val="00A3167F"/>
    <w:rsid w:val="00A31F84"/>
    <w:rsid w:val="00A3350E"/>
    <w:rsid w:val="00A349BC"/>
    <w:rsid w:val="00A3501B"/>
    <w:rsid w:val="00A358EC"/>
    <w:rsid w:val="00A36579"/>
    <w:rsid w:val="00A36ED5"/>
    <w:rsid w:val="00A37B00"/>
    <w:rsid w:val="00A40C03"/>
    <w:rsid w:val="00A40F40"/>
    <w:rsid w:val="00A41272"/>
    <w:rsid w:val="00A43A0F"/>
    <w:rsid w:val="00A47DF6"/>
    <w:rsid w:val="00A5012D"/>
    <w:rsid w:val="00A50271"/>
    <w:rsid w:val="00A5085A"/>
    <w:rsid w:val="00A50F8A"/>
    <w:rsid w:val="00A54466"/>
    <w:rsid w:val="00A54ACF"/>
    <w:rsid w:val="00A55AA0"/>
    <w:rsid w:val="00A601F9"/>
    <w:rsid w:val="00A60BB8"/>
    <w:rsid w:val="00A61551"/>
    <w:rsid w:val="00A61DE1"/>
    <w:rsid w:val="00A62128"/>
    <w:rsid w:val="00A623E0"/>
    <w:rsid w:val="00A62991"/>
    <w:rsid w:val="00A62B93"/>
    <w:rsid w:val="00A6446F"/>
    <w:rsid w:val="00A64CED"/>
    <w:rsid w:val="00A650E2"/>
    <w:rsid w:val="00A658A3"/>
    <w:rsid w:val="00A66196"/>
    <w:rsid w:val="00A66651"/>
    <w:rsid w:val="00A673CC"/>
    <w:rsid w:val="00A67AF0"/>
    <w:rsid w:val="00A67F78"/>
    <w:rsid w:val="00A70976"/>
    <w:rsid w:val="00A71CD2"/>
    <w:rsid w:val="00A7235E"/>
    <w:rsid w:val="00A734E7"/>
    <w:rsid w:val="00A76FE3"/>
    <w:rsid w:val="00A77FE7"/>
    <w:rsid w:val="00A80FCF"/>
    <w:rsid w:val="00A813D3"/>
    <w:rsid w:val="00A82B69"/>
    <w:rsid w:val="00A82F6B"/>
    <w:rsid w:val="00A8723E"/>
    <w:rsid w:val="00A8797E"/>
    <w:rsid w:val="00A90970"/>
    <w:rsid w:val="00A928FF"/>
    <w:rsid w:val="00A94005"/>
    <w:rsid w:val="00A9433D"/>
    <w:rsid w:val="00A94EFE"/>
    <w:rsid w:val="00A95CB6"/>
    <w:rsid w:val="00A95D1D"/>
    <w:rsid w:val="00A966B1"/>
    <w:rsid w:val="00A96796"/>
    <w:rsid w:val="00A9789C"/>
    <w:rsid w:val="00AA038F"/>
    <w:rsid w:val="00AA1864"/>
    <w:rsid w:val="00AA21D3"/>
    <w:rsid w:val="00AA21F5"/>
    <w:rsid w:val="00AA2D82"/>
    <w:rsid w:val="00AA3374"/>
    <w:rsid w:val="00AA5008"/>
    <w:rsid w:val="00AA7C1B"/>
    <w:rsid w:val="00AB083F"/>
    <w:rsid w:val="00AB129C"/>
    <w:rsid w:val="00AB3613"/>
    <w:rsid w:val="00AB3A4C"/>
    <w:rsid w:val="00AB56DC"/>
    <w:rsid w:val="00AB7A63"/>
    <w:rsid w:val="00AC0CBB"/>
    <w:rsid w:val="00AC2A80"/>
    <w:rsid w:val="00AC5231"/>
    <w:rsid w:val="00AC5E67"/>
    <w:rsid w:val="00AC64A0"/>
    <w:rsid w:val="00AD034A"/>
    <w:rsid w:val="00AD1243"/>
    <w:rsid w:val="00AD169C"/>
    <w:rsid w:val="00AD2450"/>
    <w:rsid w:val="00AD2E40"/>
    <w:rsid w:val="00AD65BE"/>
    <w:rsid w:val="00AD6A38"/>
    <w:rsid w:val="00AD72B4"/>
    <w:rsid w:val="00AD7AA1"/>
    <w:rsid w:val="00AE3104"/>
    <w:rsid w:val="00AE43AD"/>
    <w:rsid w:val="00AE43BB"/>
    <w:rsid w:val="00AE4815"/>
    <w:rsid w:val="00AE53A6"/>
    <w:rsid w:val="00AE6B64"/>
    <w:rsid w:val="00AE6BB5"/>
    <w:rsid w:val="00AE73DC"/>
    <w:rsid w:val="00AE7710"/>
    <w:rsid w:val="00AF2CE8"/>
    <w:rsid w:val="00AF704D"/>
    <w:rsid w:val="00AF70F9"/>
    <w:rsid w:val="00AF7CEE"/>
    <w:rsid w:val="00AF7F6F"/>
    <w:rsid w:val="00B00CC3"/>
    <w:rsid w:val="00B0265A"/>
    <w:rsid w:val="00B04A14"/>
    <w:rsid w:val="00B05053"/>
    <w:rsid w:val="00B056CC"/>
    <w:rsid w:val="00B058B6"/>
    <w:rsid w:val="00B075D7"/>
    <w:rsid w:val="00B13AB1"/>
    <w:rsid w:val="00B14AB5"/>
    <w:rsid w:val="00B14D9C"/>
    <w:rsid w:val="00B155FE"/>
    <w:rsid w:val="00B15A4C"/>
    <w:rsid w:val="00B15CA6"/>
    <w:rsid w:val="00B15F8D"/>
    <w:rsid w:val="00B17819"/>
    <w:rsid w:val="00B206C1"/>
    <w:rsid w:val="00B2202B"/>
    <w:rsid w:val="00B221B5"/>
    <w:rsid w:val="00B22BD9"/>
    <w:rsid w:val="00B2454C"/>
    <w:rsid w:val="00B2544B"/>
    <w:rsid w:val="00B2734A"/>
    <w:rsid w:val="00B3244C"/>
    <w:rsid w:val="00B32682"/>
    <w:rsid w:val="00B33638"/>
    <w:rsid w:val="00B33C05"/>
    <w:rsid w:val="00B3469B"/>
    <w:rsid w:val="00B34A94"/>
    <w:rsid w:val="00B35B95"/>
    <w:rsid w:val="00B36150"/>
    <w:rsid w:val="00B40D0E"/>
    <w:rsid w:val="00B41B58"/>
    <w:rsid w:val="00B43A9F"/>
    <w:rsid w:val="00B44127"/>
    <w:rsid w:val="00B46352"/>
    <w:rsid w:val="00B50B25"/>
    <w:rsid w:val="00B51261"/>
    <w:rsid w:val="00B54171"/>
    <w:rsid w:val="00B56CB1"/>
    <w:rsid w:val="00B60534"/>
    <w:rsid w:val="00B6124E"/>
    <w:rsid w:val="00B622E5"/>
    <w:rsid w:val="00B62D08"/>
    <w:rsid w:val="00B63DA3"/>
    <w:rsid w:val="00B63EBC"/>
    <w:rsid w:val="00B64063"/>
    <w:rsid w:val="00B6763B"/>
    <w:rsid w:val="00B705F2"/>
    <w:rsid w:val="00B70AB8"/>
    <w:rsid w:val="00B70FE4"/>
    <w:rsid w:val="00B72569"/>
    <w:rsid w:val="00B72FDD"/>
    <w:rsid w:val="00B7456C"/>
    <w:rsid w:val="00B7458D"/>
    <w:rsid w:val="00B745F4"/>
    <w:rsid w:val="00B75545"/>
    <w:rsid w:val="00B762E2"/>
    <w:rsid w:val="00B771CD"/>
    <w:rsid w:val="00B81C0A"/>
    <w:rsid w:val="00B8241D"/>
    <w:rsid w:val="00B83F74"/>
    <w:rsid w:val="00B843B9"/>
    <w:rsid w:val="00B8447F"/>
    <w:rsid w:val="00B84AD1"/>
    <w:rsid w:val="00B850B8"/>
    <w:rsid w:val="00B85AD1"/>
    <w:rsid w:val="00B91104"/>
    <w:rsid w:val="00B91ABD"/>
    <w:rsid w:val="00B92DCF"/>
    <w:rsid w:val="00B94CCA"/>
    <w:rsid w:val="00B95AD8"/>
    <w:rsid w:val="00B9640C"/>
    <w:rsid w:val="00B9670A"/>
    <w:rsid w:val="00B9709B"/>
    <w:rsid w:val="00B9738E"/>
    <w:rsid w:val="00B97A62"/>
    <w:rsid w:val="00BA016E"/>
    <w:rsid w:val="00BA04EA"/>
    <w:rsid w:val="00BA246F"/>
    <w:rsid w:val="00BA35CC"/>
    <w:rsid w:val="00BA38F7"/>
    <w:rsid w:val="00BA3B98"/>
    <w:rsid w:val="00BA415E"/>
    <w:rsid w:val="00BA5D1C"/>
    <w:rsid w:val="00BA60BB"/>
    <w:rsid w:val="00BA62C3"/>
    <w:rsid w:val="00BB0472"/>
    <w:rsid w:val="00BB10E1"/>
    <w:rsid w:val="00BB12FE"/>
    <w:rsid w:val="00BB259D"/>
    <w:rsid w:val="00BB2A34"/>
    <w:rsid w:val="00BB4D90"/>
    <w:rsid w:val="00BB5D94"/>
    <w:rsid w:val="00BB5DF6"/>
    <w:rsid w:val="00BB75BE"/>
    <w:rsid w:val="00BB79F6"/>
    <w:rsid w:val="00BC03B1"/>
    <w:rsid w:val="00BC19CC"/>
    <w:rsid w:val="00BC2001"/>
    <w:rsid w:val="00BC24BF"/>
    <w:rsid w:val="00BC4B9F"/>
    <w:rsid w:val="00BC6D2B"/>
    <w:rsid w:val="00BC74C4"/>
    <w:rsid w:val="00BD1758"/>
    <w:rsid w:val="00BD2A9C"/>
    <w:rsid w:val="00BD2D3C"/>
    <w:rsid w:val="00BD2E25"/>
    <w:rsid w:val="00BD37C8"/>
    <w:rsid w:val="00BD3CEA"/>
    <w:rsid w:val="00BD4776"/>
    <w:rsid w:val="00BD63FF"/>
    <w:rsid w:val="00BD6602"/>
    <w:rsid w:val="00BD6AF3"/>
    <w:rsid w:val="00BD7229"/>
    <w:rsid w:val="00BD7C49"/>
    <w:rsid w:val="00BD7F31"/>
    <w:rsid w:val="00BE00CC"/>
    <w:rsid w:val="00BE055D"/>
    <w:rsid w:val="00BE0A4E"/>
    <w:rsid w:val="00BE0DA4"/>
    <w:rsid w:val="00BE0F9D"/>
    <w:rsid w:val="00BE2602"/>
    <w:rsid w:val="00BE354F"/>
    <w:rsid w:val="00BE3FC6"/>
    <w:rsid w:val="00BE4BAC"/>
    <w:rsid w:val="00BE530F"/>
    <w:rsid w:val="00BE5712"/>
    <w:rsid w:val="00BE7750"/>
    <w:rsid w:val="00BE7819"/>
    <w:rsid w:val="00BE7A65"/>
    <w:rsid w:val="00BF007B"/>
    <w:rsid w:val="00BF099A"/>
    <w:rsid w:val="00BF4035"/>
    <w:rsid w:val="00BF48C3"/>
    <w:rsid w:val="00BF5E09"/>
    <w:rsid w:val="00BF7707"/>
    <w:rsid w:val="00C00710"/>
    <w:rsid w:val="00C012D1"/>
    <w:rsid w:val="00C01545"/>
    <w:rsid w:val="00C0256F"/>
    <w:rsid w:val="00C02772"/>
    <w:rsid w:val="00C03376"/>
    <w:rsid w:val="00C03BE7"/>
    <w:rsid w:val="00C063C3"/>
    <w:rsid w:val="00C07E8E"/>
    <w:rsid w:val="00C10ED3"/>
    <w:rsid w:val="00C1143E"/>
    <w:rsid w:val="00C11612"/>
    <w:rsid w:val="00C11940"/>
    <w:rsid w:val="00C12BFF"/>
    <w:rsid w:val="00C13291"/>
    <w:rsid w:val="00C13FAE"/>
    <w:rsid w:val="00C1582A"/>
    <w:rsid w:val="00C16149"/>
    <w:rsid w:val="00C178E3"/>
    <w:rsid w:val="00C21016"/>
    <w:rsid w:val="00C21761"/>
    <w:rsid w:val="00C2238F"/>
    <w:rsid w:val="00C224F5"/>
    <w:rsid w:val="00C24948"/>
    <w:rsid w:val="00C261DC"/>
    <w:rsid w:val="00C268BB"/>
    <w:rsid w:val="00C268F4"/>
    <w:rsid w:val="00C27041"/>
    <w:rsid w:val="00C27BFB"/>
    <w:rsid w:val="00C27DF5"/>
    <w:rsid w:val="00C302BC"/>
    <w:rsid w:val="00C326EB"/>
    <w:rsid w:val="00C32924"/>
    <w:rsid w:val="00C32D53"/>
    <w:rsid w:val="00C35CE2"/>
    <w:rsid w:val="00C35E13"/>
    <w:rsid w:val="00C36894"/>
    <w:rsid w:val="00C36A62"/>
    <w:rsid w:val="00C45E7A"/>
    <w:rsid w:val="00C46F63"/>
    <w:rsid w:val="00C4762E"/>
    <w:rsid w:val="00C50404"/>
    <w:rsid w:val="00C5054A"/>
    <w:rsid w:val="00C52FED"/>
    <w:rsid w:val="00C5351F"/>
    <w:rsid w:val="00C53734"/>
    <w:rsid w:val="00C539FB"/>
    <w:rsid w:val="00C53C2A"/>
    <w:rsid w:val="00C561BC"/>
    <w:rsid w:val="00C566FB"/>
    <w:rsid w:val="00C56FEF"/>
    <w:rsid w:val="00C56FF4"/>
    <w:rsid w:val="00C61227"/>
    <w:rsid w:val="00C6157D"/>
    <w:rsid w:val="00C61D07"/>
    <w:rsid w:val="00C62668"/>
    <w:rsid w:val="00C63C88"/>
    <w:rsid w:val="00C64C54"/>
    <w:rsid w:val="00C65238"/>
    <w:rsid w:val="00C70F04"/>
    <w:rsid w:val="00C72068"/>
    <w:rsid w:val="00C74E0F"/>
    <w:rsid w:val="00C75D5A"/>
    <w:rsid w:val="00C75E27"/>
    <w:rsid w:val="00C7666C"/>
    <w:rsid w:val="00C768D3"/>
    <w:rsid w:val="00C770F2"/>
    <w:rsid w:val="00C7762C"/>
    <w:rsid w:val="00C776A0"/>
    <w:rsid w:val="00C8266F"/>
    <w:rsid w:val="00C83548"/>
    <w:rsid w:val="00C86437"/>
    <w:rsid w:val="00C86618"/>
    <w:rsid w:val="00C86EA4"/>
    <w:rsid w:val="00C87225"/>
    <w:rsid w:val="00C872F4"/>
    <w:rsid w:val="00C87909"/>
    <w:rsid w:val="00C91648"/>
    <w:rsid w:val="00C9408B"/>
    <w:rsid w:val="00C948F5"/>
    <w:rsid w:val="00C94EDE"/>
    <w:rsid w:val="00C950DD"/>
    <w:rsid w:val="00C95900"/>
    <w:rsid w:val="00C97255"/>
    <w:rsid w:val="00C97321"/>
    <w:rsid w:val="00CA0692"/>
    <w:rsid w:val="00CA0CD3"/>
    <w:rsid w:val="00CA0CEB"/>
    <w:rsid w:val="00CA1438"/>
    <w:rsid w:val="00CA1C2C"/>
    <w:rsid w:val="00CA3468"/>
    <w:rsid w:val="00CA629D"/>
    <w:rsid w:val="00CA6D70"/>
    <w:rsid w:val="00CA7B88"/>
    <w:rsid w:val="00CB01DA"/>
    <w:rsid w:val="00CB07DE"/>
    <w:rsid w:val="00CB09E7"/>
    <w:rsid w:val="00CB1A82"/>
    <w:rsid w:val="00CB3696"/>
    <w:rsid w:val="00CB4082"/>
    <w:rsid w:val="00CB459B"/>
    <w:rsid w:val="00CB571B"/>
    <w:rsid w:val="00CB6C6E"/>
    <w:rsid w:val="00CB6F27"/>
    <w:rsid w:val="00CB7E48"/>
    <w:rsid w:val="00CB7FE1"/>
    <w:rsid w:val="00CC075B"/>
    <w:rsid w:val="00CC0866"/>
    <w:rsid w:val="00CC0CAD"/>
    <w:rsid w:val="00CC0F4E"/>
    <w:rsid w:val="00CC11BD"/>
    <w:rsid w:val="00CC18D6"/>
    <w:rsid w:val="00CC24D0"/>
    <w:rsid w:val="00CC4689"/>
    <w:rsid w:val="00CC5289"/>
    <w:rsid w:val="00CC54EB"/>
    <w:rsid w:val="00CC703F"/>
    <w:rsid w:val="00CC706B"/>
    <w:rsid w:val="00CC73DD"/>
    <w:rsid w:val="00CC7777"/>
    <w:rsid w:val="00CD0671"/>
    <w:rsid w:val="00CD06BE"/>
    <w:rsid w:val="00CD0F03"/>
    <w:rsid w:val="00CD1AC2"/>
    <w:rsid w:val="00CD1AD4"/>
    <w:rsid w:val="00CD1BD7"/>
    <w:rsid w:val="00CD1DE1"/>
    <w:rsid w:val="00CD2095"/>
    <w:rsid w:val="00CD426F"/>
    <w:rsid w:val="00CD45B0"/>
    <w:rsid w:val="00CE01FC"/>
    <w:rsid w:val="00CE0C34"/>
    <w:rsid w:val="00CE0CA4"/>
    <w:rsid w:val="00CE0F40"/>
    <w:rsid w:val="00CE12F5"/>
    <w:rsid w:val="00CE1608"/>
    <w:rsid w:val="00CE1DF7"/>
    <w:rsid w:val="00CE4893"/>
    <w:rsid w:val="00CE4C8C"/>
    <w:rsid w:val="00CE5744"/>
    <w:rsid w:val="00CE7F07"/>
    <w:rsid w:val="00CF0DB6"/>
    <w:rsid w:val="00CF15E7"/>
    <w:rsid w:val="00CF1732"/>
    <w:rsid w:val="00CF533D"/>
    <w:rsid w:val="00CF551C"/>
    <w:rsid w:val="00CF5F2A"/>
    <w:rsid w:val="00CF667E"/>
    <w:rsid w:val="00CF75FB"/>
    <w:rsid w:val="00CF7986"/>
    <w:rsid w:val="00D008E3"/>
    <w:rsid w:val="00D0533C"/>
    <w:rsid w:val="00D06976"/>
    <w:rsid w:val="00D07BD8"/>
    <w:rsid w:val="00D07EA5"/>
    <w:rsid w:val="00D10EA2"/>
    <w:rsid w:val="00D11009"/>
    <w:rsid w:val="00D119C2"/>
    <w:rsid w:val="00D12DA6"/>
    <w:rsid w:val="00D14F38"/>
    <w:rsid w:val="00D1616F"/>
    <w:rsid w:val="00D16D89"/>
    <w:rsid w:val="00D21BAC"/>
    <w:rsid w:val="00D226F1"/>
    <w:rsid w:val="00D22ED2"/>
    <w:rsid w:val="00D23D8F"/>
    <w:rsid w:val="00D23FEB"/>
    <w:rsid w:val="00D23FED"/>
    <w:rsid w:val="00D258D9"/>
    <w:rsid w:val="00D25B6E"/>
    <w:rsid w:val="00D3076A"/>
    <w:rsid w:val="00D30DEE"/>
    <w:rsid w:val="00D31737"/>
    <w:rsid w:val="00D33705"/>
    <w:rsid w:val="00D33920"/>
    <w:rsid w:val="00D33A8A"/>
    <w:rsid w:val="00D33B8F"/>
    <w:rsid w:val="00D34CD7"/>
    <w:rsid w:val="00D35813"/>
    <w:rsid w:val="00D36123"/>
    <w:rsid w:val="00D3672D"/>
    <w:rsid w:val="00D371DA"/>
    <w:rsid w:val="00D4148C"/>
    <w:rsid w:val="00D41A00"/>
    <w:rsid w:val="00D436B8"/>
    <w:rsid w:val="00D4434A"/>
    <w:rsid w:val="00D44A68"/>
    <w:rsid w:val="00D45ADC"/>
    <w:rsid w:val="00D479D4"/>
    <w:rsid w:val="00D503EA"/>
    <w:rsid w:val="00D5055E"/>
    <w:rsid w:val="00D50A39"/>
    <w:rsid w:val="00D50A45"/>
    <w:rsid w:val="00D511E9"/>
    <w:rsid w:val="00D51456"/>
    <w:rsid w:val="00D515C5"/>
    <w:rsid w:val="00D545F7"/>
    <w:rsid w:val="00D557C7"/>
    <w:rsid w:val="00D5594E"/>
    <w:rsid w:val="00D55A78"/>
    <w:rsid w:val="00D5677F"/>
    <w:rsid w:val="00D569CA"/>
    <w:rsid w:val="00D57B63"/>
    <w:rsid w:val="00D6008D"/>
    <w:rsid w:val="00D615EC"/>
    <w:rsid w:val="00D6274C"/>
    <w:rsid w:val="00D63897"/>
    <w:rsid w:val="00D63A8A"/>
    <w:rsid w:val="00D6549E"/>
    <w:rsid w:val="00D65C55"/>
    <w:rsid w:val="00D661F0"/>
    <w:rsid w:val="00D6691A"/>
    <w:rsid w:val="00D67277"/>
    <w:rsid w:val="00D7202A"/>
    <w:rsid w:val="00D72777"/>
    <w:rsid w:val="00D7299C"/>
    <w:rsid w:val="00D73002"/>
    <w:rsid w:val="00D7302C"/>
    <w:rsid w:val="00D754E0"/>
    <w:rsid w:val="00D76BD4"/>
    <w:rsid w:val="00D77DDB"/>
    <w:rsid w:val="00D80FC9"/>
    <w:rsid w:val="00D81D3D"/>
    <w:rsid w:val="00D81D97"/>
    <w:rsid w:val="00D8222A"/>
    <w:rsid w:val="00D843D9"/>
    <w:rsid w:val="00D84846"/>
    <w:rsid w:val="00D86367"/>
    <w:rsid w:val="00D86A94"/>
    <w:rsid w:val="00D870CF"/>
    <w:rsid w:val="00D87F61"/>
    <w:rsid w:val="00D90B5A"/>
    <w:rsid w:val="00D916FA"/>
    <w:rsid w:val="00D91A99"/>
    <w:rsid w:val="00D92214"/>
    <w:rsid w:val="00D92384"/>
    <w:rsid w:val="00D925F7"/>
    <w:rsid w:val="00D9414C"/>
    <w:rsid w:val="00D96195"/>
    <w:rsid w:val="00D968BE"/>
    <w:rsid w:val="00DA143F"/>
    <w:rsid w:val="00DA15B5"/>
    <w:rsid w:val="00DA1682"/>
    <w:rsid w:val="00DA1C11"/>
    <w:rsid w:val="00DA30F4"/>
    <w:rsid w:val="00DA363F"/>
    <w:rsid w:val="00DA4434"/>
    <w:rsid w:val="00DA488F"/>
    <w:rsid w:val="00DA4FBC"/>
    <w:rsid w:val="00DA541C"/>
    <w:rsid w:val="00DA547D"/>
    <w:rsid w:val="00DA6CEE"/>
    <w:rsid w:val="00DA72D2"/>
    <w:rsid w:val="00DB02A9"/>
    <w:rsid w:val="00DB07FB"/>
    <w:rsid w:val="00DB12ED"/>
    <w:rsid w:val="00DB1326"/>
    <w:rsid w:val="00DB2547"/>
    <w:rsid w:val="00DB3DD8"/>
    <w:rsid w:val="00DB6953"/>
    <w:rsid w:val="00DB7DE0"/>
    <w:rsid w:val="00DC0B89"/>
    <w:rsid w:val="00DC15E6"/>
    <w:rsid w:val="00DC1F02"/>
    <w:rsid w:val="00DC22D9"/>
    <w:rsid w:val="00DC31DE"/>
    <w:rsid w:val="00DC46C9"/>
    <w:rsid w:val="00DC4E7F"/>
    <w:rsid w:val="00DC5639"/>
    <w:rsid w:val="00DD0EAE"/>
    <w:rsid w:val="00DD1BB1"/>
    <w:rsid w:val="00DD1EE7"/>
    <w:rsid w:val="00DD25C1"/>
    <w:rsid w:val="00DD30E6"/>
    <w:rsid w:val="00DD3916"/>
    <w:rsid w:val="00DD6B24"/>
    <w:rsid w:val="00DD7C34"/>
    <w:rsid w:val="00DD7FD1"/>
    <w:rsid w:val="00DE084E"/>
    <w:rsid w:val="00DE1B2C"/>
    <w:rsid w:val="00DE4C96"/>
    <w:rsid w:val="00DE7A5C"/>
    <w:rsid w:val="00DE7C03"/>
    <w:rsid w:val="00DF0A34"/>
    <w:rsid w:val="00DF1268"/>
    <w:rsid w:val="00DF1E55"/>
    <w:rsid w:val="00DF5152"/>
    <w:rsid w:val="00DF5E25"/>
    <w:rsid w:val="00DF63FB"/>
    <w:rsid w:val="00DF745B"/>
    <w:rsid w:val="00DF7F4C"/>
    <w:rsid w:val="00E012DF"/>
    <w:rsid w:val="00E022A9"/>
    <w:rsid w:val="00E02497"/>
    <w:rsid w:val="00E02EEE"/>
    <w:rsid w:val="00E0335A"/>
    <w:rsid w:val="00E03905"/>
    <w:rsid w:val="00E039B7"/>
    <w:rsid w:val="00E03AA3"/>
    <w:rsid w:val="00E049D4"/>
    <w:rsid w:val="00E04BAA"/>
    <w:rsid w:val="00E055C2"/>
    <w:rsid w:val="00E07128"/>
    <w:rsid w:val="00E12802"/>
    <w:rsid w:val="00E12F87"/>
    <w:rsid w:val="00E13207"/>
    <w:rsid w:val="00E14619"/>
    <w:rsid w:val="00E1527D"/>
    <w:rsid w:val="00E16566"/>
    <w:rsid w:val="00E166FB"/>
    <w:rsid w:val="00E167FF"/>
    <w:rsid w:val="00E17A94"/>
    <w:rsid w:val="00E2147C"/>
    <w:rsid w:val="00E23C29"/>
    <w:rsid w:val="00E23EA4"/>
    <w:rsid w:val="00E23FFC"/>
    <w:rsid w:val="00E26F1E"/>
    <w:rsid w:val="00E27C2A"/>
    <w:rsid w:val="00E27C42"/>
    <w:rsid w:val="00E3367D"/>
    <w:rsid w:val="00E36984"/>
    <w:rsid w:val="00E373AC"/>
    <w:rsid w:val="00E37BB5"/>
    <w:rsid w:val="00E37F8C"/>
    <w:rsid w:val="00E4062F"/>
    <w:rsid w:val="00E4131E"/>
    <w:rsid w:val="00E41BFB"/>
    <w:rsid w:val="00E42061"/>
    <w:rsid w:val="00E424F3"/>
    <w:rsid w:val="00E4406D"/>
    <w:rsid w:val="00E440AB"/>
    <w:rsid w:val="00E449FD"/>
    <w:rsid w:val="00E46055"/>
    <w:rsid w:val="00E46CB1"/>
    <w:rsid w:val="00E501C9"/>
    <w:rsid w:val="00E5484A"/>
    <w:rsid w:val="00E55CD7"/>
    <w:rsid w:val="00E561AD"/>
    <w:rsid w:val="00E56767"/>
    <w:rsid w:val="00E56F21"/>
    <w:rsid w:val="00E601EF"/>
    <w:rsid w:val="00E60670"/>
    <w:rsid w:val="00E60EB9"/>
    <w:rsid w:val="00E61389"/>
    <w:rsid w:val="00E632CB"/>
    <w:rsid w:val="00E63B72"/>
    <w:rsid w:val="00E63B79"/>
    <w:rsid w:val="00E66F43"/>
    <w:rsid w:val="00E67620"/>
    <w:rsid w:val="00E702C2"/>
    <w:rsid w:val="00E71F61"/>
    <w:rsid w:val="00E72811"/>
    <w:rsid w:val="00E72CB2"/>
    <w:rsid w:val="00E73AD4"/>
    <w:rsid w:val="00E81967"/>
    <w:rsid w:val="00E82306"/>
    <w:rsid w:val="00E823A7"/>
    <w:rsid w:val="00E83065"/>
    <w:rsid w:val="00E832D7"/>
    <w:rsid w:val="00E838BF"/>
    <w:rsid w:val="00E83D72"/>
    <w:rsid w:val="00E8589D"/>
    <w:rsid w:val="00E86C99"/>
    <w:rsid w:val="00E86D49"/>
    <w:rsid w:val="00E8721F"/>
    <w:rsid w:val="00E87537"/>
    <w:rsid w:val="00E92BE7"/>
    <w:rsid w:val="00E942CF"/>
    <w:rsid w:val="00E943EC"/>
    <w:rsid w:val="00E94D1D"/>
    <w:rsid w:val="00E97147"/>
    <w:rsid w:val="00E97430"/>
    <w:rsid w:val="00E978B6"/>
    <w:rsid w:val="00E97B76"/>
    <w:rsid w:val="00EA0D4A"/>
    <w:rsid w:val="00EA0EF7"/>
    <w:rsid w:val="00EA1037"/>
    <w:rsid w:val="00EA1F58"/>
    <w:rsid w:val="00EA29C4"/>
    <w:rsid w:val="00EA2D3A"/>
    <w:rsid w:val="00EA2DF8"/>
    <w:rsid w:val="00EA3422"/>
    <w:rsid w:val="00EA375F"/>
    <w:rsid w:val="00EA435E"/>
    <w:rsid w:val="00EA5289"/>
    <w:rsid w:val="00EA52A9"/>
    <w:rsid w:val="00EA5C30"/>
    <w:rsid w:val="00EA626E"/>
    <w:rsid w:val="00EA7832"/>
    <w:rsid w:val="00EB1850"/>
    <w:rsid w:val="00EB26A0"/>
    <w:rsid w:val="00EB382B"/>
    <w:rsid w:val="00EB5F9F"/>
    <w:rsid w:val="00EB7ACF"/>
    <w:rsid w:val="00EC00A2"/>
    <w:rsid w:val="00EC0376"/>
    <w:rsid w:val="00EC0C4A"/>
    <w:rsid w:val="00EC2203"/>
    <w:rsid w:val="00EC3394"/>
    <w:rsid w:val="00EC3951"/>
    <w:rsid w:val="00EC3CCC"/>
    <w:rsid w:val="00EC421A"/>
    <w:rsid w:val="00EC589B"/>
    <w:rsid w:val="00EC69BA"/>
    <w:rsid w:val="00ED0EA7"/>
    <w:rsid w:val="00ED1137"/>
    <w:rsid w:val="00ED17C4"/>
    <w:rsid w:val="00ED1AEF"/>
    <w:rsid w:val="00ED219E"/>
    <w:rsid w:val="00ED2D97"/>
    <w:rsid w:val="00ED40C7"/>
    <w:rsid w:val="00ED4A6F"/>
    <w:rsid w:val="00ED57BA"/>
    <w:rsid w:val="00ED6136"/>
    <w:rsid w:val="00ED79CF"/>
    <w:rsid w:val="00EE0057"/>
    <w:rsid w:val="00EE1DAE"/>
    <w:rsid w:val="00EE1E12"/>
    <w:rsid w:val="00EE2213"/>
    <w:rsid w:val="00EE34BB"/>
    <w:rsid w:val="00EE3EB9"/>
    <w:rsid w:val="00EE444B"/>
    <w:rsid w:val="00EE5EA4"/>
    <w:rsid w:val="00EF002E"/>
    <w:rsid w:val="00EF14BD"/>
    <w:rsid w:val="00EF1F5B"/>
    <w:rsid w:val="00EF22AA"/>
    <w:rsid w:val="00EF31E7"/>
    <w:rsid w:val="00EF4EF8"/>
    <w:rsid w:val="00EF5F48"/>
    <w:rsid w:val="00EF6820"/>
    <w:rsid w:val="00EF717B"/>
    <w:rsid w:val="00F01437"/>
    <w:rsid w:val="00F01A63"/>
    <w:rsid w:val="00F01C3C"/>
    <w:rsid w:val="00F030E1"/>
    <w:rsid w:val="00F03965"/>
    <w:rsid w:val="00F05220"/>
    <w:rsid w:val="00F05815"/>
    <w:rsid w:val="00F06549"/>
    <w:rsid w:val="00F07044"/>
    <w:rsid w:val="00F07986"/>
    <w:rsid w:val="00F1118B"/>
    <w:rsid w:val="00F11762"/>
    <w:rsid w:val="00F153EF"/>
    <w:rsid w:val="00F22077"/>
    <w:rsid w:val="00F224A0"/>
    <w:rsid w:val="00F22614"/>
    <w:rsid w:val="00F249DA"/>
    <w:rsid w:val="00F26244"/>
    <w:rsid w:val="00F26645"/>
    <w:rsid w:val="00F27EFB"/>
    <w:rsid w:val="00F30362"/>
    <w:rsid w:val="00F314E1"/>
    <w:rsid w:val="00F33AE7"/>
    <w:rsid w:val="00F34521"/>
    <w:rsid w:val="00F3505B"/>
    <w:rsid w:val="00F35767"/>
    <w:rsid w:val="00F357B2"/>
    <w:rsid w:val="00F3632E"/>
    <w:rsid w:val="00F37865"/>
    <w:rsid w:val="00F37E95"/>
    <w:rsid w:val="00F40920"/>
    <w:rsid w:val="00F40BBC"/>
    <w:rsid w:val="00F41577"/>
    <w:rsid w:val="00F4169D"/>
    <w:rsid w:val="00F43D33"/>
    <w:rsid w:val="00F46F72"/>
    <w:rsid w:val="00F46F83"/>
    <w:rsid w:val="00F47184"/>
    <w:rsid w:val="00F50CFA"/>
    <w:rsid w:val="00F53DB5"/>
    <w:rsid w:val="00F5521A"/>
    <w:rsid w:val="00F56068"/>
    <w:rsid w:val="00F57CC6"/>
    <w:rsid w:val="00F6044E"/>
    <w:rsid w:val="00F6258B"/>
    <w:rsid w:val="00F62EC5"/>
    <w:rsid w:val="00F632DF"/>
    <w:rsid w:val="00F6478D"/>
    <w:rsid w:val="00F67501"/>
    <w:rsid w:val="00F71CAC"/>
    <w:rsid w:val="00F71FDE"/>
    <w:rsid w:val="00F72867"/>
    <w:rsid w:val="00F73CB9"/>
    <w:rsid w:val="00F7556A"/>
    <w:rsid w:val="00F75868"/>
    <w:rsid w:val="00F76EE9"/>
    <w:rsid w:val="00F805AE"/>
    <w:rsid w:val="00F8132B"/>
    <w:rsid w:val="00F840EB"/>
    <w:rsid w:val="00F90893"/>
    <w:rsid w:val="00F92C4C"/>
    <w:rsid w:val="00F93A93"/>
    <w:rsid w:val="00F9424C"/>
    <w:rsid w:val="00F946AB"/>
    <w:rsid w:val="00F95FB2"/>
    <w:rsid w:val="00F97910"/>
    <w:rsid w:val="00F97A64"/>
    <w:rsid w:val="00FA054E"/>
    <w:rsid w:val="00FA0C97"/>
    <w:rsid w:val="00FA31A9"/>
    <w:rsid w:val="00FA3BFF"/>
    <w:rsid w:val="00FA4634"/>
    <w:rsid w:val="00FA4EE4"/>
    <w:rsid w:val="00FA5AA9"/>
    <w:rsid w:val="00FA6A81"/>
    <w:rsid w:val="00FA7FDB"/>
    <w:rsid w:val="00FB114C"/>
    <w:rsid w:val="00FB1921"/>
    <w:rsid w:val="00FB23DF"/>
    <w:rsid w:val="00FB287A"/>
    <w:rsid w:val="00FB28BD"/>
    <w:rsid w:val="00FB35A4"/>
    <w:rsid w:val="00FB4A1D"/>
    <w:rsid w:val="00FB59DC"/>
    <w:rsid w:val="00FB7355"/>
    <w:rsid w:val="00FC0D58"/>
    <w:rsid w:val="00FC114E"/>
    <w:rsid w:val="00FC2081"/>
    <w:rsid w:val="00FC4076"/>
    <w:rsid w:val="00FC49F4"/>
    <w:rsid w:val="00FC4CD2"/>
    <w:rsid w:val="00FC4CF0"/>
    <w:rsid w:val="00FC4EDF"/>
    <w:rsid w:val="00FC4F7E"/>
    <w:rsid w:val="00FC6530"/>
    <w:rsid w:val="00FC73A6"/>
    <w:rsid w:val="00FC7D15"/>
    <w:rsid w:val="00FC7DF0"/>
    <w:rsid w:val="00FD0226"/>
    <w:rsid w:val="00FD3C21"/>
    <w:rsid w:val="00FD3F05"/>
    <w:rsid w:val="00FD46EE"/>
    <w:rsid w:val="00FD65B4"/>
    <w:rsid w:val="00FD7247"/>
    <w:rsid w:val="00FD77E6"/>
    <w:rsid w:val="00FE0ACB"/>
    <w:rsid w:val="00FE0CFB"/>
    <w:rsid w:val="00FE12D5"/>
    <w:rsid w:val="00FE2CD2"/>
    <w:rsid w:val="00FE30F2"/>
    <w:rsid w:val="00FE32C3"/>
    <w:rsid w:val="00FE3E03"/>
    <w:rsid w:val="00FE5F63"/>
    <w:rsid w:val="00FE6C0F"/>
    <w:rsid w:val="00FE7686"/>
    <w:rsid w:val="00FE7FA2"/>
    <w:rsid w:val="00FF0720"/>
    <w:rsid w:val="00FF13AD"/>
    <w:rsid w:val="00FF17E5"/>
    <w:rsid w:val="00FF1D39"/>
    <w:rsid w:val="00FF30FF"/>
    <w:rsid w:val="00FF3A69"/>
    <w:rsid w:val="00FF50AB"/>
    <w:rsid w:val="00FF5AD9"/>
    <w:rsid w:val="00FF603C"/>
    <w:rsid w:val="00FF6CB2"/>
    <w:rsid w:val="00FF7D48"/>
    <w:rsid w:val="010C1112"/>
    <w:rsid w:val="029C2633"/>
    <w:rsid w:val="03532116"/>
    <w:rsid w:val="03E3A3E9"/>
    <w:rsid w:val="03F51677"/>
    <w:rsid w:val="03F69F1A"/>
    <w:rsid w:val="051ACFCD"/>
    <w:rsid w:val="05919A2D"/>
    <w:rsid w:val="05E9152B"/>
    <w:rsid w:val="06379433"/>
    <w:rsid w:val="063D6843"/>
    <w:rsid w:val="066432AC"/>
    <w:rsid w:val="069B7ADC"/>
    <w:rsid w:val="06BE6BE2"/>
    <w:rsid w:val="06FE8B66"/>
    <w:rsid w:val="0739E6C6"/>
    <w:rsid w:val="0763136A"/>
    <w:rsid w:val="07A6191C"/>
    <w:rsid w:val="07ABBEBB"/>
    <w:rsid w:val="07BA705A"/>
    <w:rsid w:val="0907052C"/>
    <w:rsid w:val="098051AA"/>
    <w:rsid w:val="0A24B9C4"/>
    <w:rsid w:val="0A613950"/>
    <w:rsid w:val="0A700B55"/>
    <w:rsid w:val="0B0022D9"/>
    <w:rsid w:val="0B48D58A"/>
    <w:rsid w:val="0C5E71B7"/>
    <w:rsid w:val="0C689E27"/>
    <w:rsid w:val="0C6C4946"/>
    <w:rsid w:val="0C85BE5D"/>
    <w:rsid w:val="0C9FAC85"/>
    <w:rsid w:val="0CB1253A"/>
    <w:rsid w:val="0DCFF88F"/>
    <w:rsid w:val="0DE04A9F"/>
    <w:rsid w:val="0E6BB81D"/>
    <w:rsid w:val="0E967858"/>
    <w:rsid w:val="0F03D9E1"/>
    <w:rsid w:val="0F3B75E8"/>
    <w:rsid w:val="0F95990C"/>
    <w:rsid w:val="0FD4C9D7"/>
    <w:rsid w:val="102F500D"/>
    <w:rsid w:val="10A4A11E"/>
    <w:rsid w:val="10FB2C97"/>
    <w:rsid w:val="1112F309"/>
    <w:rsid w:val="1114BA4E"/>
    <w:rsid w:val="112C6B7A"/>
    <w:rsid w:val="1198BEFD"/>
    <w:rsid w:val="11DD2B83"/>
    <w:rsid w:val="12008149"/>
    <w:rsid w:val="123EFD2F"/>
    <w:rsid w:val="12F4B78A"/>
    <w:rsid w:val="1323E382"/>
    <w:rsid w:val="13A3A09E"/>
    <w:rsid w:val="13A79940"/>
    <w:rsid w:val="13E847AC"/>
    <w:rsid w:val="13F426FA"/>
    <w:rsid w:val="142D8494"/>
    <w:rsid w:val="1486A01F"/>
    <w:rsid w:val="15270E72"/>
    <w:rsid w:val="154090C5"/>
    <w:rsid w:val="1561100D"/>
    <w:rsid w:val="15A58401"/>
    <w:rsid w:val="16287004"/>
    <w:rsid w:val="166F4922"/>
    <w:rsid w:val="17131A31"/>
    <w:rsid w:val="17C27382"/>
    <w:rsid w:val="17DC55AF"/>
    <w:rsid w:val="17FEF9E5"/>
    <w:rsid w:val="185526A6"/>
    <w:rsid w:val="18B57E3D"/>
    <w:rsid w:val="18CE3240"/>
    <w:rsid w:val="19667954"/>
    <w:rsid w:val="19DEEE96"/>
    <w:rsid w:val="19E6C14B"/>
    <w:rsid w:val="1A7FDCA6"/>
    <w:rsid w:val="1A9A6D24"/>
    <w:rsid w:val="1AC17C3A"/>
    <w:rsid w:val="1ADA31FC"/>
    <w:rsid w:val="1B284C5D"/>
    <w:rsid w:val="1B597A7E"/>
    <w:rsid w:val="1BB71A66"/>
    <w:rsid w:val="1BD611AD"/>
    <w:rsid w:val="1CAE500B"/>
    <w:rsid w:val="1CE469A7"/>
    <w:rsid w:val="1D481232"/>
    <w:rsid w:val="1DD9EF3C"/>
    <w:rsid w:val="1DF69EC9"/>
    <w:rsid w:val="1E25FE9E"/>
    <w:rsid w:val="1EBF714E"/>
    <w:rsid w:val="1EE22F19"/>
    <w:rsid w:val="1F152BF5"/>
    <w:rsid w:val="1F6DAFD8"/>
    <w:rsid w:val="1F84CC11"/>
    <w:rsid w:val="20BD1B28"/>
    <w:rsid w:val="218F7423"/>
    <w:rsid w:val="21A055E4"/>
    <w:rsid w:val="21CD325D"/>
    <w:rsid w:val="21F176C3"/>
    <w:rsid w:val="2252F5EA"/>
    <w:rsid w:val="22B2E273"/>
    <w:rsid w:val="235944A0"/>
    <w:rsid w:val="242A3B97"/>
    <w:rsid w:val="244B8BA3"/>
    <w:rsid w:val="247593E9"/>
    <w:rsid w:val="2482AB30"/>
    <w:rsid w:val="24866881"/>
    <w:rsid w:val="248FB11B"/>
    <w:rsid w:val="24CA6B4B"/>
    <w:rsid w:val="25167A99"/>
    <w:rsid w:val="256E7D1F"/>
    <w:rsid w:val="263C3F53"/>
    <w:rsid w:val="266D0E36"/>
    <w:rsid w:val="2705F438"/>
    <w:rsid w:val="2803C688"/>
    <w:rsid w:val="286F61AF"/>
    <w:rsid w:val="29171280"/>
    <w:rsid w:val="291EB04C"/>
    <w:rsid w:val="29AF17E1"/>
    <w:rsid w:val="29E24B52"/>
    <w:rsid w:val="2AB2F450"/>
    <w:rsid w:val="2AB70C23"/>
    <w:rsid w:val="2AEB4A54"/>
    <w:rsid w:val="2B04FDB1"/>
    <w:rsid w:val="2B1AC7DC"/>
    <w:rsid w:val="2BEF2B23"/>
    <w:rsid w:val="2BF1899A"/>
    <w:rsid w:val="2C3D54C4"/>
    <w:rsid w:val="2CC507A0"/>
    <w:rsid w:val="2CE0FEC2"/>
    <w:rsid w:val="2CF1AE67"/>
    <w:rsid w:val="2D99E544"/>
    <w:rsid w:val="2DEB2C8A"/>
    <w:rsid w:val="2E2AB90F"/>
    <w:rsid w:val="2E3CCF42"/>
    <w:rsid w:val="2E8E4643"/>
    <w:rsid w:val="2E8E7D31"/>
    <w:rsid w:val="2EE8C294"/>
    <w:rsid w:val="2F7661F3"/>
    <w:rsid w:val="2FA6F2C0"/>
    <w:rsid w:val="30B89212"/>
    <w:rsid w:val="30EDBFC2"/>
    <w:rsid w:val="30FC3356"/>
    <w:rsid w:val="3192DD79"/>
    <w:rsid w:val="3205A40E"/>
    <w:rsid w:val="320BC70F"/>
    <w:rsid w:val="32158470"/>
    <w:rsid w:val="3268830B"/>
    <w:rsid w:val="32C1C859"/>
    <w:rsid w:val="32F6F98A"/>
    <w:rsid w:val="33059570"/>
    <w:rsid w:val="33985B12"/>
    <w:rsid w:val="33E5B4FB"/>
    <w:rsid w:val="34DFCB06"/>
    <w:rsid w:val="34E998B1"/>
    <w:rsid w:val="34F06E92"/>
    <w:rsid w:val="3518770D"/>
    <w:rsid w:val="351F2960"/>
    <w:rsid w:val="3569ECBC"/>
    <w:rsid w:val="35821FBB"/>
    <w:rsid w:val="358BCD3F"/>
    <w:rsid w:val="35A59737"/>
    <w:rsid w:val="3630E3D9"/>
    <w:rsid w:val="36C1AD60"/>
    <w:rsid w:val="36E718BD"/>
    <w:rsid w:val="372DFBD6"/>
    <w:rsid w:val="375E6B6B"/>
    <w:rsid w:val="3782F5BA"/>
    <w:rsid w:val="381054FE"/>
    <w:rsid w:val="382BB0E4"/>
    <w:rsid w:val="38303276"/>
    <w:rsid w:val="38D94B9A"/>
    <w:rsid w:val="39728167"/>
    <w:rsid w:val="397FF86C"/>
    <w:rsid w:val="39F787EA"/>
    <w:rsid w:val="3A1863B5"/>
    <w:rsid w:val="3A252E23"/>
    <w:rsid w:val="3AC975C0"/>
    <w:rsid w:val="3AE1C658"/>
    <w:rsid w:val="3AE87F4D"/>
    <w:rsid w:val="3B3759A5"/>
    <w:rsid w:val="3B799BCC"/>
    <w:rsid w:val="3B983095"/>
    <w:rsid w:val="3BBDEFDF"/>
    <w:rsid w:val="3C09902F"/>
    <w:rsid w:val="3C205190"/>
    <w:rsid w:val="3C415B41"/>
    <w:rsid w:val="3C637521"/>
    <w:rsid w:val="3D1B7E88"/>
    <w:rsid w:val="3D23032C"/>
    <w:rsid w:val="3DF4D5B1"/>
    <w:rsid w:val="3E0BD2A6"/>
    <w:rsid w:val="3E587F8E"/>
    <w:rsid w:val="3EEBE81C"/>
    <w:rsid w:val="3F8285E0"/>
    <w:rsid w:val="3FC738EB"/>
    <w:rsid w:val="3FF7CE88"/>
    <w:rsid w:val="404A42F7"/>
    <w:rsid w:val="405C61C0"/>
    <w:rsid w:val="40CDF8D1"/>
    <w:rsid w:val="4131F494"/>
    <w:rsid w:val="41531929"/>
    <w:rsid w:val="41B4A28C"/>
    <w:rsid w:val="4254DCC1"/>
    <w:rsid w:val="42EDEF6D"/>
    <w:rsid w:val="43768F17"/>
    <w:rsid w:val="451C38B0"/>
    <w:rsid w:val="45866D16"/>
    <w:rsid w:val="46186346"/>
    <w:rsid w:val="464F45A7"/>
    <w:rsid w:val="4660B91A"/>
    <w:rsid w:val="475F3A1A"/>
    <w:rsid w:val="47C26FF6"/>
    <w:rsid w:val="47CA3E1F"/>
    <w:rsid w:val="4816A654"/>
    <w:rsid w:val="481A0B18"/>
    <w:rsid w:val="48375772"/>
    <w:rsid w:val="487623C5"/>
    <w:rsid w:val="4909FF02"/>
    <w:rsid w:val="4936E5BF"/>
    <w:rsid w:val="4959E051"/>
    <w:rsid w:val="4A1DDAEB"/>
    <w:rsid w:val="4A4DD050"/>
    <w:rsid w:val="4AA1AE5E"/>
    <w:rsid w:val="4B71E956"/>
    <w:rsid w:val="4C05280B"/>
    <w:rsid w:val="4C2A1218"/>
    <w:rsid w:val="4C8918ED"/>
    <w:rsid w:val="4D05D725"/>
    <w:rsid w:val="4D0967CF"/>
    <w:rsid w:val="4D65BC3A"/>
    <w:rsid w:val="4D8EC441"/>
    <w:rsid w:val="4DBA415A"/>
    <w:rsid w:val="4DE0175B"/>
    <w:rsid w:val="4E12A658"/>
    <w:rsid w:val="4E2B0E51"/>
    <w:rsid w:val="4EDF1A41"/>
    <w:rsid w:val="4EF92727"/>
    <w:rsid w:val="4F9EA472"/>
    <w:rsid w:val="4FCC0AD1"/>
    <w:rsid w:val="5018C294"/>
    <w:rsid w:val="510D766F"/>
    <w:rsid w:val="51115786"/>
    <w:rsid w:val="5170D769"/>
    <w:rsid w:val="526362D6"/>
    <w:rsid w:val="527DC273"/>
    <w:rsid w:val="52CC3B59"/>
    <w:rsid w:val="5369F3F4"/>
    <w:rsid w:val="537A5530"/>
    <w:rsid w:val="537B7A8F"/>
    <w:rsid w:val="547A2D94"/>
    <w:rsid w:val="547CDDA0"/>
    <w:rsid w:val="54ACA371"/>
    <w:rsid w:val="550BC2F9"/>
    <w:rsid w:val="558BDF90"/>
    <w:rsid w:val="559D80A3"/>
    <w:rsid w:val="565C7792"/>
    <w:rsid w:val="56F1BA1B"/>
    <w:rsid w:val="57821025"/>
    <w:rsid w:val="57CD894D"/>
    <w:rsid w:val="58532BE8"/>
    <w:rsid w:val="587E035A"/>
    <w:rsid w:val="58A84EEA"/>
    <w:rsid w:val="58E96E3A"/>
    <w:rsid w:val="593AC637"/>
    <w:rsid w:val="593E5738"/>
    <w:rsid w:val="594C7A0B"/>
    <w:rsid w:val="59C112C8"/>
    <w:rsid w:val="5A4CF6CC"/>
    <w:rsid w:val="5AF03726"/>
    <w:rsid w:val="5B545F6C"/>
    <w:rsid w:val="5B67C7D7"/>
    <w:rsid w:val="5C24D288"/>
    <w:rsid w:val="5C6F8BC2"/>
    <w:rsid w:val="5CE41D62"/>
    <w:rsid w:val="5CEFEC53"/>
    <w:rsid w:val="5DC4A04A"/>
    <w:rsid w:val="5DD4D7CF"/>
    <w:rsid w:val="5E4023AB"/>
    <w:rsid w:val="5E7D70E4"/>
    <w:rsid w:val="5E97B0CB"/>
    <w:rsid w:val="5F62B1B6"/>
    <w:rsid w:val="5FAE97D8"/>
    <w:rsid w:val="5FD35E9D"/>
    <w:rsid w:val="600DB829"/>
    <w:rsid w:val="6079877E"/>
    <w:rsid w:val="61EE564A"/>
    <w:rsid w:val="62456E77"/>
    <w:rsid w:val="62BE2085"/>
    <w:rsid w:val="62C9B2EA"/>
    <w:rsid w:val="631FEBCA"/>
    <w:rsid w:val="639E9B9B"/>
    <w:rsid w:val="63BEA325"/>
    <w:rsid w:val="6462B5A6"/>
    <w:rsid w:val="649087DC"/>
    <w:rsid w:val="649395FB"/>
    <w:rsid w:val="64A4B944"/>
    <w:rsid w:val="64F692D4"/>
    <w:rsid w:val="656A1E2D"/>
    <w:rsid w:val="65772A6C"/>
    <w:rsid w:val="65A72BA2"/>
    <w:rsid w:val="6654291A"/>
    <w:rsid w:val="66BD4B63"/>
    <w:rsid w:val="671C4404"/>
    <w:rsid w:val="67205E4B"/>
    <w:rsid w:val="67630FE3"/>
    <w:rsid w:val="678818CA"/>
    <w:rsid w:val="67929FA3"/>
    <w:rsid w:val="67997BEE"/>
    <w:rsid w:val="67E5EF71"/>
    <w:rsid w:val="688EC8D6"/>
    <w:rsid w:val="68C2C5D5"/>
    <w:rsid w:val="68DB40FC"/>
    <w:rsid w:val="691A7037"/>
    <w:rsid w:val="6924D4D1"/>
    <w:rsid w:val="6987D822"/>
    <w:rsid w:val="6A0510BF"/>
    <w:rsid w:val="6A66705C"/>
    <w:rsid w:val="6AB03904"/>
    <w:rsid w:val="6ABC4D12"/>
    <w:rsid w:val="6AC31E23"/>
    <w:rsid w:val="6B3C2582"/>
    <w:rsid w:val="6B5B80CE"/>
    <w:rsid w:val="6BF9886D"/>
    <w:rsid w:val="6C7E551B"/>
    <w:rsid w:val="6D488CFE"/>
    <w:rsid w:val="6D5E2B53"/>
    <w:rsid w:val="6D92290A"/>
    <w:rsid w:val="6DC8581C"/>
    <w:rsid w:val="6DE954D4"/>
    <w:rsid w:val="6E235B12"/>
    <w:rsid w:val="702EE3C2"/>
    <w:rsid w:val="70481CF2"/>
    <w:rsid w:val="70A625F7"/>
    <w:rsid w:val="70C006E6"/>
    <w:rsid w:val="716D41F4"/>
    <w:rsid w:val="7193A06A"/>
    <w:rsid w:val="71C31FE3"/>
    <w:rsid w:val="71E6426E"/>
    <w:rsid w:val="71F51864"/>
    <w:rsid w:val="724E9FAD"/>
    <w:rsid w:val="727A167A"/>
    <w:rsid w:val="72AFD5C4"/>
    <w:rsid w:val="72D168A5"/>
    <w:rsid w:val="72F6ECCE"/>
    <w:rsid w:val="730FCCFB"/>
    <w:rsid w:val="73BF3F6F"/>
    <w:rsid w:val="73C5D9BC"/>
    <w:rsid w:val="73F401F8"/>
    <w:rsid w:val="74B9DF17"/>
    <w:rsid w:val="74CD2655"/>
    <w:rsid w:val="75207B8F"/>
    <w:rsid w:val="75809766"/>
    <w:rsid w:val="75BE7B32"/>
    <w:rsid w:val="75E7E8C2"/>
    <w:rsid w:val="7669ACD6"/>
    <w:rsid w:val="766E7AF6"/>
    <w:rsid w:val="76825172"/>
    <w:rsid w:val="76B67B90"/>
    <w:rsid w:val="77316144"/>
    <w:rsid w:val="77359BF2"/>
    <w:rsid w:val="77446A4A"/>
    <w:rsid w:val="777ECC86"/>
    <w:rsid w:val="77D2CA7A"/>
    <w:rsid w:val="78206F1E"/>
    <w:rsid w:val="784B72B7"/>
    <w:rsid w:val="785BA168"/>
    <w:rsid w:val="7929D98B"/>
    <w:rsid w:val="79B17F01"/>
    <w:rsid w:val="79BEC7F1"/>
    <w:rsid w:val="79CB34D5"/>
    <w:rsid w:val="7A6AF975"/>
    <w:rsid w:val="7A75D9C9"/>
    <w:rsid w:val="7B254AC1"/>
    <w:rsid w:val="7B51F349"/>
    <w:rsid w:val="7BAD7C19"/>
    <w:rsid w:val="7BEE4526"/>
    <w:rsid w:val="7BF38582"/>
    <w:rsid w:val="7C285CBA"/>
    <w:rsid w:val="7C297149"/>
    <w:rsid w:val="7C97CD75"/>
    <w:rsid w:val="7D073C85"/>
    <w:rsid w:val="7D0CF5E0"/>
    <w:rsid w:val="7DA9163B"/>
    <w:rsid w:val="7DEED1A8"/>
    <w:rsid w:val="7E030E9E"/>
    <w:rsid w:val="7E1955CF"/>
    <w:rsid w:val="7F17C408"/>
    <w:rsid w:val="7FA29CDC"/>
    <w:rsid w:val="7FD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89E2"/>
  <w15:docId w15:val="{38D6A328-5785-4CB2-BD85-E77B755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55AB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5FE"/>
  </w:style>
  <w:style w:type="paragraph" w:styleId="llb">
    <w:name w:val="footer"/>
    <w:basedOn w:val="Norml"/>
    <w:link w:val="llbChar"/>
    <w:uiPriority w:val="99"/>
    <w:unhideWhenUsed/>
    <w:rsid w:val="00B1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5F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5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5FE"/>
    <w:rPr>
      <w:sz w:val="20"/>
      <w:szCs w:val="20"/>
    </w:rPr>
  </w:style>
  <w:style w:type="character" w:styleId="Lbjegyzet-hivatkozs">
    <w:name w:val="footnote reference"/>
    <w:semiHidden/>
    <w:rsid w:val="00B155FE"/>
    <w:rPr>
      <w:vertAlign w:val="superscript"/>
    </w:rPr>
  </w:style>
  <w:style w:type="character" w:styleId="Oldalszm">
    <w:name w:val="page number"/>
    <w:basedOn w:val="Bekezdsalapbettpusa"/>
    <w:rsid w:val="00B155FE"/>
  </w:style>
  <w:style w:type="paragraph" w:styleId="Buborkszveg">
    <w:name w:val="Balloon Text"/>
    <w:basedOn w:val="Norml"/>
    <w:link w:val="BuborkszvegChar"/>
    <w:uiPriority w:val="99"/>
    <w:semiHidden/>
    <w:unhideWhenUsed/>
    <w:rsid w:val="0097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327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71CAC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table" w:styleId="Rcsostblzat">
    <w:name w:val="Table Grid"/>
    <w:basedOn w:val="Normltblzat"/>
    <w:uiPriority w:val="39"/>
    <w:rsid w:val="00D4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1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table" w:styleId="Tblzatrcsos1vilgos1jellszn">
    <w:name w:val="Grid Table 1 Light Accent 1"/>
    <w:basedOn w:val="Normltblzat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5D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5D5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62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footer" Target="footer3.xm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DF1BD466E83E842902559549E0F08F2" ma:contentTypeVersion="5" ma:contentTypeDescription="Új dokumentum létrehozása." ma:contentTypeScope="" ma:versionID="4b44a68e156a5b79248640aeafc70798">
  <xsd:schema xmlns:xsd="http://www.w3.org/2001/XMLSchema" xmlns:xs="http://www.w3.org/2001/XMLSchema" xmlns:p="http://schemas.microsoft.com/office/2006/metadata/properties" xmlns:ns2="cb7eed14-1ed6-4f4f-9464-e9d73fc2f8e9" xmlns:ns3="9669010e-b829-4d86-87dd-cdce11b02043" targetNamespace="http://schemas.microsoft.com/office/2006/metadata/properties" ma:root="true" ma:fieldsID="bd0071a6f26b893e5271513f12c665f5" ns2:_="" ns3:_="">
    <xsd:import namespace="cb7eed14-1ed6-4f4f-9464-e9d73fc2f8e9"/>
    <xsd:import namespace="9669010e-b829-4d86-87dd-cdce11b02043"/>
    <xsd:element name="properties">
      <xsd:complexType>
        <xsd:sequence>
          <xsd:element name="documentManagement">
            <xsd:complexType>
              <xsd:all>
                <xsd:element ref="ns2:T_x00e9_ma" minOccurs="0"/>
                <xsd:element ref="ns2:_x00c9_v"/>
                <xsd:element ref="ns2:L_x00e1_that_x00f3_s_x00e1_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ed14-1ed6-4f4f-9464-e9d73fc2f8e9" elementFormDefault="qualified">
    <xsd:import namespace="http://schemas.microsoft.com/office/2006/documentManagement/types"/>
    <xsd:import namespace="http://schemas.microsoft.com/office/infopath/2007/PartnerControls"/>
    <xsd:element name="T_x00e9_ma" ma:index="2" nillable="true" ma:displayName="Téma" ma:format="Dropdown" ma:internalName="T_x00e9_ma">
      <xsd:simpleType>
        <xsd:restriction base="dms:Choice">
          <xsd:enumeration value="Tervezés"/>
          <xsd:enumeration value="Zárszámadás"/>
          <xsd:enumeration value="Törvénymódosítás"/>
          <xsd:enumeration value="ÁSZ ellenőrzés"/>
          <xsd:enumeration value="Gyorsjelentés"/>
          <xsd:enumeration value="Monitoring"/>
          <xsd:enumeration value="Tervezési tájékoztató"/>
          <xsd:enumeration value="Útmutató"/>
          <xsd:enumeration value="Munkaprogram"/>
          <xsd:enumeration value="Ütemterv"/>
          <xsd:enumeration value="Módosító"/>
          <xsd:enumeration value="Kormányülés"/>
          <xsd:enumeration value="Gazdasági kabinet"/>
          <xsd:enumeration value="Stratégiai kabinet"/>
          <xsd:enumeration value="IFMIS"/>
          <xsd:enumeration value="Fejezeten belüli átcsoportosítás"/>
          <xsd:enumeration value="Címlista"/>
          <xsd:enumeration value="BEÜ"/>
          <xsd:enumeration value="Koronavírus"/>
          <xsd:enumeration value="Tudásbázis"/>
          <xsd:enumeration value="Kiemelt fejlesztési igények"/>
          <xsd:enumeration value="Iktatás"/>
        </xsd:restriction>
      </xsd:simpleType>
    </xsd:element>
    <xsd:element name="_x00c9_v" ma:index="3" ma:displayName="Év" ma:default="2018" ma:format="Dropdown" ma:internalName="_x00c9_v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L_x00e1_that_x00f3_s_x00e1_g" ma:index="4" nillable="true" ma:displayName="Láthatóság" ma:default="Publikus" ma:format="Dropdown" ma:internalName="L_x00e1_that_x00f3_s_x00e1_g">
      <xsd:simpleType>
        <xsd:restriction base="dms:Choice">
          <xsd:enumeration value="Publikus"/>
          <xsd:enumeration value="Csak admin látja (verziókat tartalmaz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010e-b829-4d86-87dd-cdce11b02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9_v xmlns="cb7eed14-1ed6-4f4f-9464-e9d73fc2f8e9">2025</_x00c9_v>
    <T_x00e9_ma xmlns="cb7eed14-1ed6-4f4f-9464-e9d73fc2f8e9">Monitoring</T_x00e9_ma>
    <L_x00e1_that_x00f3_s_x00e1_g xmlns="cb7eed14-1ed6-4f4f-9464-e9d73fc2f8e9">Publikus</L_x00e1_that_x00f3_s_x00e1_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FD48C-7926-4BF1-87F7-A322FB81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eed14-1ed6-4f4f-9464-e9d73fc2f8e9"/>
    <ds:schemaRef ds:uri="9669010e-b829-4d86-87dd-cdce11b02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E50AF-6A38-4D56-A55D-D65BA869B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C958D-48DC-4564-B24D-56E63215790F}">
  <ds:schemaRefs>
    <ds:schemaRef ds:uri="http://purl.org/dc/elements/1.1/"/>
    <ds:schemaRef ds:uri="http://schemas.microsoft.com/office/2006/metadata/properties"/>
    <ds:schemaRef ds:uri="http://purl.org/dc/terms/"/>
    <ds:schemaRef ds:uri="cb7eed14-1ed6-4f4f-9464-e9d73fc2f8e9"/>
    <ds:schemaRef ds:uri="http://schemas.microsoft.com/office/2006/documentManagement/types"/>
    <ds:schemaRef ds:uri="http://schemas.microsoft.com/office/infopath/2007/PartnerControls"/>
    <ds:schemaRef ds:uri="9669010e-b829-4d86-87dd-cdce11b0204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D0F6AD-19C0-4D6B-ABDF-2564A2CC5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23</Pages>
  <Words>5074</Words>
  <Characters>35011</Characters>
  <DocSecurity>0</DocSecurity>
  <Lines>291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2025-09-15T12:24:00Z</cp:lastPrinted>
  <dcterms:created xsi:type="dcterms:W3CDTF">2025-10-14T07:06:00Z</dcterms:created>
  <dcterms:modified xsi:type="dcterms:W3CDTF">2025-10-15T13:12:00Z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0x010100CDF1BD466E83E842902559549E0F08F2</vt:lpwstr>
  </property>
</Properties>
</file>