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44EBE" w14:textId="77777777" w:rsidR="00533618" w:rsidRPr="00880D00" w:rsidRDefault="009B11E5" w:rsidP="00AC4652">
      <w:pPr>
        <w:spacing w:after="160"/>
        <w:jc w:val="center"/>
        <w:rPr>
          <w:rFonts w:ascii="Marianne" w:hAnsi="Marianne" w:cs="Times New Roman"/>
          <w:bCs/>
          <w:smallCaps/>
          <w:sz w:val="22"/>
          <w:u w:val="single"/>
        </w:rPr>
      </w:pPr>
      <w:r w:rsidRPr="00880D00">
        <w:rPr>
          <w:rFonts w:ascii="Marianne" w:hAnsi="Marianne" w:cs="Times New Roman"/>
          <w:bCs/>
          <w:smallCaps/>
          <w:sz w:val="22"/>
          <w:u w:val="single"/>
        </w:rPr>
        <w:t>NYILATKOZAT AZ ITU FREKVENCIAGAZDÁLKODÁSI SZABÁLYOZÁSI KERETÉNEK TÁMOGATÁSÁRÓL</w:t>
      </w:r>
    </w:p>
    <w:p w14:paraId="488D95FB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 xml:space="preserve">A </w:t>
      </w:r>
      <w:proofErr w:type="spellStart"/>
      <w:r w:rsidRPr="00880D00">
        <w:rPr>
          <w:rFonts w:ascii="Marianne" w:hAnsi="Marianne" w:cs="Times New Roman"/>
          <w:sz w:val="22"/>
        </w:rPr>
        <w:t>Nemzetközi</w:t>
      </w:r>
      <w:proofErr w:type="spellEnd"/>
      <w:r w:rsidRPr="00880D00">
        <w:rPr>
          <w:rFonts w:ascii="Marianne" w:hAnsi="Marianne" w:cs="Times New Roman"/>
          <w:sz w:val="22"/>
        </w:rPr>
        <w:t xml:space="preserve"> </w:t>
      </w:r>
      <w:proofErr w:type="spellStart"/>
      <w:r w:rsidRPr="00880D00">
        <w:rPr>
          <w:rFonts w:ascii="Marianne" w:hAnsi="Marianne" w:cs="Times New Roman"/>
          <w:sz w:val="22"/>
        </w:rPr>
        <w:t>Távközlési</w:t>
      </w:r>
      <w:proofErr w:type="spellEnd"/>
      <w:r w:rsidRPr="00880D00">
        <w:rPr>
          <w:rFonts w:ascii="Marianne" w:hAnsi="Marianne" w:cs="Times New Roman"/>
          <w:sz w:val="22"/>
        </w:rPr>
        <w:t xml:space="preserve"> </w:t>
      </w:r>
      <w:proofErr w:type="spellStart"/>
      <w:r w:rsidRPr="00880D00">
        <w:rPr>
          <w:rFonts w:ascii="Marianne" w:hAnsi="Marianne" w:cs="Times New Roman"/>
          <w:sz w:val="22"/>
        </w:rPr>
        <w:t>Egyesület</w:t>
      </w:r>
      <w:proofErr w:type="spellEnd"/>
      <w:r w:rsidRPr="00880D00">
        <w:rPr>
          <w:rFonts w:ascii="Marianne" w:hAnsi="Marianne" w:cs="Times New Roman"/>
          <w:sz w:val="22"/>
        </w:rPr>
        <w:t xml:space="preserve"> (ITU) alapvető szerepet tölt be a rádiófrekvencia-spektrum és az ahhoz kapcsolódó műholdpályák használatára vonatkozó nemzetközi keretrendszer fenntartásában. Világszerte támogatja a rádiótávközlési rendszerek zavarvédett működésének biztosítását, ami az űrszolgáltatások szempontjából kulcsfontosságú. Ez az ITU-keretrendszer a Rádiószabályzaton alapul, amely kötelező erejű nemzetközi szerződés, és amelyet négyévente, a Rádió-távközlési Világértekezleteken (WRC) felülvizsgálnak. A Rádiószabályzat meghatározza az ITU tagállamai használati jogainak – különösen az űralkalmazásokhoz kapcsolódó frekvenciakiosztások esetében – nyilvántartására, koordinálására és védelmére vonatkozó szabályokat és eljárásokat.</w:t>
      </w:r>
    </w:p>
    <w:p w14:paraId="7ABF988B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>Támogatjuk az ITU mint a rádiófrekvencia-spektrum és az ahhoz kapcsolódó pályaerőforrások hatékony és fenntartható használatáért elsődlegesen felelős globális szervezet szerepét. Elismerjük, hogy az ITU eredményesen biztosította és elősegítette a műholdrendszerek – köztük a nagy műholdkonstellációk és az új űripari alkalmazások széles körének – fejlődését. Meggyőződésünk, hogy a Rádiószabályzat továbbra is fejlődni fog annak érdekében, hogy alkalmazkodjon az új tudományos és technológiai fejleményekhez, és hogy az ITU ezt a keretrendszert továbbra is tisztességes, átlátható és hatékony módon hajtja végre.</w:t>
      </w:r>
    </w:p>
    <w:p w14:paraId="234C0EF3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>A változó geopolitikai környezetben szilárd meggyőződésünk, hogy a rádiófrekvencia-spektrum és a műholdpályák ITU által kialakított globális szabályozásának betartása – amely a nemzetközi jogon, valamint az ITU Alkotmányán és Egyezményén alapuló multilateralizmusban gyökerezik – alapvető feltétele annak, hogy az államok összehangolhassák rádiótávközlési rendszereiket, megelőzzék a műholdrendszerek közötti káros zavarásokat, és kialakíthassák űrtávközlési politikájukat, egyúttal elkerülve a műholdak közötti káros zavarásokat.</w:t>
      </w:r>
    </w:p>
    <w:p w14:paraId="37E63CE5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>Az ITU által kezelt frekvencia-nyilvántartási eljárások előmozdítják a spektrumhoz és a kapcsolódó pályaerőforrásokhoz való méltányos hozzáférést. Jelenleg mind a 194 ITU-tagállam rendelkezik nemzeti erőforrásokkal az ITU űrtervében, és több mint 100 igazgatási szerv rendelkezik további műholdas frekvenciakiosztásokkal, amelyek közül 56 a geostacionárius pályához kapcsolódik. Az ITU számos fejlődő ország számára lehetővé teszi saját műholdas képességeik kialakítását káros rádiózavarásoktól mentesen annak érdekében, hogy megfeleljenek lakosságuk konnektivitási igényeinek. A spektrumhoz és a pályaerőforrásokhoz való méltányos hozzáférés, különösen a fejlődő országok számára, támogatja a digitális szakadék csökkentésének szélesebb körű célját, összhangban az ITU fejlesztési mandátumával.</w:t>
      </w:r>
    </w:p>
    <w:p w14:paraId="16BAF503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 xml:space="preserve">Tudomásul vesszük, hogy a geostacionárius hálózatok (GSO) nem geostacionárius (NGSO) konstellációkkal szembeni védelmére a Rádiószabályzatban kialakított keretrendszerrel kapcsolatos tanulmányok eredményeiről a WRC-27 számol majd be. Ebben az összefüggésben fontos lesz mindkét technológia számára kedvező működési környezet biztosítása, valamint a geostacionárius hálózatok megbízható védelmének fenntartása egyértelmű, mérhető és kiszámítható zavarvédelmi feltételek mellett, különösen a Ku- és Ka-sávban, ugyanakkor biztosítva, hogy az NGSO-rendszereket ne korlátozzák indokolatlanul. A rádiószabályozás jövőbeli fejlesztésének arányosnak, tényeken alapulónak és technológiasemlegesnek kell maradnia, </w:t>
      </w:r>
      <w:r w:rsidRPr="00880D00">
        <w:rPr>
          <w:rFonts w:ascii="Marianne" w:hAnsi="Marianne" w:cs="Times New Roman"/>
          <w:sz w:val="22"/>
        </w:rPr>
        <w:lastRenderedPageBreak/>
        <w:t>biztosítva a GSO-hálózatok hatékony védelmét, miközben elősegíti az NGSO-rendszerek fejlesztését és telepítését. A WRC-27 a műholdas Direct-to-Device kommunikáció kérdését is vizsgálni fogja, figyelembe véve többek között az innováció támogatását és az ellenállóképes lefedettség biztosítását, a földfelszíni hálózatok védelmét, valamint a technológiasemlegesség és a spektrum hatékony használatának megőrzését.</w:t>
      </w:r>
    </w:p>
    <w:p w14:paraId="1D562313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>Hangsúlyozzuk, hogy valamennyi műholdrendszernek szigorúan meg kell felelnie a GSO-hálózatok védelmét szabályozó Rádiószabályzati előírásoknak, valamint az ugyanazon frekvenciasávokat használó konstellációkra alkalmazandó koordinációs eljárásoknak. Ez elengedhetetlen a közfeladatokat ellátó űrszolgáltatásokat és a kormányzati műholdas szolgáltatásokat támogató műholdas szolgáltatások folytonosságának biztosításához, miközben lehetővé teszi az NGSO-konstellációk hatékony telepítését és működtetését egy olyan technológiasemleges keretben, amely elősegíti az innovációt és a spektrumhoz való hozzáférést.</w:t>
      </w:r>
    </w:p>
    <w:p w14:paraId="0C8C3F1C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>Az ITU szabályaira és eljárásaira támaszkodva továbbra is szilárdan elkötelezettek vagyunk műholdrendszereink káros zavarásokkal szembeni védelme mellett.</w:t>
      </w:r>
    </w:p>
    <w:p w14:paraId="7B5DD947" w14:textId="77777777" w:rsidR="00533618" w:rsidRPr="00880D00" w:rsidRDefault="009B11E5" w:rsidP="00AC4652">
      <w:pPr>
        <w:spacing w:after="160"/>
        <w:jc w:val="both"/>
        <w:rPr>
          <w:rFonts w:ascii="Marianne" w:hAnsi="Marianne" w:cs="Times New Roman"/>
          <w:sz w:val="22"/>
        </w:rPr>
      </w:pPr>
      <w:r w:rsidRPr="00880D00">
        <w:rPr>
          <w:rFonts w:ascii="Marianne" w:hAnsi="Marianne" w:cs="Times New Roman"/>
          <w:sz w:val="22"/>
        </w:rPr>
        <w:t>A jelen nyilatkozat nem minősül jogilag kötelező erejű dokumentumnak, és nem keletkeztet jogokat vagy kötelezettségeket a nemzeti vagy a nemzetközi jog alapján.</w:t>
      </w:r>
    </w:p>
    <w:sectPr w:rsidR="00533618" w:rsidRPr="00880D0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rianne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8457598">
    <w:abstractNumId w:val="8"/>
  </w:num>
  <w:num w:numId="2" w16cid:durableId="937980825">
    <w:abstractNumId w:val="6"/>
  </w:num>
  <w:num w:numId="3" w16cid:durableId="1311907892">
    <w:abstractNumId w:val="5"/>
  </w:num>
  <w:num w:numId="4" w16cid:durableId="2064794297">
    <w:abstractNumId w:val="4"/>
  </w:num>
  <w:num w:numId="5" w16cid:durableId="1815247176">
    <w:abstractNumId w:val="7"/>
  </w:num>
  <w:num w:numId="6" w16cid:durableId="555514151">
    <w:abstractNumId w:val="3"/>
  </w:num>
  <w:num w:numId="7" w16cid:durableId="327171348">
    <w:abstractNumId w:val="2"/>
  </w:num>
  <w:num w:numId="8" w16cid:durableId="187260321">
    <w:abstractNumId w:val="1"/>
  </w:num>
  <w:num w:numId="9" w16cid:durableId="510334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1E60"/>
    <w:rsid w:val="0029639D"/>
    <w:rsid w:val="00326F90"/>
    <w:rsid w:val="00533618"/>
    <w:rsid w:val="00880D00"/>
    <w:rsid w:val="009B11E5"/>
    <w:rsid w:val="009D28D8"/>
    <w:rsid w:val="00AA1D8D"/>
    <w:rsid w:val="00AC4652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AAC24"/>
  <w14:defaultImageDpi w14:val="300"/>
  <w15:docId w15:val="{ABEB85C1-1006-487B-B578-6C0229EB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rPr>
      <w:rFonts w:ascii="Aptos" w:hAnsi="Aptos"/>
      <w:sz w:val="21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4197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Koncz Zsófia</cp:lastModifiedBy>
  <cp:revision>2</cp:revision>
  <dcterms:created xsi:type="dcterms:W3CDTF">2026-09-10T14:43:00Z</dcterms:created>
  <dcterms:modified xsi:type="dcterms:W3CDTF">2026-09-10T14:43:00Z</dcterms:modified>
  <cp:category/>
</cp:coreProperties>
</file>